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7DE6C3">
      <w:pPr>
        <w:snapToGrid w:val="0"/>
        <w:spacing w:after="156" w:afterLines="50" w:line="440" w:lineRule="exact"/>
        <w:jc w:val="center"/>
        <w:rPr>
          <w:rFonts w:eastAsia="等线" w:cs="Times New Roman"/>
          <w:b/>
          <w:bCs/>
          <w:sz w:val="36"/>
          <w:szCs w:val="36"/>
        </w:rPr>
      </w:pPr>
      <w:r>
        <w:rPr>
          <w:rFonts w:hint="eastAsia" w:eastAsia="等线" w:cs="Times New Roman"/>
          <w:b/>
          <w:bCs/>
          <w:sz w:val="36"/>
          <w:szCs w:val="36"/>
        </w:rPr>
        <w:t>Electronic Supplementary Material</w:t>
      </w:r>
    </w:p>
    <w:p w14:paraId="1665864D">
      <w:pPr>
        <w:snapToGrid w:val="0"/>
        <w:spacing w:after="156" w:afterLines="50" w:line="440" w:lineRule="exact"/>
        <w:jc w:val="center"/>
        <w:rPr>
          <w:rFonts w:hint="eastAsia" w:eastAsia="等线" w:cs="Times New Roman"/>
          <w:b/>
          <w:bCs/>
          <w:sz w:val="36"/>
          <w:szCs w:val="36"/>
        </w:rPr>
      </w:pPr>
    </w:p>
    <w:p w14:paraId="4E231D78">
      <w:pPr>
        <w:snapToGrid w:val="0"/>
        <w:spacing w:after="156" w:afterLines="50" w:line="440" w:lineRule="exact"/>
        <w:jc w:val="center"/>
        <w:rPr>
          <w:rFonts w:eastAsia="等线" w:cs="Times New Roman"/>
          <w:b/>
          <w:bCs/>
          <w:sz w:val="36"/>
          <w:szCs w:val="36"/>
        </w:rPr>
      </w:pPr>
      <w:r>
        <w:rPr>
          <w:rFonts w:eastAsia="等线" w:cs="Times New Roman"/>
          <w:b/>
          <w:bCs/>
          <w:sz w:val="36"/>
          <w:szCs w:val="36"/>
        </w:rPr>
        <w:t xml:space="preserve">Producing </w:t>
      </w:r>
      <w:r>
        <w:rPr>
          <w:rFonts w:hint="eastAsia" w:eastAsia="等线" w:cs="Times New Roman"/>
          <w:b/>
          <w:bCs/>
          <w:sz w:val="36"/>
          <w:szCs w:val="36"/>
        </w:rPr>
        <w:t>“</w:t>
      </w:r>
      <w:r>
        <w:rPr>
          <w:rFonts w:eastAsia="等线" w:cs="Times New Roman"/>
          <w:b/>
          <w:bCs/>
          <w:sz w:val="36"/>
          <w:szCs w:val="36"/>
        </w:rPr>
        <w:t>green</w:t>
      </w:r>
      <w:r>
        <w:rPr>
          <w:rFonts w:hint="eastAsia" w:eastAsia="等线" w:cs="Times New Roman"/>
          <w:b/>
          <w:bCs/>
          <w:sz w:val="36"/>
          <w:szCs w:val="36"/>
        </w:rPr>
        <w:t>”</w:t>
      </w:r>
      <w:r>
        <w:rPr>
          <w:rFonts w:eastAsia="等线" w:cs="Times New Roman"/>
          <w:b/>
          <w:bCs/>
          <w:sz w:val="36"/>
          <w:szCs w:val="36"/>
        </w:rPr>
        <w:t xml:space="preserve"> </w:t>
      </w:r>
      <w:r>
        <w:rPr>
          <w:rFonts w:hint="eastAsia" w:eastAsia="等线" w:cs="Times New Roman"/>
          <w:b/>
          <w:bCs/>
          <w:sz w:val="36"/>
          <w:szCs w:val="36"/>
        </w:rPr>
        <w:t xml:space="preserve">methanol from </w:t>
      </w:r>
      <w:r>
        <w:rPr>
          <w:rFonts w:eastAsia="等线" w:cs="Times New Roman"/>
          <w:b/>
          <w:bCs/>
          <w:sz w:val="36"/>
          <w:szCs w:val="36"/>
        </w:rPr>
        <w:t>s</w:t>
      </w:r>
      <w:r>
        <w:rPr>
          <w:rFonts w:hint="eastAsia" w:eastAsia="等线" w:cs="Times New Roman"/>
          <w:b/>
          <w:bCs/>
          <w:sz w:val="36"/>
          <w:szCs w:val="36"/>
        </w:rPr>
        <w:t xml:space="preserve">yngas, derived from </w:t>
      </w:r>
      <w:r>
        <w:rPr>
          <w:rFonts w:eastAsia="等线" w:cs="Times New Roman"/>
          <w:b/>
          <w:bCs/>
          <w:sz w:val="36"/>
          <w:szCs w:val="36"/>
        </w:rPr>
        <w:t>a</w:t>
      </w:r>
      <w:r>
        <w:rPr>
          <w:rFonts w:hint="eastAsia" w:eastAsia="等线" w:cs="Times New Roman"/>
          <w:b/>
          <w:bCs/>
          <w:sz w:val="36"/>
          <w:szCs w:val="36"/>
        </w:rPr>
        <w:t xml:space="preserve">naerobic </w:t>
      </w:r>
      <w:r>
        <w:rPr>
          <w:rFonts w:eastAsia="等线" w:cs="Times New Roman"/>
          <w:b/>
          <w:bCs/>
          <w:sz w:val="36"/>
          <w:szCs w:val="36"/>
        </w:rPr>
        <w:t>d</w:t>
      </w:r>
      <w:r>
        <w:rPr>
          <w:rFonts w:hint="eastAsia" w:eastAsia="等线" w:cs="Times New Roman"/>
          <w:b/>
          <w:bCs/>
          <w:sz w:val="36"/>
          <w:szCs w:val="36"/>
        </w:rPr>
        <w:t xml:space="preserve">igestion </w:t>
      </w:r>
      <w:r>
        <w:rPr>
          <w:rFonts w:eastAsia="等线" w:cs="Times New Roman"/>
          <w:b/>
          <w:bCs/>
          <w:sz w:val="36"/>
          <w:szCs w:val="36"/>
        </w:rPr>
        <w:t>b</w:t>
      </w:r>
      <w:r>
        <w:rPr>
          <w:rFonts w:hint="eastAsia" w:eastAsia="等线" w:cs="Times New Roman"/>
          <w:b/>
          <w:bCs/>
          <w:sz w:val="36"/>
          <w:szCs w:val="36"/>
        </w:rPr>
        <w:t>iogas</w:t>
      </w:r>
    </w:p>
    <w:p w14:paraId="342E73DE">
      <w:pPr>
        <w:jc w:val="center"/>
        <w:rPr>
          <w:rFonts w:eastAsia="等线" w:cs="Times New Roman"/>
          <w:lang w:val="nl-BE"/>
        </w:rPr>
      </w:pPr>
      <w:r>
        <w:rPr>
          <w:rFonts w:eastAsia="等线" w:cs="Times New Roman"/>
          <w:lang w:val="nl-BE"/>
        </w:rPr>
        <w:t>Huili Zhang</w:t>
      </w:r>
      <w:r>
        <w:rPr>
          <w:rFonts w:eastAsia="等线" w:cs="Times New Roman"/>
          <w:vertAlign w:val="superscript"/>
          <w:lang w:val="nl-BE"/>
        </w:rPr>
        <w:t>1</w:t>
      </w:r>
      <w:r>
        <w:rPr>
          <w:rFonts w:eastAsia="等线" w:cs="Times New Roman"/>
          <w:lang w:val="nl-BE"/>
        </w:rPr>
        <w:t>*, Yibing Kou</w:t>
      </w:r>
      <w:r>
        <w:rPr>
          <w:rFonts w:eastAsia="等线" w:cs="Times New Roman"/>
          <w:vertAlign w:val="superscript"/>
          <w:lang w:val="nl-BE"/>
        </w:rPr>
        <w:t>1</w:t>
      </w:r>
      <w:r>
        <w:rPr>
          <w:rFonts w:eastAsia="等线" w:cs="Times New Roman"/>
          <w:lang w:val="nl-BE"/>
        </w:rPr>
        <w:t>*, Miao Yang</w:t>
      </w:r>
      <w:r>
        <w:rPr>
          <w:rFonts w:eastAsia="等线" w:cs="Times New Roman"/>
          <w:vertAlign w:val="superscript"/>
          <w:lang w:val="nl-BE"/>
        </w:rPr>
        <w:t>2</w:t>
      </w:r>
      <w:r>
        <w:rPr>
          <w:rFonts w:eastAsia="等线" w:cs="Times New Roman"/>
          <w:lang w:val="nl-BE"/>
        </w:rPr>
        <w:t>*, Margot Vander Elst</w:t>
      </w:r>
      <w:r>
        <w:rPr>
          <w:rFonts w:eastAsia="等线" w:cs="Times New Roman"/>
          <w:vertAlign w:val="superscript"/>
          <w:lang w:val="nl-BE"/>
        </w:rPr>
        <w:t xml:space="preserve">3 </w:t>
      </w:r>
      <w:r>
        <w:rPr>
          <w:rFonts w:eastAsia="等线" w:cs="Times New Roman"/>
          <w:lang w:val="nl-BE"/>
        </w:rPr>
        <w:t xml:space="preserve">, Jan Baeyens </w:t>
      </w:r>
      <w:r>
        <w:rPr>
          <w:rFonts w:eastAsia="等线" w:cs="Times New Roman"/>
          <w:b/>
          <w:lang w:val="nl-BE"/>
        </w:rPr>
        <w:t>(</w:t>
      </w:r>
      <w:r>
        <w:rPr>
          <w:rFonts w:eastAsia="等线" w:cs="Times New Roman"/>
          <w:b/>
          <w:lang w:val="nl-BE"/>
        </w:rPr>
        <w:sym w:font="Wingdings" w:char="F02A"/>
      </w:r>
      <w:r>
        <w:rPr>
          <w:rFonts w:eastAsia="等线" w:cs="Times New Roman"/>
          <w:b/>
          <w:lang w:val="nl-BE"/>
        </w:rPr>
        <w:t>)</w:t>
      </w:r>
      <w:r>
        <w:rPr>
          <w:rFonts w:eastAsia="等线" w:cs="Times New Roman"/>
          <w:vertAlign w:val="superscript"/>
          <w:lang w:val="nl-BE"/>
        </w:rPr>
        <w:t>2,3</w:t>
      </w:r>
      <w:r>
        <w:rPr>
          <w:rFonts w:eastAsia="等线" w:cs="Times New Roman"/>
          <w:lang w:val="nl-BE"/>
        </w:rPr>
        <w:t xml:space="preserve">, </w:t>
      </w:r>
    </w:p>
    <w:p w14:paraId="751FCC02">
      <w:pPr>
        <w:jc w:val="center"/>
        <w:rPr>
          <w:rFonts w:eastAsia="等线" w:cs="Times New Roman"/>
        </w:rPr>
      </w:pPr>
      <w:r>
        <w:rPr>
          <w:rFonts w:eastAsia="等线" w:cs="Times New Roman"/>
        </w:rPr>
        <w:t>Yimin Deng</w:t>
      </w:r>
      <w:r>
        <w:rPr>
          <w:rFonts w:eastAsia="等线" w:cs="Times New Roman"/>
          <w:vertAlign w:val="superscript"/>
        </w:rPr>
        <w:t xml:space="preserve"> </w:t>
      </w:r>
      <w:r>
        <w:rPr>
          <w:rFonts w:eastAsia="等线" w:cs="Times New Roman"/>
          <w:b/>
        </w:rPr>
        <w:t>(</w:t>
      </w:r>
      <w:r>
        <w:rPr>
          <w:rFonts w:eastAsia="等线" w:cs="Times New Roman"/>
          <w:b/>
        </w:rPr>
        <w:sym w:font="Wingdings" w:char="F02A"/>
      </w:r>
      <w:r>
        <w:rPr>
          <w:rFonts w:eastAsia="等线" w:cs="Times New Roman"/>
          <w:b/>
        </w:rPr>
        <w:t>)</w:t>
      </w:r>
      <w:r>
        <w:rPr>
          <w:rFonts w:eastAsia="等线" w:cs="Times New Roman"/>
          <w:vertAlign w:val="superscript"/>
        </w:rPr>
        <w:t>4</w:t>
      </w:r>
    </w:p>
    <w:p w14:paraId="5FE26A0D">
      <w:pPr>
        <w:widowControl/>
        <w:snapToGrid w:val="0"/>
        <w:ind w:firstLine="0"/>
        <w:jc w:val="center"/>
        <w:rPr>
          <w:rFonts w:eastAsia="宋体" w:cs="Times New Roman"/>
          <w:iCs/>
          <w:kern w:val="0"/>
          <w:vertAlign w:val="superscript"/>
          <w:lang w:val="en-GB" w:eastAsia="en-US"/>
        </w:rPr>
      </w:pPr>
      <w:r>
        <w:rPr>
          <w:rFonts w:eastAsia="宋体" w:cs="Times New Roman"/>
          <w:iCs/>
          <w:kern w:val="0"/>
          <w:lang w:val="en-GB" w:eastAsia="en-US"/>
        </w:rPr>
        <w:t>1</w:t>
      </w:r>
      <w:r>
        <w:rPr>
          <w:rFonts w:eastAsia="宋体" w:cs="Times New Roman"/>
          <w:iCs/>
          <w:kern w:val="0"/>
          <w:vertAlign w:val="superscript"/>
          <w:lang w:val="en-GB" w:eastAsia="en-US"/>
        </w:rPr>
        <w:t xml:space="preserve"> </w:t>
      </w:r>
      <w:bookmarkStart w:id="0" w:name="_Hlk193145967"/>
      <w:r>
        <w:rPr>
          <w:rFonts w:eastAsia="宋体" w:cs="Times New Roman"/>
          <w:iCs/>
          <w:kern w:val="0"/>
          <w:lang w:val="en-GB" w:eastAsia="en-US"/>
        </w:rPr>
        <w:t>Beijing University of Chemical Technology</w:t>
      </w:r>
      <w:bookmarkEnd w:id="0"/>
      <w:r>
        <w:rPr>
          <w:rFonts w:eastAsia="宋体" w:cs="Times New Roman"/>
          <w:iCs/>
          <w:kern w:val="0"/>
          <w:lang w:val="en-GB" w:eastAsia="en-US"/>
        </w:rPr>
        <w:t>, College of Life Science and Technology, Beijing 100029, China</w:t>
      </w:r>
    </w:p>
    <w:p w14:paraId="0C0B6259">
      <w:pPr>
        <w:widowControl/>
        <w:snapToGrid w:val="0"/>
        <w:ind w:firstLine="0"/>
        <w:jc w:val="center"/>
        <w:rPr>
          <w:rFonts w:eastAsia="宋体" w:cs="Times New Roman"/>
          <w:iCs/>
          <w:kern w:val="0"/>
          <w:lang w:val="en-GB" w:eastAsia="en-US"/>
        </w:rPr>
      </w:pPr>
      <w:r>
        <w:rPr>
          <w:rFonts w:eastAsia="宋体" w:cs="Times New Roman"/>
          <w:kern w:val="0"/>
          <w:lang w:val="en-GB" w:eastAsia="en-US"/>
        </w:rPr>
        <w:t>2</w:t>
      </w:r>
      <w:r>
        <w:rPr>
          <w:rFonts w:eastAsia="宋体" w:cs="Times New Roman"/>
          <w:iCs/>
          <w:kern w:val="0"/>
          <w:lang w:val="en-GB" w:eastAsia="en-US"/>
        </w:rPr>
        <w:t xml:space="preserve"> Beijing University of Chemical Technology, Beijing Advanced Innovation Centre for Soft Matter Science and Engineering, Beijing 100029, China</w:t>
      </w:r>
    </w:p>
    <w:p w14:paraId="2BC899D8">
      <w:pPr>
        <w:widowControl/>
        <w:snapToGrid w:val="0"/>
        <w:ind w:firstLine="0"/>
        <w:jc w:val="center"/>
        <w:rPr>
          <w:rFonts w:eastAsia="宋体" w:cs="Times New Roman"/>
          <w:iCs/>
          <w:kern w:val="0"/>
          <w:lang w:val="en-GB" w:eastAsia="en-US"/>
        </w:rPr>
      </w:pPr>
      <w:r>
        <w:rPr>
          <w:rFonts w:eastAsia="宋体" w:cs="Times New Roman"/>
          <w:iCs/>
          <w:kern w:val="0"/>
          <w:lang w:val="en-GB" w:eastAsia="en-US"/>
        </w:rPr>
        <w:t xml:space="preserve">3 KU Leuven, Chemical Engineering </w:t>
      </w:r>
      <w:r>
        <w:rPr>
          <w:rFonts w:eastAsia="宋体" w:cs="Times New Roman"/>
          <w:iCs/>
          <w:kern w:val="0"/>
          <w:lang w:val="en-GB"/>
        </w:rPr>
        <w:t>D</w:t>
      </w:r>
      <w:r>
        <w:rPr>
          <w:rFonts w:eastAsia="宋体" w:cs="Times New Roman"/>
          <w:iCs/>
          <w:kern w:val="0"/>
          <w:lang w:val="en-GB" w:eastAsia="en-US"/>
        </w:rPr>
        <w:t>epartment, 3001 Leuven, Belgium</w:t>
      </w:r>
    </w:p>
    <w:p w14:paraId="49C2BF12">
      <w:pPr>
        <w:widowControl/>
        <w:snapToGrid w:val="0"/>
        <w:ind w:firstLine="0"/>
        <w:jc w:val="center"/>
        <w:rPr>
          <w:rFonts w:eastAsia="宋体" w:cs="Times New Roman"/>
          <w:iCs/>
          <w:kern w:val="0"/>
          <w:lang w:val="en-GB" w:eastAsia="en-US"/>
        </w:rPr>
      </w:pPr>
      <w:r>
        <w:rPr>
          <w:rFonts w:eastAsia="宋体" w:cs="Times New Roman"/>
          <w:iCs/>
          <w:kern w:val="0"/>
          <w:lang w:val="en-GB" w:eastAsia="en-US"/>
        </w:rPr>
        <w:t>4 Beijing Institute of Technology, School of Chemistry and Chemical Engineering, Beijing 102488, China</w:t>
      </w:r>
    </w:p>
    <w:p w14:paraId="4F28F9F1">
      <w:pPr>
        <w:widowControl/>
        <w:snapToGrid w:val="0"/>
        <w:ind w:firstLine="0"/>
        <w:jc w:val="left"/>
        <w:rPr>
          <w:rFonts w:eastAsia="宋体" w:cs="Times New Roman"/>
          <w:iCs/>
          <w:kern w:val="0"/>
          <w:lang w:val="en-GB" w:eastAsia="en-US"/>
        </w:rPr>
      </w:pPr>
      <w:r>
        <w:rPr>
          <w:rFonts w:eastAsia="宋体" w:cs="Times New Roman"/>
          <w:iCs/>
          <w:kern w:val="0"/>
          <w:lang w:val="en-GB" w:eastAsia="en-US"/>
        </w:rPr>
        <w:t>* These authors contributed equally</w:t>
      </w:r>
      <w:r>
        <w:rPr>
          <w:rFonts w:hint="eastAsia" w:eastAsia="宋体" w:cs="Times New Roman"/>
          <w:iCs/>
          <w:kern w:val="0"/>
          <w:lang w:val="en-GB"/>
        </w:rPr>
        <w:t xml:space="preserve"> to the work</w:t>
      </w:r>
      <w:r>
        <w:rPr>
          <w:rFonts w:eastAsia="宋体" w:cs="Times New Roman"/>
          <w:iCs/>
          <w:kern w:val="0"/>
          <w:lang w:val="en-GB" w:eastAsia="en-US"/>
        </w:rPr>
        <w:t>.</w:t>
      </w:r>
    </w:p>
    <w:p w14:paraId="06F8DD3D">
      <w:pPr>
        <w:widowControl/>
        <w:snapToGrid w:val="0"/>
        <w:ind w:firstLine="0"/>
        <w:jc w:val="left"/>
        <w:rPr>
          <w:rFonts w:eastAsia="宋体" w:cs="Times New Roman"/>
          <w:iCs/>
          <w:kern w:val="0"/>
          <w:lang w:val="en-GB" w:eastAsia="en-US"/>
        </w:rPr>
      </w:pPr>
      <w:r>
        <w:rPr>
          <w:rFonts w:eastAsia="宋体" w:cs="Times New Roman"/>
          <w:iCs/>
          <w:kern w:val="0"/>
          <w:lang w:val="en-GB" w:eastAsia="en-US"/>
        </w:rPr>
        <w:t xml:space="preserve">E-mails: </w:t>
      </w:r>
      <w:r>
        <w:fldChar w:fldCharType="begin"/>
      </w:r>
      <w:r>
        <w:instrText xml:space="preserve"> HYPERLINK "mailto:baeyens.j@gmail.com" </w:instrText>
      </w:r>
      <w:r>
        <w:fldChar w:fldCharType="separate"/>
      </w:r>
      <w:r>
        <w:rPr>
          <w:rFonts w:eastAsia="宋体" w:cs="Times New Roman"/>
          <w:iCs/>
          <w:kern w:val="0"/>
          <w:u w:val="single"/>
        </w:rPr>
        <w:t>baeyens.j@gmail.com</w:t>
      </w:r>
      <w:r>
        <w:rPr>
          <w:rFonts w:eastAsia="宋体" w:cs="Times New Roman"/>
          <w:iCs/>
          <w:kern w:val="0"/>
          <w:u w:val="single"/>
        </w:rPr>
        <w:fldChar w:fldCharType="end"/>
      </w:r>
      <w:r>
        <w:rPr>
          <w:rFonts w:eastAsia="宋体" w:cs="Times New Roman"/>
          <w:iCs/>
          <w:kern w:val="0"/>
        </w:rPr>
        <w:t xml:space="preserve"> (Baeyens J</w:t>
      </w:r>
      <w:r>
        <w:rPr>
          <w:rFonts w:hint="eastAsia" w:eastAsia="宋体" w:cs="Times New Roman"/>
          <w:iCs/>
          <w:kern w:val="0"/>
          <w:lang w:val="en-US" w:eastAsia="zh-CN"/>
        </w:rPr>
        <w:t>.</w:t>
      </w:r>
      <w:r>
        <w:rPr>
          <w:rFonts w:eastAsia="宋体" w:cs="Times New Roman"/>
          <w:iCs/>
          <w:kern w:val="0"/>
        </w:rPr>
        <w:t xml:space="preserve">); </w:t>
      </w:r>
      <w:r>
        <w:fldChar w:fldCharType="begin"/>
      </w:r>
      <w:r>
        <w:instrText xml:space="preserve"> HYPERLINK "mailto:deng.yimin0718@163.com" </w:instrText>
      </w:r>
      <w:r>
        <w:fldChar w:fldCharType="separate"/>
      </w:r>
      <w:r>
        <w:rPr>
          <w:rFonts w:eastAsia="宋体" w:cs="Times New Roman"/>
          <w:iCs/>
          <w:kern w:val="0"/>
          <w:u w:val="single"/>
          <w:lang w:val="en-GB" w:eastAsia="en-US"/>
        </w:rPr>
        <w:t>deng</w:t>
      </w:r>
      <w:r>
        <w:rPr>
          <w:rFonts w:eastAsia="宋体" w:cs="Times New Roman"/>
          <w:iCs/>
          <w:kern w:val="0"/>
          <w:u w:val="single"/>
          <w:lang w:val="en-GB"/>
        </w:rPr>
        <w:t>.</w:t>
      </w:r>
      <w:r>
        <w:rPr>
          <w:rFonts w:eastAsia="宋体" w:cs="Times New Roman"/>
          <w:iCs/>
          <w:kern w:val="0"/>
          <w:u w:val="single"/>
          <w:lang w:val="en-GB" w:eastAsia="en-US"/>
        </w:rPr>
        <w:t>yimin0718@163.com</w:t>
      </w:r>
      <w:r>
        <w:rPr>
          <w:rFonts w:eastAsia="宋体" w:cs="Times New Roman"/>
          <w:iCs/>
          <w:kern w:val="0"/>
          <w:u w:val="single"/>
          <w:lang w:val="en-GB" w:eastAsia="en-US"/>
        </w:rPr>
        <w:fldChar w:fldCharType="end"/>
      </w:r>
      <w:r>
        <w:rPr>
          <w:rFonts w:eastAsia="宋体" w:cs="Times New Roman"/>
          <w:iCs/>
          <w:kern w:val="0"/>
          <w:lang w:val="en-GB" w:eastAsia="en-US"/>
        </w:rPr>
        <w:t xml:space="preserve"> (Deng </w:t>
      </w:r>
      <w:bookmarkStart w:id="1" w:name="_GoBack"/>
      <w:bookmarkEnd w:id="1"/>
      <w:r>
        <w:rPr>
          <w:rFonts w:eastAsia="宋体" w:cs="Times New Roman"/>
          <w:iCs/>
          <w:kern w:val="0"/>
          <w:lang w:val="en-GB" w:eastAsia="en-US"/>
        </w:rPr>
        <w:t>Y</w:t>
      </w:r>
      <w:r>
        <w:rPr>
          <w:rFonts w:hint="eastAsia" w:eastAsia="宋体" w:cs="Times New Roman"/>
          <w:iCs/>
          <w:kern w:val="0"/>
          <w:lang w:val="en-US" w:eastAsia="zh-CN"/>
        </w:rPr>
        <w:t>.</w:t>
      </w:r>
      <w:r>
        <w:rPr>
          <w:rFonts w:eastAsia="宋体" w:cs="Times New Roman"/>
          <w:iCs/>
          <w:kern w:val="0"/>
          <w:lang w:val="en-GB" w:eastAsia="en-US"/>
        </w:rPr>
        <w:t>)</w:t>
      </w:r>
    </w:p>
    <w:p w14:paraId="7855BB6D">
      <w:pPr>
        <w:pStyle w:val="4"/>
        <w:spacing w:before="5"/>
        <w:jc w:val="center"/>
        <w:rPr>
          <w:rFonts w:cs="Times New Roman"/>
        </w:rPr>
      </w:pPr>
      <w:r>
        <w:rPr>
          <w:rFonts w:cs="Times New Roman"/>
          <w:iCs/>
          <w:color w:val="000000" w:themeColor="text1"/>
          <w14:textFill>
            <w14:solidFill>
              <w14:schemeClr w14:val="tx1"/>
            </w14:solidFill>
          </w14:textFill>
        </w:rPr>
        <w:drawing>
          <wp:inline distT="0" distB="0" distL="0" distR="0">
            <wp:extent cx="5884545" cy="2528570"/>
            <wp:effectExtent l="0" t="0" r="1905"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8"/>
                    <a:stretch>
                      <a:fillRect/>
                    </a:stretch>
                  </pic:blipFill>
                  <pic:spPr>
                    <a:xfrm>
                      <a:off x="0" y="0"/>
                      <a:ext cx="5934060" cy="2549953"/>
                    </a:xfrm>
                    <a:prstGeom prst="rect">
                      <a:avLst/>
                    </a:prstGeom>
                  </pic:spPr>
                </pic:pic>
              </a:graphicData>
            </a:graphic>
          </wp:inline>
        </w:drawing>
      </w:r>
    </w:p>
    <w:p w14:paraId="0C042A0E">
      <w:pPr>
        <w:pStyle w:val="15"/>
        <w:jc w:val="center"/>
      </w:pPr>
      <w:r>
        <w:t xml:space="preserve">Figure S1 The Clean Hydrogen Ladder by Michael Liebreich </w:t>
      </w:r>
      <w:r>
        <w:fldChar w:fldCharType="begin"/>
      </w:r>
      <w:r>
        <w:instrText xml:space="preserve"> ADDIN EN.CITE &lt;EndNote&gt;&lt;Cite&gt;&lt;Author&gt;Associates&lt;/Author&gt;&lt;Year&gt;2021&lt;/Year&gt;&lt;RecNum&gt;69&lt;/RecNum&gt;&lt;DisplayText&gt;[1]&lt;/DisplayText&gt;&lt;record&gt;&lt;rec-number&gt;69&lt;/rec-number&gt;&lt;foreign-keys&gt;&lt;key app="EN" db-id="a9ww9dt0mxr5zoexds65xer9xra0dveprd5d" timestamp="1741869612"&gt;69&lt;/key&gt;&lt;/foreign-keys&gt;&lt;ref-type name="Web Page"&gt;12&lt;/ref-type&gt;&lt;contributors&gt;&lt;authors&gt;&lt;author&gt;Liebreich Associates&lt;/author&gt;&lt;/authors&gt;&lt;/contributors&gt;&lt;titles&gt;&lt;title&gt;The Clean Hydrogen Ladder [Now updated to V4.1]&lt;/title&gt;&lt;/titles&gt;&lt;dates&gt;&lt;year&gt;2021&lt;/year&gt;&lt;/dates&gt;&lt;urls&gt;&lt;/urls&gt;&lt;/record&gt;&lt;/Cite&gt;&lt;/EndNote&gt;</w:instrText>
      </w:r>
      <w:r>
        <w:fldChar w:fldCharType="separate"/>
      </w:r>
      <w:r>
        <w:t>[1]</w:t>
      </w:r>
      <w:r>
        <w:fldChar w:fldCharType="end"/>
      </w:r>
    </w:p>
    <w:p w14:paraId="79C0FF9A">
      <w:pPr>
        <w:pStyle w:val="15"/>
      </w:pPr>
      <w:r>
        <w:t>The clean hydrogen ladder is visualized in Figure S1. and confirms our interest in methanol. The higher on the ladder, the more economically interesting and unavoidable is the use of hydrogen for the mentioned applications. At the bottom of the ladder the opposite applies. Unavoidable applications for H</w:t>
      </w:r>
      <w:r>
        <w:rPr>
          <w:vertAlign w:val="subscript"/>
        </w:rPr>
        <w:t>2</w:t>
      </w:r>
      <w:r>
        <w:t xml:space="preserve"> are hydrogenation, hydrocracking and des</w:t>
      </w:r>
      <w:r>
        <w:rPr>
          <w:rFonts w:hint="eastAsia"/>
        </w:rPr>
        <w:t>ul</w:t>
      </w:r>
      <w:r>
        <w:t>phurization applications where H</w:t>
      </w:r>
      <w:r>
        <w:rPr>
          <w:vertAlign w:val="subscript"/>
        </w:rPr>
        <w:t>2</w:t>
      </w:r>
      <w:r>
        <w:t xml:space="preserve"> is produced and can get used directly.</w:t>
      </w:r>
    </w:p>
    <w:p w14:paraId="7C1AB6FF">
      <w:pPr>
        <w:pStyle w:val="15"/>
      </w:pPr>
      <w:r>
        <w:t>The red color also indicates that no alternatives to replace H</w:t>
      </w:r>
      <w:r>
        <w:rPr>
          <w:vertAlign w:val="subscript"/>
        </w:rPr>
        <w:t>2</w:t>
      </w:r>
      <w:r>
        <w:t xml:space="preserve"> for these processes exist. An exception at the top of the ladder is methanol. According to Michael Liebreich, the production of methanol via hydrogen is unavoidable but biomass/biogas can be used as H</w:t>
      </w:r>
      <w:r>
        <w:rPr>
          <w:vertAlign w:val="subscript"/>
        </w:rPr>
        <w:t>2</w:t>
      </w:r>
      <w:r>
        <w:t xml:space="preserve"> feedstock. Since the previously discussed process is based on biogas, the hydrogen ladder confirms the usefulness of converting the produced hydrogen to methanol when no direct applications of hydrogen are available.</w:t>
      </w:r>
    </w:p>
    <w:p w14:paraId="27EB3ED0">
      <w:pPr>
        <w:pStyle w:val="4"/>
        <w:spacing w:before="5"/>
        <w:rPr>
          <w:rFonts w:cs="Times New Roman"/>
        </w:rPr>
      </w:pPr>
    </w:p>
    <w:p w14:paraId="06D573E1">
      <w:pPr>
        <w:pStyle w:val="4"/>
        <w:spacing w:before="5"/>
        <w:jc w:val="center"/>
        <w:rPr>
          <w:rFonts w:cs="Times New Roman"/>
        </w:rPr>
      </w:pPr>
      <w:r>
        <w:rPr>
          <w:rFonts w:cs="Times New Roman"/>
          <w:iCs/>
          <w:color w:val="000000" w:themeColor="text1"/>
          <w14:textFill>
            <w14:solidFill>
              <w14:schemeClr w14:val="tx1"/>
            </w14:solidFill>
          </w14:textFill>
        </w:rPr>
        <w:drawing>
          <wp:inline distT="0" distB="0" distL="0" distR="0">
            <wp:extent cx="4850130" cy="3488055"/>
            <wp:effectExtent l="0" t="0" r="762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9"/>
                    <a:stretch>
                      <a:fillRect/>
                    </a:stretch>
                  </pic:blipFill>
                  <pic:spPr>
                    <a:xfrm>
                      <a:off x="0" y="0"/>
                      <a:ext cx="4885732" cy="3513656"/>
                    </a:xfrm>
                    <a:prstGeom prst="rect">
                      <a:avLst/>
                    </a:prstGeom>
                  </pic:spPr>
                </pic:pic>
              </a:graphicData>
            </a:graphic>
          </wp:inline>
        </w:drawing>
      </w:r>
    </w:p>
    <w:p w14:paraId="45CB28B3">
      <w:pPr>
        <w:pStyle w:val="15"/>
        <w:jc w:val="center"/>
      </w:pPr>
      <w:r>
        <w:t xml:space="preserve">Figure S2 Hydrogen storage capacity (volumetric and gravimetric) from potential hydrogen vectors. Adapted from </w:t>
      </w:r>
      <w:r>
        <w:fldChar w:fldCharType="begin"/>
      </w:r>
      <w:r>
        <w:instrText xml:space="preserve"> ADDIN EN.CITE &lt;EndNote&gt;&lt;Cite&gt;&lt;Author&gt;Jolaoso&lt;/Author&gt;&lt;Year&gt;2020&lt;/Year&gt;&lt;RecNum&gt;67&lt;/RecNum&gt;&lt;DisplayText&gt;[2]&lt;/DisplayText&gt;&lt;record&gt;&lt;rec-number&gt;67&lt;/rec-number&gt;&lt;foreign-keys&gt;&lt;key app="EN" db-id="a9ww9dt0mxr5zoexds65xer9xra0dveprd5d" timestamp="1741869108"&gt;67&lt;/key&gt;&lt;/foreign-keys&gt;&lt;ref-type name="Journal Article"&gt;17&lt;/ref-type&gt;&lt;contributors&gt;&lt;authors&gt;&lt;author&gt;Jolaoso, Lateef&lt;/author&gt;&lt;author&gt;Zaman, Sharif Fakhruz&lt;/author&gt;&lt;/authors&gt;&lt;/contributors&gt;&lt;titles&gt;&lt;title&gt;Catalytic Ammonia Decomposition for Hydrogen Production: Utilization of Ammonia in a Fuel Cell&lt;/title&gt;&lt;/titles&gt;&lt;dates&gt;&lt;year&gt;2020&lt;/year&gt;&lt;/dates&gt;&lt;urls&gt;&lt;/urls&gt;&lt;/record&gt;&lt;/Cite&gt;&lt;/EndNote&gt;</w:instrText>
      </w:r>
      <w:r>
        <w:fldChar w:fldCharType="separate"/>
      </w:r>
      <w:r>
        <w:t>[2]</w:t>
      </w:r>
      <w:r>
        <w:fldChar w:fldCharType="end"/>
      </w:r>
    </w:p>
    <w:p w14:paraId="1DE52A14">
      <w:pPr>
        <w:pStyle w:val="4"/>
        <w:spacing w:before="5"/>
        <w:rPr>
          <w:rFonts w:ascii="Times New Roman" w:hAnsi="Times New Roman" w:cs="Times New Roman"/>
          <w:sz w:val="24"/>
          <w:szCs w:val="24"/>
        </w:rPr>
      </w:pPr>
      <w:r>
        <w:rPr>
          <w:rFonts w:ascii="Times New Roman" w:hAnsi="Times New Roman" w:cs="Times New Roman"/>
          <w:sz w:val="24"/>
          <w:szCs w:val="24"/>
        </w:rPr>
        <w:t xml:space="preserve">Figure S2 visualises that due to the tightening of the hydrogen storage rules, only six suitable hydrogen vectors remain since 2015. Of these six, water, methanol and ammonia are the most common chemicals. Water is converted into hydrogen and oxygen by electrolysis without emitting any greenhouse gasses when renewable electricity is applied. Although it is considered as a mature hydrogen producing technology, the production cost needs to be reduced to be competitive with other mature hydrogen producing methods, which includes carbon-based technologies like natural gas reforming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&lt;EndNote&gt;&lt;Cite&gt;&lt;Author&gt;Deng&lt;/Author&gt;&lt;Year&gt;2022&lt;/Year&gt;&lt;RecNum&gt;68&lt;/RecNum&gt;&lt;DisplayText&gt;[3]&lt;/DisplayText&gt;&lt;record&gt;&lt;rec-number&gt;68&lt;/rec-number&gt;&lt;foreign-keys&gt;&lt;key app="EN" db-id="a9ww9dt0mxr5zoexds65xer9xra0dveprd5d" timestamp="1741869215"&gt;68&lt;/key&gt;&lt;/foreign-keys&gt;&lt;ref-type name="Journal Article"&gt;17&lt;/ref-type&gt;&lt;contributors&gt;&lt;authors&gt;&lt;author&gt;Deng, Yimin&lt;/author&gt;&lt;author&gt;Li, Shuo&lt;/author&gt;&lt;author&gt;Dewil, Raf&lt;/author&gt;&lt;author&gt;Appels, Lise&lt;/author&gt;&lt;author&gt;Yang, Miao&lt;/author&gt;&lt;author&gt;Zhang, Huili&lt;/author&gt;&lt;author&gt;Baeyens, Jan&lt;/author&gt;&lt;/authors&gt;&lt;/contributors&gt;&lt;titles&gt;&lt;title&gt;&lt;style face="normal" font="default" size="100%"&gt;Water splitting by MnFe&lt;/style&gt;&lt;style face="subscript" font="default" size="100%"&gt;2&lt;/style&gt;&lt;style face="normal" font="default" size="100%"&gt;O&lt;/style&gt;&lt;style face="subscript" font="default" size="100%"&gt;4&lt;/style&gt;&lt;style face="normal" font="default" size="100%"&gt;/Na&lt;/style&gt;&lt;style face="subscript" font="default" size="100%"&gt;2&lt;/style&gt;&lt;style face="normal" font="default" size="100%"&gt;CO&lt;/style&gt;&lt;style face="subscript" font="default" size="100%"&gt;3 &lt;/style&gt;&lt;style face="normal" font="default" size="100%"&gt;reversible redox reactions&lt;/style&gt;&lt;/title&gt;&lt;secondary-title&gt;RSC Advances&lt;/secondary-title&gt;&lt;/titles&gt;&lt;periodical&gt;&lt;full-title&gt;RSC Advances&lt;/full-title&gt;&lt;/periodical&gt;&lt;pages&gt;31392-31401&lt;/pages&gt;&lt;volume&gt;12&lt;/volume&gt;&lt;number&gt;48&lt;/number&gt;&lt;dates&gt;&lt;year&gt;2022&lt;/year&gt;&lt;pub-dates&gt;&lt;date&gt;2022/10/27/&lt;/date&gt;&lt;/pub-dates&gt;&lt;/dates&gt;&lt;isbn&gt;2046-2069&lt;/isbn&gt;&lt;urls&gt;&lt;related-urls&gt;&lt;url&gt;https://www.sciencedirect.com/science/article/pii/S2046206922031709&lt;/url&gt;&lt;/related-urls&gt;&lt;/urls&gt;&lt;electronic-resource-num&gt;https://doi.org/10.1039/d2ra05319e&lt;/electronic-resource-num&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t>.</w:t>
      </w:r>
    </w:p>
    <w:p w14:paraId="1646537B">
      <w:pPr>
        <w:pStyle w:val="4"/>
        <w:spacing w:before="5"/>
        <w:rPr>
          <w:rFonts w:eastAsiaTheme="minorEastAsia"/>
          <w:sz w:val="24"/>
          <w:szCs w:val="24"/>
          <w:lang w:eastAsia="zh-CN"/>
        </w:rPr>
      </w:pPr>
    </w:p>
    <w:p w14:paraId="45B7B410">
      <w:pPr>
        <w:pStyle w:val="4"/>
        <w:spacing w:before="5"/>
        <w:rPr>
          <w:rFonts w:eastAsiaTheme="minorEastAsia"/>
          <w:sz w:val="24"/>
          <w:szCs w:val="24"/>
          <w:lang w:eastAsia="zh-CN"/>
        </w:rPr>
      </w:pPr>
    </w:p>
    <w:p w14:paraId="42A65C70">
      <w:pPr>
        <w:pStyle w:val="3"/>
        <w:rPr>
          <w:rFonts w:hint="eastAsia"/>
        </w:rPr>
      </w:pPr>
      <w:r>
        <w:rPr>
          <w:rFonts w:hint="eastAsia"/>
        </w:rPr>
        <w:t>R</w:t>
      </w:r>
      <w:r>
        <w:t>eference</w:t>
      </w:r>
    </w:p>
    <w:p w14:paraId="66E27D6D">
      <w:pPr>
        <w:pStyle w:val="18"/>
        <w:ind w:left="720" w:hanging="720"/>
      </w:pPr>
      <w:r>
        <w:fldChar w:fldCharType="begin"/>
      </w:r>
      <w:r>
        <w:instrText xml:space="preserve"> ADDIN EN.REFLIST </w:instrText>
      </w:r>
      <w:r>
        <w:fldChar w:fldCharType="separate"/>
      </w:r>
      <w:r>
        <w:t>[1] ASSOCIATES L, The Clean Hydrogen Ladder [Now updated to V4.1], 2021</w:t>
      </w:r>
    </w:p>
    <w:p w14:paraId="0CDFBA91">
      <w:pPr>
        <w:pStyle w:val="18"/>
        <w:ind w:left="720" w:hanging="720"/>
      </w:pPr>
      <w:r>
        <w:t xml:space="preserve">[2] JOLAOSO L and ZAMAN S F. Catalytic Ammonia Decomposition for Hydrogen Production: Utilization of Ammonia in a Fuel Cell. 2020: </w:t>
      </w:r>
    </w:p>
    <w:p w14:paraId="74529E07">
      <w:pPr>
        <w:pStyle w:val="18"/>
        <w:ind w:left="720" w:hanging="720"/>
      </w:pPr>
      <w:r>
        <w:t>[3] DENG Y, LI S, DEWIL R, et al. Water splitting by MnFe</w:t>
      </w:r>
      <w:r>
        <w:rPr>
          <w:vertAlign w:val="subscript"/>
        </w:rPr>
        <w:t>2</w:t>
      </w:r>
      <w:r>
        <w:t>O</w:t>
      </w:r>
      <w:r>
        <w:rPr>
          <w:vertAlign w:val="subscript"/>
        </w:rPr>
        <w:t>4</w:t>
      </w:r>
      <w:r>
        <w:t>/Na</w:t>
      </w:r>
      <w:r>
        <w:rPr>
          <w:vertAlign w:val="subscript"/>
        </w:rPr>
        <w:t>2</w:t>
      </w:r>
      <w:r>
        <w:t>CO</w:t>
      </w:r>
      <w:r>
        <w:rPr>
          <w:vertAlign w:val="subscript"/>
        </w:rPr>
        <w:t xml:space="preserve">3 </w:t>
      </w:r>
      <w:r>
        <w:t>reversible redox reactions. RSC Advances, 2022, 12(48): 31392-31401.</w:t>
      </w:r>
    </w:p>
    <w:p w14:paraId="7253AF86">
      <w:r>
        <w:fldChar w:fldCharType="end"/>
      </w:r>
    </w:p>
    <w:sectPr>
      <w:footerReference r:id="rId5" w:type="default"/>
      <w:footerReference r:id="rId6" w:type="even"/>
      <w:pgSz w:w="11906" w:h="16838"/>
      <w:pgMar w:top="1440" w:right="1080" w:bottom="1440" w:left="1080" w:header="851" w:footer="992" w:gutter="0"/>
      <w:lnNumType w:countBy="1" w:restart="continuou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Palatino Linotype">
    <w:panose1 w:val="02040502050505030304"/>
    <w:charset w:val="00"/>
    <w:family w:val="roman"/>
    <w:pitch w:val="default"/>
    <w:sig w:usb0="E00002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5872B">
    <w:pPr>
      <w:pStyle w:val="5"/>
      <w:jc w:val="center"/>
      <w:rPr>
        <w:rFonts w:hint="eastAsia"/>
      </w:rPr>
    </w:pPr>
  </w:p>
  <w:p w14:paraId="07EB90A5">
    <w:pPr>
      <w:pStyle w:val="5"/>
      <w:ind w:right="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9"/>
      </w:rPr>
      <w:id w:val="571858890"/>
    </w:sdtPr>
    <w:sdtEndPr>
      <w:rPr>
        <w:rStyle w:val="9"/>
      </w:rPr>
    </w:sdtEndPr>
    <w:sdtContent>
      <w:p w14:paraId="5F05B5E4">
        <w:pPr>
          <w:pStyle w:val="5"/>
          <w:framePr w:wrap="auto" w:vAnchor="text" w:hAnchor="margin" w:xAlign="center" w:y="1"/>
          <w:rPr>
            <w:rStyle w:val="9"/>
            <w:rFonts w:hint="eastAsia"/>
          </w:rPr>
        </w:pPr>
        <w:r>
          <w:rPr>
            <w:rStyle w:val="9"/>
          </w:rPr>
          <w:fldChar w:fldCharType="begin"/>
        </w:r>
        <w:r>
          <w:rPr>
            <w:rStyle w:val="9"/>
          </w:rPr>
          <w:instrText xml:space="preserve"> PAGE </w:instrText>
        </w:r>
        <w:r>
          <w:rPr>
            <w:rStyle w:val="9"/>
          </w:rPr>
          <w:fldChar w:fldCharType="separate"/>
        </w:r>
        <w:r>
          <w:rPr>
            <w:rStyle w:val="9"/>
            <w:rFonts w:hint="eastAsia"/>
          </w:rPr>
          <w:t>1</w:t>
        </w:r>
        <w:r>
          <w:rPr>
            <w:rStyle w:val="9"/>
          </w:rPr>
          <w:fldChar w:fldCharType="end"/>
        </w:r>
      </w:p>
    </w:sdtContent>
  </w:sdt>
  <w:p w14:paraId="791FCBE2">
    <w:pPr>
      <w:pStyle w:val="5"/>
      <w:ind w:right="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北京化工大学毕业论文格式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9ww9dt0mxr5zoexds65xer9xra0dveprd5d&quot;&gt;Yibing  Library&lt;record-ids&gt;&lt;item&gt;67&lt;/item&gt;&lt;item&gt;68&lt;/item&gt;&lt;item&gt;69&lt;/item&gt;&lt;/record-ids&gt;&lt;/item&gt;&lt;/Libraries&gt;"/>
  </w:docVars>
  <w:rsids>
    <w:rsidRoot w:val="002B4939"/>
    <w:rsid w:val="00013D35"/>
    <w:rsid w:val="000765F1"/>
    <w:rsid w:val="001D71EB"/>
    <w:rsid w:val="00205333"/>
    <w:rsid w:val="00235882"/>
    <w:rsid w:val="002A3752"/>
    <w:rsid w:val="002A4FCB"/>
    <w:rsid w:val="002B4939"/>
    <w:rsid w:val="00326910"/>
    <w:rsid w:val="00454ABF"/>
    <w:rsid w:val="004B1D1A"/>
    <w:rsid w:val="004E5A7C"/>
    <w:rsid w:val="00563EA1"/>
    <w:rsid w:val="006B5338"/>
    <w:rsid w:val="006C254C"/>
    <w:rsid w:val="00791870"/>
    <w:rsid w:val="00821800"/>
    <w:rsid w:val="00937CB4"/>
    <w:rsid w:val="00CD59D5"/>
    <w:rsid w:val="00F03CC1"/>
    <w:rsid w:val="00FD15DC"/>
    <w:rsid w:val="00FF308E"/>
    <w:rsid w:val="36484E32"/>
    <w:rsid w:val="601C76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qFormat="1"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363"/>
      <w:jc w:val="both"/>
    </w:pPr>
    <w:rPr>
      <w:rFonts w:ascii="Times New Roman" w:hAnsi="Times New Roman" w:eastAsiaTheme="minorEastAsia" w:cstheme="minorBidi"/>
      <w:kern w:val="2"/>
      <w:sz w:val="24"/>
      <w:szCs w:val="24"/>
      <w:lang w:val="en-US" w:eastAsia="zh-CN" w:bidi="ar-SA"/>
    </w:rPr>
  </w:style>
  <w:style w:type="paragraph" w:styleId="2">
    <w:name w:val="heading 1"/>
    <w:basedOn w:val="1"/>
    <w:next w:val="1"/>
    <w:link w:val="2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6"/>
    <w:qFormat/>
    <w:uiPriority w:val="1"/>
    <w:pPr>
      <w:autoSpaceDE w:val="0"/>
      <w:autoSpaceDN w:val="0"/>
      <w:jc w:val="left"/>
    </w:pPr>
    <w:rPr>
      <w:rFonts w:ascii="Palatino Linotype" w:hAnsi="Palatino Linotype" w:eastAsia="Palatino Linotype" w:cs="Palatino Linotype"/>
      <w:kern w:val="0"/>
      <w:sz w:val="22"/>
      <w:szCs w:val="22"/>
      <w:lang w:eastAsia="en-US"/>
    </w:rPr>
  </w:style>
  <w:style w:type="paragraph" w:styleId="5">
    <w:name w:val="footer"/>
    <w:basedOn w:val="1"/>
    <w:link w:val="14"/>
    <w:unhideWhenUsed/>
    <w:qFormat/>
    <w:uiPriority w:val="99"/>
    <w:pPr>
      <w:tabs>
        <w:tab w:val="center" w:pos="4153"/>
        <w:tab w:val="right" w:pos="8306"/>
      </w:tabs>
      <w:snapToGrid w:val="0"/>
      <w:spacing w:line="240" w:lineRule="auto"/>
      <w:ind w:firstLine="0"/>
      <w:jc w:val="left"/>
    </w:pPr>
    <w:rPr>
      <w:rFonts w:asciiTheme="minorHAnsi" w:hAnsiTheme="minorHAnsi"/>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spacing w:line="240" w:lineRule="auto"/>
      <w:ind w:firstLine="0"/>
      <w:jc w:val="center"/>
    </w:pPr>
    <w:rPr>
      <w:rFonts w:asciiTheme="minorHAnsi" w:hAnsiTheme="minorHAnsi"/>
      <w:sz w:val="18"/>
      <w:szCs w:val="18"/>
    </w:rPr>
  </w:style>
  <w:style w:type="character" w:styleId="9">
    <w:name w:val="page number"/>
    <w:basedOn w:val="8"/>
    <w:semiHidden/>
    <w:unhideWhenUsed/>
    <w:qFormat/>
    <w:uiPriority w:val="99"/>
  </w:style>
  <w:style w:type="character" w:styleId="10">
    <w:name w:val="FollowedHyperlink"/>
    <w:basedOn w:val="8"/>
    <w:semiHidden/>
    <w:unhideWhenUsed/>
    <w:qFormat/>
    <w:uiPriority w:val="99"/>
    <w:rPr>
      <w:color w:val="954F72" w:themeColor="followedHyperlink"/>
      <w:u w:val="single"/>
      <w14:textFill>
        <w14:solidFill>
          <w14:schemeClr w14:val="folHlink"/>
        </w14:solidFill>
      </w14:textFill>
    </w:rPr>
  </w:style>
  <w:style w:type="character" w:styleId="11">
    <w:name w:val="line number"/>
    <w:basedOn w:val="8"/>
    <w:semiHidden/>
    <w:unhideWhenUsed/>
    <w:qFormat/>
    <w:uiPriority w:val="99"/>
  </w:style>
  <w:style w:type="character" w:styleId="12">
    <w:name w:val="Hyperlink"/>
    <w:basedOn w:val="8"/>
    <w:unhideWhenUsed/>
    <w:qFormat/>
    <w:uiPriority w:val="99"/>
    <w:rPr>
      <w:color w:val="0563C1" w:themeColor="hyperlink"/>
      <w:u w:val="single"/>
      <w14:textFill>
        <w14:solidFill>
          <w14:schemeClr w14:val="hlink"/>
        </w14:solidFill>
      </w14:textFill>
    </w:rPr>
  </w:style>
  <w:style w:type="character" w:customStyle="1" w:styleId="13">
    <w:name w:val="页眉 字符"/>
    <w:basedOn w:val="8"/>
    <w:link w:val="6"/>
    <w:qFormat/>
    <w:uiPriority w:val="99"/>
    <w:rPr>
      <w:sz w:val="18"/>
      <w:szCs w:val="18"/>
    </w:rPr>
  </w:style>
  <w:style w:type="character" w:customStyle="1" w:styleId="14">
    <w:name w:val="页脚 字符"/>
    <w:basedOn w:val="8"/>
    <w:link w:val="5"/>
    <w:qFormat/>
    <w:uiPriority w:val="99"/>
    <w:rPr>
      <w:sz w:val="18"/>
      <w:szCs w:val="18"/>
    </w:rPr>
  </w:style>
  <w:style w:type="paragraph" w:customStyle="1" w:styleId="15">
    <w:name w:val="Normal_Copy"/>
    <w:basedOn w:val="1"/>
    <w:link w:val="17"/>
    <w:qFormat/>
    <w:uiPriority w:val="0"/>
    <w:rPr>
      <w:rFonts w:cs="Times New Roman"/>
      <w:color w:val="000000" w:themeColor="text1"/>
      <w14:textFill>
        <w14:solidFill>
          <w14:schemeClr w14:val="tx1"/>
        </w14:solidFill>
      </w14:textFill>
    </w:rPr>
  </w:style>
  <w:style w:type="character" w:customStyle="1" w:styleId="16">
    <w:name w:val="正文文本 字符"/>
    <w:basedOn w:val="8"/>
    <w:link w:val="4"/>
    <w:qFormat/>
    <w:uiPriority w:val="1"/>
    <w:rPr>
      <w:rFonts w:ascii="Palatino Linotype" w:hAnsi="Palatino Linotype" w:eastAsia="Palatino Linotype" w:cs="Palatino Linotype"/>
      <w:kern w:val="0"/>
      <w:sz w:val="22"/>
      <w:lang w:eastAsia="en-US"/>
    </w:rPr>
  </w:style>
  <w:style w:type="character" w:customStyle="1" w:styleId="17">
    <w:name w:val="Normal_Copy Char"/>
    <w:basedOn w:val="8"/>
    <w:link w:val="15"/>
    <w:qFormat/>
    <w:uiPriority w:val="0"/>
    <w:rPr>
      <w:rFonts w:ascii="Times New Roman" w:hAnsi="Times New Roman" w:cs="Times New Roman"/>
      <w:color w:val="000000" w:themeColor="text1"/>
      <w:sz w:val="24"/>
      <w:szCs w:val="24"/>
      <w14:textFill>
        <w14:solidFill>
          <w14:schemeClr w14:val="tx1"/>
        </w14:solidFill>
      </w14:textFill>
    </w:rPr>
  </w:style>
  <w:style w:type="paragraph" w:customStyle="1" w:styleId="18">
    <w:name w:val="EndNote Bibliography"/>
    <w:basedOn w:val="1"/>
    <w:link w:val="19"/>
    <w:qFormat/>
    <w:uiPriority w:val="0"/>
    <w:pPr>
      <w:spacing w:line="240" w:lineRule="auto"/>
    </w:pPr>
    <w:rPr>
      <w:rFonts w:eastAsia="等线" w:cs="Times New Roman"/>
    </w:rPr>
  </w:style>
  <w:style w:type="character" w:customStyle="1" w:styleId="19">
    <w:name w:val="EndNote Bibliography 字符"/>
    <w:basedOn w:val="8"/>
    <w:link w:val="18"/>
    <w:qFormat/>
    <w:uiPriority w:val="0"/>
    <w:rPr>
      <w:rFonts w:ascii="Times New Roman" w:hAnsi="Times New Roman" w:eastAsia="等线" w:cs="Times New Roman"/>
      <w:sz w:val="24"/>
      <w:szCs w:val="24"/>
    </w:rPr>
  </w:style>
  <w:style w:type="character" w:customStyle="1" w:styleId="20">
    <w:name w:val="Unresolved Mention"/>
    <w:basedOn w:val="8"/>
    <w:semiHidden/>
    <w:unhideWhenUsed/>
    <w:qFormat/>
    <w:uiPriority w:val="99"/>
    <w:rPr>
      <w:color w:val="605E5C"/>
      <w:shd w:val="clear" w:color="auto" w:fill="E1DFDD"/>
    </w:rPr>
  </w:style>
  <w:style w:type="paragraph" w:customStyle="1" w:styleId="21">
    <w:name w:val="EndNote Bibliography Title"/>
    <w:basedOn w:val="1"/>
    <w:link w:val="22"/>
    <w:qFormat/>
    <w:uiPriority w:val="0"/>
    <w:pPr>
      <w:jc w:val="center"/>
    </w:pPr>
    <w:rPr>
      <w:rFonts w:cs="Times New Roman"/>
    </w:rPr>
  </w:style>
  <w:style w:type="character" w:customStyle="1" w:styleId="22">
    <w:name w:val="EndNote Bibliography Title 字符"/>
    <w:basedOn w:val="17"/>
    <w:link w:val="21"/>
    <w:qFormat/>
    <w:uiPriority w:val="0"/>
    <w:rPr>
      <w:rFonts w:ascii="Times New Roman" w:hAnsi="Times New Roman" w:cs="Times New Roman"/>
      <w:color w:val="000000" w:themeColor="text1"/>
      <w:sz w:val="24"/>
      <w:szCs w:val="24"/>
      <w14:textFill>
        <w14:solidFill>
          <w14:schemeClr w14:val="tx1"/>
        </w14:solidFill>
      </w14:textFill>
    </w:rPr>
  </w:style>
  <w:style w:type="character" w:customStyle="1" w:styleId="23">
    <w:name w:val="标题 1 字符"/>
    <w:basedOn w:val="8"/>
    <w:link w:val="2"/>
    <w:qFormat/>
    <w:uiPriority w:val="9"/>
    <w:rPr>
      <w:rFonts w:ascii="Times New Roman" w:hAnsi="Times New Roman"/>
      <w:b/>
      <w:bCs/>
      <w:kern w:val="44"/>
      <w:sz w:val="44"/>
      <w:szCs w:val="44"/>
    </w:rPr>
  </w:style>
  <w:style w:type="character" w:customStyle="1" w:styleId="24">
    <w:name w:val="标题 2 字符"/>
    <w:basedOn w:val="8"/>
    <w:link w:val="3"/>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B8C09-B2E2-4D03-9D99-CC3367534861}">
  <ds:schemaRefs/>
</ds:datastoreItem>
</file>

<file path=docProps/app.xml><?xml version="1.0" encoding="utf-8"?>
<Properties xmlns="http://schemas.openxmlformats.org/officeDocument/2006/extended-properties" xmlns:vt="http://schemas.openxmlformats.org/officeDocument/2006/docPropsVTypes">
  <Template>Normal</Template>
  <Pages>3</Pages>
  <Words>408</Words>
  <Characters>2379</Characters>
  <Lines>40</Lines>
  <Paragraphs>11</Paragraphs>
  <TotalTime>67</TotalTime>
  <ScaleCrop>false</ScaleCrop>
  <LinksUpToDate>false</LinksUpToDate>
  <CharactersWithSpaces>2768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2025-03-10T07:44:00Z</dcterms:created>
  <dc:creator>Yibing KOU</dc:creator>
  <cp:lastModifiedBy>JinJin</cp:lastModifiedBy>
  <dcterms:modified xsi:type="dcterms:W3CDTF">2025-03-27T06:34:44Z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eyJoZGlkIjoiMDkzZTJlNzJhYzI3MjJiNDQ4Yzc5ZDZlZDRmMjE1M2MiLCJ1c2VySWQiOiI0OTk3MDEyNTkifQ==</vt:lpwstr>
  </property>
  <property fmtid="{D5CDD505-2E9C-101B-9397-08002B2CF9AE}" pid="3" name="KSOProductBuildVer">
    <vt:lpwstr>2052-12.1.0.20305</vt:lpwstr>
  </property>
  <property fmtid="{D5CDD505-2E9C-101B-9397-08002B2CF9AE}" pid="4" name="ICV">
    <vt:lpwstr>8F3437C847844D98BDB297B310C67EF4_12</vt:lpwstr>
  </property>
</Properties>
</file>