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77DE5" w14:textId="5575ADE1" w:rsidR="002039E8" w:rsidRPr="000A7793" w:rsidRDefault="002039E8" w:rsidP="00396CEF">
      <w:pPr>
        <w:widowControl/>
        <w:spacing w:line="360" w:lineRule="auto"/>
        <w:jc w:val="center"/>
        <w:rPr>
          <w:rFonts w:ascii="Times New Roman" w:eastAsia="宋体" w:hAnsi="Times New Roman" w:cs="Times New Roman"/>
          <w:b/>
          <w:bCs/>
          <w:sz w:val="24"/>
          <w:szCs w:val="24"/>
          <w:shd w:val="clear" w:color="auto" w:fill="FFFFFF"/>
        </w:rPr>
      </w:pPr>
    </w:p>
    <w:p w14:paraId="1E9C7BF7" w14:textId="0738ED42" w:rsidR="002039E8" w:rsidRPr="00190104" w:rsidRDefault="00190104" w:rsidP="00396CEF">
      <w:pPr>
        <w:widowControl/>
        <w:spacing w:line="360" w:lineRule="auto"/>
        <w:jc w:val="center"/>
        <w:rPr>
          <w:rFonts w:ascii="Times New Roman" w:eastAsia="宋体" w:hAnsi="Times New Roman" w:cs="Times New Roman"/>
          <w:b/>
          <w:bCs/>
          <w:sz w:val="36"/>
          <w:szCs w:val="36"/>
          <w:shd w:val="clear" w:color="auto" w:fill="FFFFFF"/>
        </w:rPr>
      </w:pPr>
      <w:r w:rsidRPr="00190104">
        <w:rPr>
          <w:rFonts w:ascii="Times New Roman" w:eastAsia="宋体" w:hAnsi="Times New Roman" w:cs="Times New Roman" w:hint="eastAsia"/>
          <w:b/>
          <w:bCs/>
          <w:sz w:val="36"/>
          <w:szCs w:val="36"/>
          <w:shd w:val="clear" w:color="auto" w:fill="FFFFFF"/>
        </w:rPr>
        <w:t xml:space="preserve">Electronic </w:t>
      </w:r>
      <w:r w:rsidR="002039E8" w:rsidRPr="00190104">
        <w:rPr>
          <w:rFonts w:ascii="Times New Roman" w:eastAsia="宋体" w:hAnsi="Times New Roman" w:cs="Times New Roman"/>
          <w:b/>
          <w:bCs/>
          <w:sz w:val="36"/>
          <w:szCs w:val="36"/>
          <w:shd w:val="clear" w:color="auto" w:fill="FFFFFF"/>
        </w:rPr>
        <w:t>Supplementary Material</w:t>
      </w:r>
    </w:p>
    <w:p w14:paraId="30A2FE92" w14:textId="77777777" w:rsidR="00F33D74" w:rsidRPr="000A7793" w:rsidRDefault="00F33D74" w:rsidP="00396CEF">
      <w:pPr>
        <w:widowControl/>
        <w:spacing w:line="360" w:lineRule="auto"/>
        <w:jc w:val="center"/>
        <w:rPr>
          <w:rFonts w:ascii="Times New Roman" w:eastAsia="宋体" w:hAnsi="Times New Roman" w:cs="Times New Roman"/>
          <w:b/>
          <w:bCs/>
          <w:sz w:val="32"/>
          <w:szCs w:val="32"/>
          <w:shd w:val="clear" w:color="auto" w:fill="FFFFFF"/>
        </w:rPr>
      </w:pPr>
    </w:p>
    <w:p w14:paraId="0D20C6A4" w14:textId="77777777" w:rsidR="00190104" w:rsidRPr="00190104" w:rsidRDefault="00190104" w:rsidP="00190104">
      <w:pPr>
        <w:widowControl/>
        <w:jc w:val="center"/>
        <w:outlineLvl w:val="1"/>
        <w:rPr>
          <w:rFonts w:ascii="Times New Roman" w:eastAsia="宋体" w:hAnsi="Times New Roman" w:cs="Times New Roman"/>
          <w:b/>
          <w:bCs/>
          <w:color w:val="000000" w:themeColor="text1"/>
          <w:kern w:val="0"/>
          <w:sz w:val="32"/>
          <w:szCs w:val="36"/>
        </w:rPr>
      </w:pPr>
      <w:r w:rsidRPr="00190104">
        <w:rPr>
          <w:rFonts w:ascii="Times New Roman" w:eastAsia="宋体" w:hAnsi="Times New Roman" w:cs="Times New Roman"/>
          <w:b/>
          <w:bCs/>
          <w:color w:val="000000" w:themeColor="text1"/>
          <w:kern w:val="0"/>
          <w:sz w:val="32"/>
          <w:szCs w:val="36"/>
        </w:rPr>
        <w:t>Application and kinetics of inorganic ammonia carbon capture: current status, theory and perspectives</w:t>
      </w:r>
    </w:p>
    <w:p w14:paraId="3D7129E4" w14:textId="77777777" w:rsidR="00190104" w:rsidRPr="00190104" w:rsidRDefault="00190104" w:rsidP="00190104">
      <w:pPr>
        <w:widowControl/>
        <w:jc w:val="center"/>
        <w:rPr>
          <w:rFonts w:ascii="Times New Roman" w:eastAsia="宋体" w:hAnsi="Times New Roman" w:cs="Times New Roman"/>
          <w:color w:val="000000" w:themeColor="text1"/>
          <w:szCs w:val="22"/>
          <w:shd w:val="clear" w:color="auto" w:fill="FFFFFF"/>
          <w:vertAlign w:val="superscript"/>
        </w:rPr>
      </w:pPr>
      <w:bookmarkStart w:id="0" w:name="_Hlk167108625"/>
      <w:proofErr w:type="spellStart"/>
      <w:r w:rsidRPr="00190104">
        <w:rPr>
          <w:rFonts w:ascii="Times New Roman" w:eastAsia="宋体" w:hAnsi="Times New Roman" w:cs="Times New Roman"/>
          <w:color w:val="000000" w:themeColor="text1"/>
          <w:szCs w:val="22"/>
        </w:rPr>
        <w:t>Shuaijun</w:t>
      </w:r>
      <w:proofErr w:type="spellEnd"/>
      <w:r w:rsidRPr="00190104">
        <w:rPr>
          <w:rFonts w:ascii="Times New Roman" w:eastAsia="宋体" w:hAnsi="Times New Roman" w:cs="Times New Roman"/>
          <w:color w:val="000000" w:themeColor="text1"/>
          <w:szCs w:val="22"/>
        </w:rPr>
        <w:t xml:space="preserve"> Fan</w:t>
      </w:r>
      <w:r w:rsidRPr="00190104">
        <w:rPr>
          <w:rFonts w:ascii="Times New Roman" w:eastAsia="宋体" w:hAnsi="Times New Roman" w:cs="Times New Roman"/>
          <w:color w:val="000000" w:themeColor="text1"/>
          <w:szCs w:val="22"/>
          <w:shd w:val="clear" w:color="auto" w:fill="FFFFFF"/>
          <w:vertAlign w:val="superscript"/>
        </w:rPr>
        <w:t>1,3</w:t>
      </w:r>
      <w:r w:rsidRPr="00190104">
        <w:rPr>
          <w:rFonts w:ascii="Times New Roman" w:eastAsia="宋体" w:hAnsi="Times New Roman" w:cs="Times New Roman"/>
          <w:color w:val="000000" w:themeColor="text1"/>
          <w:szCs w:val="22"/>
        </w:rPr>
        <w:t>, Jun Jia</w:t>
      </w:r>
      <w:r w:rsidRPr="00190104">
        <w:rPr>
          <w:rFonts w:ascii="Times New Roman" w:eastAsia="宋体" w:hAnsi="Times New Roman" w:cs="Times New Roman"/>
          <w:color w:val="000000" w:themeColor="text1"/>
          <w:szCs w:val="22"/>
          <w:vertAlign w:val="superscript"/>
        </w:rPr>
        <w:t>2</w:t>
      </w:r>
      <w:r w:rsidRPr="00190104">
        <w:rPr>
          <w:rFonts w:ascii="Times New Roman" w:eastAsia="宋体" w:hAnsi="Times New Roman" w:cs="Times New Roman"/>
          <w:color w:val="000000" w:themeColor="text1"/>
          <w:szCs w:val="22"/>
        </w:rPr>
        <w:t>, Jialin Chen</w:t>
      </w:r>
      <w:r w:rsidRPr="00190104">
        <w:rPr>
          <w:rFonts w:ascii="Times New Roman" w:eastAsia="宋体" w:hAnsi="Times New Roman" w:cs="Times New Roman"/>
          <w:color w:val="000000" w:themeColor="text1"/>
          <w:szCs w:val="22"/>
          <w:vertAlign w:val="superscript"/>
        </w:rPr>
        <w:t>3</w:t>
      </w:r>
      <w:r w:rsidRPr="00190104">
        <w:rPr>
          <w:rFonts w:ascii="Times New Roman" w:eastAsia="宋体" w:hAnsi="Times New Roman" w:cs="Times New Roman"/>
          <w:color w:val="000000" w:themeColor="text1"/>
          <w:szCs w:val="22"/>
        </w:rPr>
        <w:t xml:space="preserve">, </w:t>
      </w:r>
      <w:proofErr w:type="spellStart"/>
      <w:r w:rsidRPr="00190104">
        <w:rPr>
          <w:rFonts w:ascii="Times New Roman" w:eastAsia="宋体" w:hAnsi="Times New Roman" w:cs="Times New Roman"/>
          <w:color w:val="000000" w:themeColor="text1"/>
          <w:szCs w:val="22"/>
        </w:rPr>
        <w:t>Wentong</w:t>
      </w:r>
      <w:proofErr w:type="spellEnd"/>
      <w:r w:rsidRPr="00190104">
        <w:rPr>
          <w:rFonts w:ascii="Times New Roman" w:eastAsia="宋体" w:hAnsi="Times New Roman" w:cs="Times New Roman"/>
          <w:color w:val="000000" w:themeColor="text1"/>
          <w:szCs w:val="22"/>
        </w:rPr>
        <w:t xml:space="preserve"> Chen</w:t>
      </w:r>
      <w:r w:rsidRPr="00190104">
        <w:rPr>
          <w:rFonts w:ascii="Times New Roman" w:eastAsia="宋体" w:hAnsi="Times New Roman" w:cs="Times New Roman"/>
          <w:color w:val="000000" w:themeColor="text1"/>
          <w:szCs w:val="22"/>
          <w:vertAlign w:val="superscript"/>
        </w:rPr>
        <w:t>2</w:t>
      </w:r>
      <w:r w:rsidRPr="00190104">
        <w:rPr>
          <w:rFonts w:ascii="Times New Roman" w:eastAsia="宋体" w:hAnsi="Times New Roman" w:cs="Times New Roman"/>
          <w:color w:val="000000" w:themeColor="text1"/>
          <w:szCs w:val="22"/>
        </w:rPr>
        <w:t xml:space="preserve">, </w:t>
      </w:r>
      <w:proofErr w:type="spellStart"/>
      <w:r w:rsidRPr="00190104">
        <w:rPr>
          <w:rFonts w:ascii="Times New Roman" w:eastAsia="宋体" w:hAnsi="Times New Roman" w:cs="Times New Roman"/>
          <w:color w:val="000000" w:themeColor="text1"/>
          <w:szCs w:val="22"/>
        </w:rPr>
        <w:t>Jingxiang</w:t>
      </w:r>
      <w:proofErr w:type="spellEnd"/>
      <w:r w:rsidRPr="00190104">
        <w:rPr>
          <w:rFonts w:ascii="Times New Roman" w:eastAsia="宋体" w:hAnsi="Times New Roman" w:cs="Times New Roman"/>
          <w:color w:val="000000" w:themeColor="text1"/>
          <w:szCs w:val="22"/>
        </w:rPr>
        <w:t xml:space="preserve"> Ma</w:t>
      </w:r>
      <w:r w:rsidRPr="00190104">
        <w:rPr>
          <w:rFonts w:ascii="Times New Roman" w:eastAsia="宋体" w:hAnsi="Times New Roman" w:cs="Times New Roman"/>
          <w:color w:val="000000" w:themeColor="text1"/>
          <w:szCs w:val="22"/>
          <w:vertAlign w:val="superscript"/>
        </w:rPr>
        <w:t>3</w:t>
      </w:r>
      <w:r w:rsidRPr="00190104">
        <w:rPr>
          <w:rFonts w:ascii="Times New Roman" w:eastAsia="宋体" w:hAnsi="Times New Roman" w:cs="Times New Roman"/>
          <w:color w:val="000000" w:themeColor="text1"/>
          <w:szCs w:val="22"/>
        </w:rPr>
        <w:t xml:space="preserve">, </w:t>
      </w:r>
      <w:proofErr w:type="spellStart"/>
      <w:r w:rsidRPr="00190104">
        <w:rPr>
          <w:rFonts w:ascii="Times New Roman" w:eastAsia="宋体" w:hAnsi="Times New Roman" w:cs="Times New Roman"/>
          <w:color w:val="000000" w:themeColor="text1"/>
          <w:szCs w:val="22"/>
          <w:shd w:val="clear" w:color="auto" w:fill="FFFFFF"/>
        </w:rPr>
        <w:t>Shuangchen</w:t>
      </w:r>
      <w:proofErr w:type="spellEnd"/>
      <w:r w:rsidRPr="00190104">
        <w:rPr>
          <w:rFonts w:ascii="Times New Roman" w:eastAsia="宋体" w:hAnsi="Times New Roman" w:cs="Times New Roman"/>
          <w:color w:val="000000" w:themeColor="text1"/>
          <w:szCs w:val="22"/>
          <w:shd w:val="clear" w:color="auto" w:fill="FFFFFF"/>
        </w:rPr>
        <w:t xml:space="preserve"> Ma </w:t>
      </w:r>
      <w:r w:rsidRPr="00190104">
        <w:rPr>
          <w:rFonts w:ascii="Times New Roman" w:eastAsia="宋体" w:hAnsi="Times New Roman" w:cs="Times New Roman"/>
          <w:b/>
          <w:color w:val="000000" w:themeColor="text1"/>
          <w:szCs w:val="22"/>
          <w:shd w:val="clear" w:color="auto" w:fill="FFFFFF"/>
        </w:rPr>
        <w:t>(</w:t>
      </w:r>
      <w:r w:rsidRPr="00190104">
        <w:rPr>
          <w:rFonts w:ascii="Times New Roman" w:eastAsia="宋体" w:hAnsi="Times New Roman" w:cs="Times New Roman"/>
          <w:b/>
          <w:color w:val="000000" w:themeColor="text1"/>
          <w:szCs w:val="22"/>
          <w:shd w:val="clear" w:color="auto" w:fill="FFFFFF"/>
        </w:rPr>
        <w:sym w:font="Wingdings" w:char="F02A"/>
      </w:r>
      <w:r w:rsidRPr="00190104">
        <w:rPr>
          <w:rFonts w:ascii="Times New Roman" w:eastAsia="宋体" w:hAnsi="Times New Roman" w:cs="Times New Roman"/>
          <w:b/>
          <w:color w:val="000000" w:themeColor="text1"/>
          <w:szCs w:val="22"/>
          <w:shd w:val="clear" w:color="auto" w:fill="FFFFFF"/>
        </w:rPr>
        <w:t>)</w:t>
      </w:r>
      <w:r w:rsidRPr="00190104">
        <w:rPr>
          <w:rFonts w:ascii="Times New Roman" w:eastAsia="宋体" w:hAnsi="Times New Roman" w:cs="Times New Roman"/>
          <w:color w:val="000000" w:themeColor="text1"/>
          <w:szCs w:val="22"/>
          <w:shd w:val="clear" w:color="auto" w:fill="FFFFFF"/>
          <w:vertAlign w:val="superscript"/>
        </w:rPr>
        <w:t>1,3</w:t>
      </w:r>
    </w:p>
    <w:p w14:paraId="3960DF07" w14:textId="77777777" w:rsidR="00190104" w:rsidRPr="00190104" w:rsidRDefault="00190104" w:rsidP="00190104">
      <w:pPr>
        <w:widowControl/>
        <w:rPr>
          <w:rFonts w:ascii="Times New Roman" w:eastAsia="宋体" w:hAnsi="Times New Roman" w:cs="Times New Roman"/>
          <w:color w:val="000000" w:themeColor="text1"/>
          <w:szCs w:val="22"/>
          <w:shd w:val="clear" w:color="auto" w:fill="FFFFFF"/>
        </w:rPr>
      </w:pPr>
    </w:p>
    <w:bookmarkEnd w:id="0"/>
    <w:p w14:paraId="5458E928" w14:textId="77777777" w:rsidR="00190104" w:rsidRPr="00190104" w:rsidRDefault="00190104" w:rsidP="00190104">
      <w:pPr>
        <w:widowControl/>
        <w:jc w:val="left"/>
        <w:rPr>
          <w:rFonts w:ascii="Times New Roman" w:eastAsia="宋体" w:hAnsi="Times New Roman" w:cs="Times New Roman"/>
          <w:iCs/>
          <w:color w:val="000000" w:themeColor="text1"/>
          <w:sz w:val="18"/>
          <w:szCs w:val="18"/>
          <w:shd w:val="clear" w:color="auto" w:fill="FFFFFF"/>
        </w:rPr>
      </w:pPr>
      <w:r w:rsidRPr="00190104">
        <w:rPr>
          <w:rFonts w:ascii="Times New Roman" w:eastAsia="宋体" w:hAnsi="Times New Roman" w:cs="Times New Roman"/>
          <w:iCs/>
          <w:color w:val="000000" w:themeColor="text1"/>
          <w:sz w:val="18"/>
          <w:szCs w:val="18"/>
          <w:shd w:val="clear" w:color="auto" w:fill="FFFFFF"/>
        </w:rPr>
        <w:t xml:space="preserve">1 MOE Key Laboratory of Resources and Environmental Systems Optimization, North China Electric Power University, Beijing 102206, China </w:t>
      </w:r>
    </w:p>
    <w:p w14:paraId="71F586A9" w14:textId="77777777" w:rsidR="00190104" w:rsidRPr="00190104" w:rsidRDefault="00190104" w:rsidP="00190104">
      <w:pPr>
        <w:widowControl/>
        <w:jc w:val="left"/>
        <w:rPr>
          <w:rFonts w:ascii="Times New Roman" w:eastAsia="宋体" w:hAnsi="Times New Roman" w:cs="Times New Roman"/>
          <w:iCs/>
          <w:color w:val="000000" w:themeColor="text1"/>
          <w:sz w:val="18"/>
          <w:szCs w:val="18"/>
          <w:shd w:val="clear" w:color="auto" w:fill="FFFFFF"/>
        </w:rPr>
      </w:pPr>
      <w:r w:rsidRPr="00190104">
        <w:rPr>
          <w:rFonts w:ascii="Times New Roman" w:eastAsia="宋体" w:hAnsi="Times New Roman" w:cs="Times New Roman"/>
          <w:iCs/>
          <w:color w:val="000000" w:themeColor="text1"/>
          <w:sz w:val="18"/>
          <w:szCs w:val="18"/>
          <w:shd w:val="clear" w:color="auto" w:fill="FFFFFF"/>
        </w:rPr>
        <w:t>2 Shenzhen Energy Baoding Power Co., Ltd., Baoding 071051, China</w:t>
      </w:r>
    </w:p>
    <w:p w14:paraId="733BE725" w14:textId="77777777" w:rsidR="00190104" w:rsidRPr="00190104" w:rsidRDefault="00190104" w:rsidP="00190104">
      <w:pPr>
        <w:widowControl/>
        <w:jc w:val="left"/>
        <w:rPr>
          <w:rFonts w:ascii="Times New Roman" w:eastAsia="宋体" w:hAnsi="Times New Roman" w:cs="Times New Roman"/>
          <w:iCs/>
          <w:color w:val="000000" w:themeColor="text1"/>
          <w:sz w:val="18"/>
          <w:szCs w:val="18"/>
          <w:shd w:val="clear" w:color="auto" w:fill="FFFFFF"/>
        </w:rPr>
      </w:pPr>
      <w:r w:rsidRPr="00190104">
        <w:rPr>
          <w:rFonts w:ascii="Times New Roman" w:eastAsia="宋体" w:hAnsi="Times New Roman" w:cs="Times New Roman"/>
          <w:iCs/>
          <w:color w:val="000000" w:themeColor="text1"/>
          <w:sz w:val="18"/>
          <w:szCs w:val="18"/>
          <w:shd w:val="clear" w:color="auto" w:fill="FFFFFF"/>
        </w:rPr>
        <w:t>3 Department of Environmental Science and Engineering, North China Electric Power University, Baoding 071003, China</w:t>
      </w:r>
    </w:p>
    <w:p w14:paraId="3C347F6A" w14:textId="504FAD28" w:rsidR="00190104" w:rsidRPr="00190104" w:rsidRDefault="00190104" w:rsidP="00190104">
      <w:pPr>
        <w:widowControl/>
        <w:rPr>
          <w:rFonts w:ascii="Times New Roman" w:eastAsia="宋体" w:hAnsi="Times New Roman" w:cs="Times New Roman"/>
          <w:color w:val="000000" w:themeColor="text1"/>
          <w:sz w:val="18"/>
          <w:szCs w:val="18"/>
          <w:shd w:val="clear" w:color="auto" w:fill="FFFFFF"/>
        </w:rPr>
      </w:pPr>
    </w:p>
    <w:p w14:paraId="253169EF" w14:textId="4508E7AA" w:rsidR="00D25B59" w:rsidRPr="000A7793" w:rsidRDefault="00190104" w:rsidP="00190104">
      <w:pPr>
        <w:spacing w:line="360" w:lineRule="auto"/>
        <w:rPr>
          <w:rFonts w:ascii="Times New Roman" w:hAnsi="Times New Roman" w:cs="Times New Roman"/>
        </w:rPr>
      </w:pPr>
      <w:r w:rsidRPr="00190104">
        <w:rPr>
          <w:rFonts w:ascii="Times New Roman" w:eastAsia="宋体" w:hAnsi="Times New Roman" w:cs="Times New Roman"/>
          <w:color w:val="000000" w:themeColor="text1"/>
          <w:kern w:val="0"/>
          <w:sz w:val="18"/>
          <w:szCs w:val="18"/>
          <w:shd w:val="clear" w:color="auto" w:fill="FFFFFF"/>
        </w:rPr>
        <w:t xml:space="preserve">E-mail: </w:t>
      </w:r>
      <w:hyperlink r:id="rId8" w:history="1">
        <w:r w:rsidRPr="00190104">
          <w:rPr>
            <w:rFonts w:ascii="Times New Roman" w:eastAsia="宋体" w:hAnsi="Times New Roman" w:cs="Times New Roman"/>
            <w:color w:val="000000" w:themeColor="text1"/>
            <w:kern w:val="0"/>
            <w:sz w:val="18"/>
            <w:szCs w:val="18"/>
            <w:u w:val="single"/>
            <w:shd w:val="clear" w:color="auto" w:fill="FFFFFF"/>
          </w:rPr>
          <w:t>msc1225@163.com</w:t>
        </w:r>
      </w:hyperlink>
    </w:p>
    <w:p w14:paraId="726957B9" w14:textId="77777777" w:rsidR="00194D5F" w:rsidRPr="000A7793" w:rsidRDefault="00194D5F" w:rsidP="00396CEF">
      <w:pPr>
        <w:widowControl/>
        <w:spacing w:line="360" w:lineRule="auto"/>
        <w:jc w:val="left"/>
        <w:rPr>
          <w:rFonts w:ascii="Times New Roman" w:eastAsia="宋体" w:hAnsi="Times New Roman" w:cs="Times New Roman"/>
          <w:b/>
          <w:bCs/>
          <w:sz w:val="24"/>
          <w:szCs w:val="28"/>
        </w:rPr>
        <w:sectPr w:rsidR="00194D5F" w:rsidRPr="000A7793" w:rsidSect="00194D5F">
          <w:pgSz w:w="11907" w:h="16840" w:code="9"/>
          <w:pgMar w:top="1440" w:right="1800" w:bottom="1440" w:left="1800" w:header="851" w:footer="992" w:gutter="0"/>
          <w:cols w:space="425"/>
          <w:docGrid w:type="lines" w:linePitch="312"/>
        </w:sectPr>
      </w:pPr>
    </w:p>
    <w:p w14:paraId="106A0052" w14:textId="37D6F314" w:rsidR="00194D5F" w:rsidRPr="000A7793" w:rsidRDefault="00194D5F" w:rsidP="00396CEF">
      <w:pPr>
        <w:widowControl/>
        <w:spacing w:line="360" w:lineRule="auto"/>
        <w:jc w:val="left"/>
        <w:rPr>
          <w:rFonts w:ascii="Times New Roman" w:eastAsia="宋体" w:hAnsi="Times New Roman" w:cs="Times New Roman"/>
          <w:b/>
          <w:bCs/>
          <w:sz w:val="24"/>
          <w:szCs w:val="28"/>
        </w:rPr>
      </w:pPr>
    </w:p>
    <w:p w14:paraId="26D3CEEC" w14:textId="77777777" w:rsidR="00194D5F" w:rsidRPr="000A7793" w:rsidRDefault="00194D5F" w:rsidP="00396CEF">
      <w:pPr>
        <w:spacing w:line="360" w:lineRule="auto"/>
        <w:rPr>
          <w:rFonts w:ascii="Times New Roman" w:eastAsia="宋体" w:hAnsi="Times New Roman" w:cs="Times New Roman"/>
          <w:b/>
          <w:bCs/>
          <w:sz w:val="24"/>
          <w:szCs w:val="28"/>
        </w:rPr>
        <w:sectPr w:rsidR="00194D5F" w:rsidRPr="000A7793" w:rsidSect="00194D5F">
          <w:type w:val="continuous"/>
          <w:pgSz w:w="11907" w:h="16840" w:code="9"/>
          <w:pgMar w:top="1440" w:right="1800" w:bottom="1440" w:left="1800" w:header="851" w:footer="992" w:gutter="0"/>
          <w:cols w:num="2" w:space="425"/>
          <w:docGrid w:type="lines" w:linePitch="312"/>
        </w:sectPr>
      </w:pPr>
    </w:p>
    <w:p w14:paraId="5F81A3F8" w14:textId="342977F0" w:rsidR="00194D5F" w:rsidRPr="000A7793" w:rsidRDefault="00194D5F" w:rsidP="00396CEF">
      <w:pPr>
        <w:spacing w:line="360" w:lineRule="auto"/>
        <w:rPr>
          <w:rFonts w:ascii="Times New Roman" w:eastAsia="宋体" w:hAnsi="Times New Roman" w:cs="Times New Roman"/>
          <w:b/>
          <w:bCs/>
          <w:sz w:val="24"/>
          <w:szCs w:val="28"/>
        </w:rPr>
      </w:pPr>
      <w:r w:rsidRPr="000A7793">
        <w:rPr>
          <w:rFonts w:ascii="Times New Roman" w:eastAsia="宋体" w:hAnsi="Times New Roman" w:cs="Times New Roman"/>
          <w:b/>
          <w:bCs/>
          <w:sz w:val="24"/>
          <w:szCs w:val="28"/>
        </w:rPr>
        <w:lastRenderedPageBreak/>
        <w:t xml:space="preserve">Text S1. </w:t>
      </w:r>
      <w:bookmarkStart w:id="1" w:name="OLE_LINK75"/>
      <w:r w:rsidRPr="000A7793">
        <w:rPr>
          <w:rFonts w:ascii="Times New Roman" w:eastAsia="宋体" w:hAnsi="Times New Roman" w:cs="Times New Roman"/>
          <w:b/>
          <w:bCs/>
          <w:sz w:val="24"/>
          <w:szCs w:val="28"/>
        </w:rPr>
        <w:t>Research methods</w:t>
      </w:r>
      <w:bookmarkEnd w:id="1"/>
    </w:p>
    <w:p w14:paraId="0B7C5AEE" w14:textId="7612E9FE"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1.1. Research methods combined with theory</w:t>
      </w:r>
    </w:p>
    <w:p w14:paraId="3CB91D46" w14:textId="77777777" w:rsidR="00194D5F" w:rsidRPr="000A7793" w:rsidRDefault="00194D5F" w:rsidP="00396CEF">
      <w:pPr>
        <w:spacing w:line="360" w:lineRule="auto"/>
        <w:ind w:firstLineChars="200" w:firstLine="420"/>
        <w:rPr>
          <w:rFonts w:ascii="Times New Roman" w:eastAsia="宋体" w:hAnsi="Times New Roman" w:cs="Times New Roman"/>
        </w:rPr>
      </w:pPr>
      <w:bookmarkStart w:id="2" w:name="_Hlk216982803"/>
      <w:r w:rsidRPr="000A7793">
        <w:rPr>
          <w:rFonts w:ascii="Times New Roman" w:eastAsia="宋体" w:hAnsi="Times New Roman" w:cs="Times New Roman"/>
        </w:rPr>
        <w:t>The main research methods in the IACC are mainly divided into finite element diffusion model and diffusion of film theory.</w:t>
      </w:r>
      <w:bookmarkEnd w:id="2"/>
      <w:r w:rsidRPr="000A7793">
        <w:rPr>
          <w:rFonts w:ascii="Times New Roman" w:eastAsia="宋体" w:hAnsi="Times New Roman" w:cs="Times New Roman"/>
        </w:rPr>
        <w:t xml:space="preserve"> The finite element diffusion model requires the establishment of several partial differential equations, and the common solution methods </w:t>
      </w:r>
      <w:proofErr w:type="spellStart"/>
      <w:r w:rsidRPr="000A7793">
        <w:rPr>
          <w:rFonts w:ascii="Times New Roman" w:eastAsia="宋体" w:hAnsi="Times New Roman" w:cs="Times New Roman"/>
        </w:rPr>
        <w:t>can not</w:t>
      </w:r>
      <w:proofErr w:type="spellEnd"/>
      <w:r w:rsidRPr="000A7793">
        <w:rPr>
          <w:rFonts w:ascii="Times New Roman" w:eastAsia="宋体" w:hAnsi="Times New Roman" w:cs="Times New Roman"/>
        </w:rPr>
        <w:t xml:space="preserve"> cope with such cases, so it is necessary to reduce the calculation amount by the software. The film theory is the simplified form of the Fick's law, so the basic parameters of mass transfer can be solved simply through the reasonable setting of the mass transfer unit in the reactor, without the need to solve the differential equations. The differences between the two are reflected in the experimental conditions, reactors, and the choice of NH</w:t>
      </w:r>
      <w:r w:rsidRPr="000A7793">
        <w:rPr>
          <w:rFonts w:ascii="Times New Roman" w:eastAsia="宋体" w:hAnsi="Times New Roman" w:cs="Times New Roman"/>
          <w:vertAlign w:val="subscript"/>
        </w:rPr>
        <w:t xml:space="preserve">3 </w:t>
      </w:r>
      <w:r w:rsidRPr="000A7793">
        <w:rPr>
          <w:rFonts w:ascii="Times New Roman" w:eastAsia="宋体" w:hAnsi="Times New Roman" w:cs="Times New Roman"/>
        </w:rPr>
        <w:t>and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reaction kinetics models.</w:t>
      </w:r>
    </w:p>
    <w:p w14:paraId="24A4E4D7" w14:textId="7FBA966B"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 xml:space="preserve">1.1.1 Finite element </w:t>
      </w:r>
      <w:r w:rsidRPr="000A7793">
        <w:rPr>
          <w:rFonts w:ascii="Times New Roman" w:eastAsia="宋体" w:hAnsi="Times New Roman" w:cs="Times New Roman"/>
          <w:b/>
          <w:bCs/>
          <w:szCs w:val="22"/>
        </w:rPr>
        <w:t>method</w:t>
      </w:r>
    </w:p>
    <w:p w14:paraId="64EBE0D9" w14:textId="302D8A91"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The multi-dimensional diffusion model based on the finite element method requires a large amount of computation and is difficult to solve analytically. The partial differential equation solvers and CFD software can be used to solve the problem, and the species concentration changes at the gas phase, liquid phase and gas-liquid interface under steady or unsteady conditions can be studied. For example, Galdo et al. [</w:t>
      </w:r>
      <w:r w:rsidR="00EF701D" w:rsidRPr="000A7793">
        <w:rPr>
          <w:rFonts w:ascii="Times New Roman" w:eastAsia="宋体" w:hAnsi="Times New Roman" w:cs="Times New Roman"/>
        </w:rPr>
        <w:t>1</w:t>
      </w:r>
      <w:r w:rsidRPr="000A7793">
        <w:rPr>
          <w:rFonts w:ascii="Times New Roman" w:eastAsia="宋体" w:hAnsi="Times New Roman" w:cs="Times New Roman"/>
        </w:rPr>
        <w:t xml:space="preserve">] used </w:t>
      </w:r>
      <w:proofErr w:type="spellStart"/>
      <w:r w:rsidRPr="000A7793">
        <w:rPr>
          <w:rFonts w:ascii="Times New Roman" w:eastAsia="宋体" w:hAnsi="Times New Roman" w:cs="Times New Roman"/>
        </w:rPr>
        <w:t>Openfoam</w:t>
      </w:r>
      <w:proofErr w:type="spellEnd"/>
      <w:r w:rsidRPr="000A7793">
        <w:rPr>
          <w:rFonts w:ascii="Times New Roman" w:eastAsia="宋体" w:hAnsi="Times New Roman" w:cs="Times New Roman"/>
        </w:rPr>
        <w:t xml:space="preserve"> software to construct the CFD model to study the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reactive absorption mass transfer process in a single droplet. Compared with the bimolecular infiltration theoretical chemical reaction model, the convection term due to fluid flow is added, and the pseudo steady-state continuous phase fluid flow process is assumed. The mass transfer equation is shown in eq. (134).</w:t>
      </w:r>
    </w:p>
    <w:p w14:paraId="481DCF61" w14:textId="77777777" w:rsidR="00194D5F" w:rsidRPr="000A7793" w:rsidRDefault="00190104" w:rsidP="00396CEF">
      <w:pPr>
        <w:spacing w:line="360" w:lineRule="auto"/>
        <w:ind w:firstLineChars="200" w:firstLine="420"/>
        <w:rPr>
          <w:rFonts w:ascii="Times New Roman" w:eastAsia="宋体" w:hAnsi="Times New Roman" w:cs="Times New Roman"/>
        </w:rPr>
      </w:pPr>
      <m:oMathPara>
        <m:oMath>
          <m:f>
            <m:fPr>
              <m:ctrlPr>
                <w:rPr>
                  <w:rFonts w:ascii="DejaVu Math TeX Gyre" w:eastAsia="宋体" w:hAnsi="DejaVu Math TeX Gyre" w:cs="Times New Roman"/>
                </w:rPr>
              </m:ctrlPr>
            </m:fPr>
            <m:num>
              <m:r>
                <m:rPr>
                  <m:nor/>
                </m:rPr>
                <w:rPr>
                  <w:rFonts w:ascii="Times New Roman" w:eastAsia="宋体" w:hAnsi="Times New Roman" w:cs="Times New Roman"/>
                </w:rPr>
                <m:t>∂</m:t>
              </m:r>
              <m:r>
                <m:rPr>
                  <m:nor/>
                </m:rPr>
                <w:rPr>
                  <w:rFonts w:ascii="Times New Roman" w:eastAsia="宋体" w:hAnsi="Times New Roman" w:cs="Times New Roman"/>
                  <w:i/>
                </w:rPr>
                <m:t>C</m:t>
              </m:r>
            </m:num>
            <m:den>
              <m:r>
                <m:rPr>
                  <m:nor/>
                </m:rPr>
                <w:rPr>
                  <w:rFonts w:ascii="Times New Roman" w:eastAsia="宋体" w:hAnsi="Times New Roman" w:cs="Times New Roman"/>
                </w:rPr>
                <m:t>∂</m:t>
              </m:r>
              <m:r>
                <m:rPr>
                  <m:nor/>
                </m:rPr>
                <w:rPr>
                  <w:rFonts w:ascii="Times New Roman" w:eastAsia="宋体" w:hAnsi="Times New Roman" w:cs="Times New Roman"/>
                  <w:i/>
                  <w:iCs/>
                </w:rPr>
                <m:t>t</m:t>
              </m:r>
            </m:den>
          </m:f>
          <m:r>
            <m:rPr>
              <m:nor/>
            </m:rPr>
            <w:rPr>
              <w:rFonts w:ascii="Times New Roman" w:eastAsia="宋体" w:hAnsi="Times New Roman" w:cs="Times New Roman"/>
            </w:rPr>
            <m:t>+</m:t>
          </m:r>
          <m:r>
            <m:rPr>
              <m:nor/>
            </m:rPr>
            <w:rPr>
              <w:rFonts w:ascii="Cambria Math" w:eastAsia="宋体" w:hAnsi="Cambria Math" w:cs="Cambria Math"/>
              <w:i/>
              <w:iCs/>
            </w:rPr>
            <m:t>∇</m:t>
          </m:r>
          <m:r>
            <m:rPr>
              <m:nor/>
            </m:rPr>
            <w:rPr>
              <w:rFonts w:ascii="Cambria Math" w:eastAsia="MS Gothic" w:hAnsi="Cambria Math" w:cs="Cambria Math"/>
            </w:rPr>
            <m:t>⋅</m:t>
          </m:r>
          <m:r>
            <m:rPr>
              <m:nor/>
            </m:rPr>
            <w:rPr>
              <w:rFonts w:ascii="Times New Roman" w:eastAsia="宋体" w:hAnsi="Times New Roman" w:cs="Times New Roman"/>
            </w:rPr>
            <m:t>(</m:t>
          </m:r>
          <m:acc>
            <m:accPr>
              <m:chr m:val="⃗"/>
              <m:ctrlPr>
                <w:rPr>
                  <w:rFonts w:ascii="DejaVu Math TeX Gyre" w:eastAsia="宋体" w:hAnsi="DejaVu Math TeX Gyre" w:cs="Times New Roman"/>
                  <w:i/>
                  <w:iCs/>
                </w:rPr>
              </m:ctrlPr>
            </m:accPr>
            <m:e>
              <m:r>
                <m:rPr>
                  <m:nor/>
                </m:rPr>
                <w:rPr>
                  <w:rFonts w:ascii="Times New Roman" w:eastAsia="宋体" w:hAnsi="Times New Roman" w:cs="Times New Roman"/>
                  <w:i/>
                  <w:iCs/>
                </w:rPr>
                <m:t>u</m:t>
              </m:r>
            </m:e>
          </m:acc>
          <m:r>
            <m:rPr>
              <m:nor/>
            </m:rPr>
            <w:rPr>
              <w:rFonts w:ascii="Times New Roman" w:eastAsia="宋体" w:hAnsi="Times New Roman" w:cs="Times New Roman"/>
              <w:i/>
            </w:rPr>
            <m:t>C</m:t>
          </m:r>
          <m:r>
            <m:rPr>
              <m:nor/>
            </m:rPr>
            <w:rPr>
              <w:rFonts w:ascii="Times New Roman" w:eastAsia="宋体" w:hAnsi="Times New Roman" w:cs="Times New Roman"/>
            </w:rPr>
            <m:t>)=</m:t>
          </m:r>
          <m:r>
            <m:rPr>
              <m:nor/>
            </m:rPr>
            <w:rPr>
              <w:rFonts w:ascii="Cambria Math" w:eastAsia="宋体" w:hAnsi="Cambria Math" w:cs="Cambria Math"/>
              <w:i/>
              <w:iCs/>
            </w:rPr>
            <m:t>∇</m:t>
          </m:r>
          <m:r>
            <m:rPr>
              <m:nor/>
            </m:rPr>
            <w:rPr>
              <w:rFonts w:ascii="Cambria Math" w:eastAsia="MS Gothic" w:hAnsi="Cambria Math" w:cs="Cambria Math"/>
            </w:rPr>
            <m:t>⋅</m:t>
          </m:r>
          <m:r>
            <m:rPr>
              <m:nor/>
            </m:rPr>
            <w:rPr>
              <w:rFonts w:ascii="Times New Roman" w:eastAsia="宋体" w:hAnsi="Times New Roman" w:cs="Times New Roman"/>
            </w:rPr>
            <m:t>(</m:t>
          </m:r>
          <m:r>
            <m:rPr>
              <m:nor/>
            </m:rPr>
            <w:rPr>
              <w:rFonts w:ascii="Times New Roman" w:eastAsia="宋体" w:hAnsi="Times New Roman" w:cs="Times New Roman"/>
              <w:i/>
              <w:iCs/>
            </w:rPr>
            <m:t>D</m:t>
          </m:r>
          <m:r>
            <m:rPr>
              <m:nor/>
            </m:rPr>
            <w:rPr>
              <w:rFonts w:ascii="Cambria Math" w:eastAsia="宋体" w:hAnsi="Cambria Math" w:cs="Cambria Math"/>
              <w:i/>
              <w:iCs/>
            </w:rPr>
            <m:t>∇</m:t>
          </m:r>
          <m:r>
            <m:rPr>
              <m:nor/>
            </m:rPr>
            <w:rPr>
              <w:rFonts w:ascii="Times New Roman" w:eastAsia="宋体" w:hAnsi="Times New Roman" w:cs="Times New Roman"/>
              <w:i/>
            </w:rPr>
            <m:t>C</m:t>
          </m:r>
          <m:r>
            <m:rPr>
              <m:nor/>
            </m:rPr>
            <w:rPr>
              <w:rFonts w:ascii="Times New Roman" w:eastAsia="宋体" w:hAnsi="Times New Roman" w:cs="Times New Roman"/>
            </w:rPr>
            <m:t>)+</m:t>
          </m:r>
          <m:r>
            <m:rPr>
              <m:nor/>
            </m:rPr>
            <w:rPr>
              <w:rFonts w:ascii="Times New Roman" w:eastAsia="宋体" w:hAnsi="Times New Roman" w:cs="Times New Roman"/>
              <w:i/>
            </w:rPr>
            <m:t>R</m:t>
          </m:r>
          <m:r>
            <m:rPr>
              <m:nor/>
            </m:rPr>
            <w:rPr>
              <w:rFonts w:ascii="Times New Roman" w:eastAsia="宋体" w:hAnsi="Times New Roman" w:cs="Times New Roman"/>
            </w:rPr>
            <m:t xml:space="preserve">  (134)</m:t>
          </m:r>
        </m:oMath>
      </m:oMathPara>
    </w:p>
    <w:p w14:paraId="01CF2D03" w14:textId="295567DA" w:rsidR="00E24FFF" w:rsidRPr="000A7793" w:rsidRDefault="00194D5F" w:rsidP="00E24FFF">
      <w:pPr>
        <w:spacing w:line="360" w:lineRule="auto"/>
        <w:rPr>
          <w:rFonts w:ascii="Times New Roman" w:eastAsia="宋体" w:hAnsi="Times New Roman" w:cs="Times New Roman"/>
        </w:rPr>
      </w:pPr>
      <w:r w:rsidRPr="000A7793">
        <w:rPr>
          <w:rFonts w:ascii="Times New Roman" w:eastAsia="宋体" w:hAnsi="Times New Roman" w:cs="Times New Roman"/>
        </w:rPr>
        <w:t xml:space="preserve">where </w:t>
      </w:r>
      <w:r w:rsidRPr="000A7793">
        <w:rPr>
          <w:rFonts w:ascii="Times New Roman" w:eastAsia="宋体" w:hAnsi="Times New Roman" w:cs="Times New Roman"/>
          <w:i/>
          <w:iCs/>
        </w:rPr>
        <w:t xml:space="preserve">C </w:t>
      </w:r>
      <w:r w:rsidRPr="000A7793">
        <w:rPr>
          <w:rFonts w:ascii="Times New Roman" w:eastAsia="宋体" w:hAnsi="Times New Roman" w:cs="Times New Roman"/>
        </w:rPr>
        <w:t xml:space="preserve">is the concentration of various substances; </w:t>
      </w:r>
      <m:oMath>
        <m:r>
          <m:rPr>
            <m:nor/>
          </m:rPr>
          <w:rPr>
            <w:rFonts w:ascii="Times New Roman" w:eastAsia="宋体" w:hAnsi="Times New Roman" w:cs="Times New Roman"/>
            <w:i/>
            <w:iCs/>
          </w:rPr>
          <m:t>D</m:t>
        </m:r>
      </m:oMath>
      <w:r w:rsidRPr="000A7793">
        <w:rPr>
          <w:rFonts w:ascii="Times New Roman" w:eastAsia="宋体" w:hAnsi="Times New Roman" w:cs="Times New Roman"/>
          <w:iCs/>
        </w:rPr>
        <w:t xml:space="preserve"> </w:t>
      </w:r>
      <w:r w:rsidRPr="000A7793">
        <w:rPr>
          <w:rFonts w:ascii="Times New Roman" w:eastAsia="宋体" w:hAnsi="Times New Roman" w:cs="Times New Roman"/>
        </w:rPr>
        <w:t xml:space="preserve">is the diffusion coefficient; </w:t>
      </w:r>
      <w:r w:rsidRPr="000A7793">
        <w:rPr>
          <w:rFonts w:ascii="Times New Roman" w:eastAsia="宋体" w:hAnsi="Times New Roman" w:cs="Times New Roman"/>
          <w:i/>
          <w:iCs/>
        </w:rPr>
        <w:t xml:space="preserve">R </w:t>
      </w:r>
      <w:r w:rsidRPr="000A7793">
        <w:rPr>
          <w:rFonts w:ascii="Times New Roman" w:eastAsia="宋体" w:hAnsi="Times New Roman" w:cs="Times New Roman"/>
        </w:rPr>
        <w:t>is the reaction rate. The distribution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concentration in the droplet can be intuitively found that the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is transferred in the symmetrical form, that is, diffusion takes precedence over convection. The absorption flux of mass transfer increased by 472.7 % since the chemical reaction, and the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escape reduced the absorption by 41.9 %. Different from the conventional research, this study also added the phase transition process caused by the volatilization of the droplet due to the reaction heat, and can also provide a reference for the design of the overall thermal balance and water balance. </w:t>
      </w:r>
      <w:proofErr w:type="spellStart"/>
      <w:r w:rsidRPr="000A7793">
        <w:rPr>
          <w:rFonts w:ascii="Times New Roman" w:eastAsia="宋体" w:hAnsi="Times New Roman" w:cs="Times New Roman"/>
        </w:rPr>
        <w:t>Roziaedy</w:t>
      </w:r>
      <w:proofErr w:type="spellEnd"/>
      <w:r w:rsidRPr="000A7793">
        <w:rPr>
          <w:rFonts w:ascii="Times New Roman" w:eastAsia="宋体" w:hAnsi="Times New Roman" w:cs="Times New Roman"/>
        </w:rPr>
        <w:t xml:space="preserve"> [</w:t>
      </w:r>
      <w:r w:rsidR="00EF701D" w:rsidRPr="000A7793">
        <w:rPr>
          <w:rFonts w:ascii="Times New Roman" w:eastAsia="宋体" w:hAnsi="Times New Roman" w:cs="Times New Roman"/>
        </w:rPr>
        <w:t>2</w:t>
      </w:r>
      <w:r w:rsidRPr="000A7793">
        <w:rPr>
          <w:rFonts w:ascii="Times New Roman" w:eastAsia="宋体" w:hAnsi="Times New Roman" w:cs="Times New Roman"/>
        </w:rPr>
        <w:t>] simulated and calculated the apparent rate coefficient (</w:t>
      </w:r>
      <w:proofErr w:type="spellStart"/>
      <w:r w:rsidRPr="000A7793">
        <w:rPr>
          <w:rFonts w:ascii="Times New Roman" w:eastAsia="宋体" w:hAnsi="Times New Roman" w:cs="Times New Roman"/>
          <w:i/>
          <w:iCs/>
        </w:rPr>
        <w:t>k</w:t>
      </w:r>
      <w:r w:rsidRPr="000A7793">
        <w:rPr>
          <w:rFonts w:ascii="Times New Roman" w:eastAsia="宋体" w:hAnsi="Times New Roman" w:cs="Times New Roman"/>
          <w:vertAlign w:val="subscript"/>
        </w:rPr>
        <w:t>app</w:t>
      </w:r>
      <w:proofErr w:type="spellEnd"/>
      <w:r w:rsidRPr="000A7793">
        <w:rPr>
          <w:rFonts w:ascii="Times New Roman" w:eastAsia="宋体" w:hAnsi="Times New Roman" w:cs="Times New Roman"/>
        </w:rPr>
        <w:t xml:space="preserve">) by </w:t>
      </w:r>
      <w:proofErr w:type="spellStart"/>
      <w:r w:rsidRPr="000A7793">
        <w:rPr>
          <w:rFonts w:ascii="Times New Roman" w:eastAsia="宋体" w:hAnsi="Times New Roman" w:cs="Times New Roman"/>
        </w:rPr>
        <w:t>Matlab</w:t>
      </w:r>
      <w:proofErr w:type="spellEnd"/>
      <w:r w:rsidRPr="000A7793">
        <w:rPr>
          <w:rFonts w:ascii="Times New Roman" w:eastAsia="宋体" w:hAnsi="Times New Roman" w:cs="Times New Roman"/>
        </w:rPr>
        <w:t xml:space="preserve">. Under the condition of less than 310K, the </w:t>
      </w:r>
      <w:proofErr w:type="spellStart"/>
      <w:r w:rsidRPr="000A7793">
        <w:rPr>
          <w:rFonts w:ascii="Times New Roman" w:eastAsia="宋体" w:hAnsi="Times New Roman" w:cs="Times New Roman"/>
          <w:i/>
          <w:iCs/>
        </w:rPr>
        <w:t>k</w:t>
      </w:r>
      <w:r w:rsidRPr="000A7793">
        <w:rPr>
          <w:rFonts w:ascii="Times New Roman" w:eastAsia="宋体" w:hAnsi="Times New Roman" w:cs="Times New Roman"/>
          <w:vertAlign w:val="subscript"/>
        </w:rPr>
        <w:t>app</w:t>
      </w:r>
      <w:proofErr w:type="spellEnd"/>
      <w:r w:rsidRPr="000A7793">
        <w:rPr>
          <w:rFonts w:ascii="Times New Roman" w:eastAsia="宋体" w:hAnsi="Times New Roman" w:cs="Times New Roman"/>
        </w:rPr>
        <w:t xml:space="preserve"> is larger than that with DEA. Chu et al. [</w:t>
      </w:r>
      <w:r w:rsidR="00EF701D" w:rsidRPr="000A7793">
        <w:rPr>
          <w:rFonts w:ascii="Times New Roman" w:eastAsia="宋体" w:hAnsi="Times New Roman" w:cs="Times New Roman"/>
        </w:rPr>
        <w:t>3</w:t>
      </w:r>
      <w:r w:rsidRPr="000A7793">
        <w:rPr>
          <w:rFonts w:ascii="Times New Roman" w:eastAsia="宋体" w:hAnsi="Times New Roman" w:cs="Times New Roman"/>
        </w:rPr>
        <w:t>] established the model of gas-liquid turbulence in the bubbling tower with representative elementary volume as the simulation object. Assuming that the flow in the striping tower is stable, the pseudo-steady-state theoretical absorption-desorption method was applied in the simulation of IACC [</w:t>
      </w:r>
      <w:r w:rsidR="00EF701D" w:rsidRPr="000A7793">
        <w:rPr>
          <w:rFonts w:ascii="Times New Roman" w:eastAsia="宋体" w:hAnsi="Times New Roman" w:cs="Times New Roman"/>
        </w:rPr>
        <w:t>4</w:t>
      </w:r>
      <w:r w:rsidRPr="000A7793">
        <w:rPr>
          <w:rFonts w:ascii="Times New Roman" w:eastAsia="宋体" w:hAnsi="Times New Roman" w:cs="Times New Roman"/>
        </w:rPr>
        <w:t>]. The specific method is to ignore the influence of material accumulation over time, and regard liquid flow as the pseudo continuous flow [</w:t>
      </w:r>
      <w:r w:rsidR="00EF701D" w:rsidRPr="000A7793">
        <w:rPr>
          <w:rFonts w:ascii="Times New Roman" w:eastAsia="宋体" w:hAnsi="Times New Roman" w:cs="Times New Roman"/>
        </w:rPr>
        <w:t>5,6</w:t>
      </w:r>
      <w:r w:rsidRPr="000A7793">
        <w:rPr>
          <w:rFonts w:ascii="Times New Roman" w:eastAsia="宋体" w:hAnsi="Times New Roman" w:cs="Times New Roman"/>
        </w:rPr>
        <w:t>] to simulate and track interface dynamic changes through volume of fluid method. It was assumed that mass transfer occurs only at the interface of gas-liquid phase. The PFO theory was applied to establish the mass transfer equation for three-dimensional finite element. Mass transfer equation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is given by eq. (135):</w:t>
      </w:r>
    </w:p>
    <w:p w14:paraId="0293A489" w14:textId="79886D1F" w:rsidR="00194D5F" w:rsidRPr="000A7793" w:rsidRDefault="00190104" w:rsidP="00E24FFF">
      <w:pPr>
        <w:spacing w:line="360" w:lineRule="auto"/>
        <w:rPr>
          <w:rFonts w:ascii="Times New Roman" w:eastAsia="宋体" w:hAnsi="Times New Roman" w:cs="Times New Roman"/>
          <w:bCs/>
        </w:rPr>
      </w:pPr>
      <m:oMathPara>
        <m:oMath>
          <m:f>
            <m:fPr>
              <m:ctrlPr>
                <w:rPr>
                  <w:rFonts w:ascii="DejaVu Math TeX Gyre" w:eastAsia="宋体" w:hAnsi="DejaVu Math TeX Gyre" w:cs="Times New Roman"/>
                  <w:bCs/>
                  <w:i/>
                </w:rPr>
              </m:ctrlPr>
            </m:fPr>
            <m:num>
              <m:r>
                <m:rPr>
                  <m:nor/>
                </m:rPr>
                <w:rPr>
                  <w:rFonts w:ascii="Times New Roman" w:eastAsia="宋体" w:hAnsi="Times New Roman" w:cs="Times New Roman"/>
                  <w:bCs/>
                  <w:i/>
                </w:rPr>
                <m:t>∂</m:t>
              </m:r>
              <m:r>
                <m:rPr>
                  <m:nor/>
                </m:rPr>
                <w:rPr>
                  <w:rFonts w:ascii="Times New Roman" w:eastAsia="宋体" w:hAnsi="Times New Roman" w:cs="Times New Roman"/>
                  <w:bCs/>
                  <w:iCs/>
                </w:rPr>
                <m:t>(</m:t>
              </m:r>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ρ</m:t>
                  </m:r>
                </m:e>
                <m:sub>
                  <m:r>
                    <m:rPr>
                      <m:nor/>
                    </m:rPr>
                    <w:rPr>
                      <w:rFonts w:ascii="Times New Roman" w:eastAsia="宋体" w:hAnsi="Times New Roman" w:cs="Times New Roman"/>
                      <w:bCs/>
                      <w:i/>
                    </w:rPr>
                    <m:t>g</m:t>
                  </m:r>
                </m:sub>
              </m:sSub>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α</m:t>
                  </m:r>
                </m:e>
                <m:sub>
                  <m:r>
                    <m:rPr>
                      <m:nor/>
                    </m:rPr>
                    <w:rPr>
                      <w:rFonts w:ascii="Times New Roman" w:eastAsia="宋体" w:hAnsi="Times New Roman" w:cs="Times New Roman"/>
                      <w:bCs/>
                      <w:i/>
                    </w:rPr>
                    <m:t>g</m:t>
                  </m:r>
                </m:sub>
              </m:sSub>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C</m:t>
                  </m:r>
                </m:e>
                <m:sub>
                  <m:sSub>
                    <m:sSubPr>
                      <m:ctrlPr>
                        <w:rPr>
                          <w:rFonts w:ascii="DejaVu Math TeX Gyre" w:eastAsia="宋体" w:hAnsi="DejaVu Math TeX Gyre" w:cs="Times New Roman"/>
                          <w:bCs/>
                          <w:i/>
                        </w:rPr>
                      </m:ctrlPr>
                    </m:sSubPr>
                    <m:e>
                      <m:r>
                        <m:rPr>
                          <m:nor/>
                        </m:rPr>
                        <w:rPr>
                          <w:rFonts w:ascii="Times New Roman" w:eastAsia="宋体" w:hAnsi="Times New Roman" w:cs="Times New Roman"/>
                          <w:bCs/>
                          <w:iCs/>
                        </w:rPr>
                        <m:t>CO</m:t>
                      </m:r>
                    </m:e>
                    <m:sub>
                      <m:r>
                        <m:rPr>
                          <m:nor/>
                        </m:rPr>
                        <w:rPr>
                          <w:rFonts w:ascii="Times New Roman" w:eastAsia="宋体" w:hAnsi="Times New Roman" w:cs="Times New Roman"/>
                          <w:bCs/>
                          <w:iCs/>
                        </w:rPr>
                        <m:t>2</m:t>
                      </m:r>
                    </m:sub>
                  </m:sSub>
                  <m:r>
                    <m:rPr>
                      <m:nor/>
                    </m:rPr>
                    <w:rPr>
                      <w:rFonts w:ascii="Times New Roman" w:eastAsia="宋体" w:hAnsi="Times New Roman" w:cs="Times New Roman"/>
                      <w:bCs/>
                      <w:iCs/>
                    </w:rPr>
                    <m:t>,</m:t>
                  </m:r>
                  <m:r>
                    <m:rPr>
                      <m:nor/>
                    </m:rPr>
                    <w:rPr>
                      <w:rFonts w:ascii="Times New Roman" w:eastAsia="宋体" w:hAnsi="Times New Roman" w:cs="Times New Roman"/>
                      <w:bCs/>
                      <w:i/>
                    </w:rPr>
                    <m:t>g</m:t>
                  </m:r>
                </m:sub>
              </m:sSub>
              <w:bookmarkStart w:id="3" w:name="OLE_LINK17"/>
              <w:bookmarkEnd w:id="3"/>
              <m:r>
                <m:rPr>
                  <m:nor/>
                </m:rPr>
                <w:rPr>
                  <w:rFonts w:ascii="Times New Roman" w:eastAsia="宋体" w:hAnsi="Times New Roman" w:cs="Times New Roman"/>
                  <w:bCs/>
                  <w:iCs/>
                </w:rPr>
                <m:t>)</m:t>
              </m:r>
            </m:num>
            <m:den>
              <m:r>
                <m:rPr>
                  <m:nor/>
                </m:rPr>
                <w:rPr>
                  <w:rFonts w:ascii="Times New Roman" w:eastAsia="宋体" w:hAnsi="Times New Roman" w:cs="Times New Roman"/>
                  <w:bCs/>
                  <w:i/>
                </w:rPr>
                <m:t>∂t</m:t>
              </m:r>
            </m:den>
          </m:f>
          <m:r>
            <m:rPr>
              <m:nor/>
            </m:rPr>
            <w:rPr>
              <w:rFonts w:ascii="Times New Roman" w:eastAsia="宋体" w:hAnsi="Times New Roman" w:cs="Times New Roman"/>
              <w:bCs/>
              <w:i/>
            </w:rPr>
            <m:t>+</m:t>
          </m:r>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u</m:t>
              </m:r>
            </m:e>
            <m:sub>
              <m:r>
                <m:rPr>
                  <m:nor/>
                </m:rPr>
                <w:rPr>
                  <w:rFonts w:ascii="Times New Roman" w:eastAsia="宋体" w:hAnsi="Times New Roman" w:cs="Times New Roman"/>
                  <w:bCs/>
                  <w:i/>
                </w:rPr>
                <m:t>g</m:t>
              </m:r>
            </m:sub>
          </m:sSub>
          <m:r>
            <m:rPr>
              <m:nor/>
            </m:rPr>
            <w:rPr>
              <w:rFonts w:ascii="Cambria Math" w:eastAsia="MS Gothic" w:hAnsi="Cambria Math" w:cs="Cambria Math"/>
              <w:bCs/>
              <w:iCs/>
            </w:rPr>
            <m:t>⋅</m:t>
          </m:r>
          <m:r>
            <m:rPr>
              <m:nor/>
            </m:rPr>
            <w:rPr>
              <w:rFonts w:ascii="Cambria Math" w:eastAsia="宋体" w:hAnsi="Cambria Math" w:cs="Cambria Math"/>
              <w:bCs/>
              <w:i/>
            </w:rPr>
            <m:t>∇</m:t>
          </m:r>
          <m:r>
            <m:rPr>
              <m:nor/>
            </m:rPr>
            <w:rPr>
              <w:rFonts w:ascii="Cambria Math" w:eastAsia="MS Gothic" w:hAnsi="Cambria Math" w:cs="Cambria Math"/>
              <w:bCs/>
              <w:iCs/>
            </w:rPr>
            <m:t>⋅</m:t>
          </m:r>
          <m:r>
            <m:rPr>
              <m:nor/>
            </m:rPr>
            <w:rPr>
              <w:rFonts w:ascii="Times New Roman" w:eastAsia="宋体" w:hAnsi="Times New Roman" w:cs="Times New Roman"/>
              <w:bCs/>
              <w:iCs/>
            </w:rPr>
            <m:t>(</m:t>
          </m:r>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α</m:t>
              </m:r>
            </m:e>
            <m:sub>
              <m:r>
                <m:rPr>
                  <m:nor/>
                </m:rPr>
                <w:rPr>
                  <w:rFonts w:ascii="Times New Roman" w:eastAsia="宋体" w:hAnsi="Times New Roman" w:cs="Times New Roman"/>
                  <w:bCs/>
                  <w:i/>
                </w:rPr>
                <m:t>g</m:t>
              </m:r>
            </m:sub>
          </m:sSub>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ρ</m:t>
              </m:r>
            </m:e>
            <m:sub>
              <m:r>
                <m:rPr>
                  <m:nor/>
                </m:rPr>
                <w:rPr>
                  <w:rFonts w:ascii="Times New Roman" w:eastAsia="宋体" w:hAnsi="Times New Roman" w:cs="Times New Roman"/>
                  <w:bCs/>
                  <w:i/>
                </w:rPr>
                <m:t>g</m:t>
              </m:r>
            </m:sub>
          </m:sSub>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C</m:t>
              </m:r>
            </m:e>
            <m:sub>
              <m:sSub>
                <m:sSubPr>
                  <m:ctrlPr>
                    <w:rPr>
                      <w:rFonts w:ascii="DejaVu Math TeX Gyre" w:eastAsia="宋体" w:hAnsi="DejaVu Math TeX Gyre" w:cs="Times New Roman"/>
                      <w:bCs/>
                      <w:iCs/>
                    </w:rPr>
                  </m:ctrlPr>
                </m:sSubPr>
                <m:e>
                  <m:r>
                    <m:rPr>
                      <m:nor/>
                    </m:rPr>
                    <w:rPr>
                      <w:rFonts w:ascii="Times New Roman" w:eastAsia="宋体" w:hAnsi="Times New Roman" w:cs="Times New Roman"/>
                      <w:bCs/>
                      <w:iCs/>
                    </w:rPr>
                    <m:t>CO</m:t>
                  </m:r>
                </m:e>
                <m:sub>
                  <m:r>
                    <m:rPr>
                      <m:nor/>
                    </m:rPr>
                    <w:rPr>
                      <w:rFonts w:ascii="Times New Roman" w:eastAsia="宋体" w:hAnsi="Times New Roman" w:cs="Times New Roman"/>
                      <w:bCs/>
                      <w:iCs/>
                    </w:rPr>
                    <m:t>2</m:t>
                  </m:r>
                </m:sub>
              </m:sSub>
              <m:r>
                <m:rPr>
                  <m:nor/>
                </m:rPr>
                <w:rPr>
                  <w:rFonts w:ascii="Times New Roman" w:eastAsia="宋体" w:hAnsi="Times New Roman" w:cs="Times New Roman"/>
                  <w:bCs/>
                  <w:iCs/>
                </w:rPr>
                <m:t>,</m:t>
              </m:r>
              <m:r>
                <m:rPr>
                  <m:nor/>
                </m:rPr>
                <w:rPr>
                  <w:rFonts w:ascii="Times New Roman" w:eastAsia="宋体" w:hAnsi="Times New Roman" w:cs="Times New Roman"/>
                  <w:bCs/>
                  <w:i/>
                </w:rPr>
                <m:t>g</m:t>
              </m:r>
            </m:sub>
          </m:sSub>
          <m:r>
            <m:rPr>
              <m:nor/>
            </m:rPr>
            <w:rPr>
              <w:rFonts w:ascii="Times New Roman" w:eastAsia="宋体" w:hAnsi="Times New Roman" w:cs="Times New Roman"/>
              <w:bCs/>
              <w:iCs/>
            </w:rPr>
            <m:t>)</m:t>
          </m:r>
          <m:r>
            <m:rPr>
              <m:nor/>
            </m:rPr>
            <w:rPr>
              <w:rFonts w:ascii="Times New Roman" w:eastAsia="宋体" w:hAnsi="Times New Roman" w:cs="Times New Roman"/>
              <w:bCs/>
              <w:i/>
            </w:rPr>
            <m:t>=</m:t>
          </m:r>
          <m:sSubSup>
            <m:sSubSupPr>
              <m:ctrlPr>
                <w:rPr>
                  <w:rFonts w:ascii="DejaVu Math TeX Gyre" w:eastAsia="宋体" w:hAnsi="DejaVu Math TeX Gyre" w:cs="Times New Roman"/>
                  <w:i/>
                </w:rPr>
              </m:ctrlPr>
            </m:sSubSupPr>
            <m:e>
              <m:r>
                <m:rPr>
                  <m:nor/>
                </m:rPr>
                <w:rPr>
                  <w:rFonts w:ascii="Times New Roman" w:eastAsia="宋体" w:hAnsi="Times New Roman" w:cs="Times New Roman"/>
                  <w:i/>
                </w:rPr>
                <m:t>D</m:t>
              </m:r>
            </m:e>
            <m:sub>
              <m:sSub>
                <m:sSubPr>
                  <m:ctrlPr>
                    <w:rPr>
                      <w:rFonts w:ascii="DejaVu Math TeX Gyre" w:eastAsia="宋体" w:hAnsi="DejaVu Math TeX Gyre" w:cs="Times New Roman"/>
                      <w:i/>
                    </w:rPr>
                  </m:ctrlPr>
                </m:sSubPr>
                <m:e>
                  <m:r>
                    <m:rPr>
                      <m:nor/>
                    </m:rPr>
                    <w:rPr>
                      <w:rFonts w:ascii="Times New Roman" w:eastAsia="宋体" w:hAnsi="Times New Roman" w:cs="Times New Roman"/>
                    </w:rPr>
                    <m:t>CO</m:t>
                  </m:r>
                </m:e>
                <m:sub>
                  <m:r>
                    <m:rPr>
                      <m:nor/>
                    </m:rPr>
                    <w:rPr>
                      <w:rFonts w:ascii="Times New Roman" w:eastAsia="宋体" w:hAnsi="Times New Roman" w:cs="Times New Roman"/>
                    </w:rPr>
                    <m:t>2</m:t>
                  </m:r>
                </m:sub>
              </m:sSub>
            </m:sub>
            <m:sup>
              <m:r>
                <m:rPr>
                  <m:nor/>
                </m:rPr>
                <w:rPr>
                  <w:rFonts w:ascii="Times New Roman" w:eastAsia="宋体" w:hAnsi="Times New Roman" w:cs="Times New Roman"/>
                  <w:i/>
                </w:rPr>
                <m:t>C/N</m:t>
              </m:r>
            </m:sup>
          </m:sSubSup>
          <m:sSup>
            <m:sSupPr>
              <m:ctrlPr>
                <w:rPr>
                  <w:rFonts w:ascii="DejaVu Math TeX Gyre" w:eastAsia="宋体" w:hAnsi="DejaVu Math TeX Gyre" w:cs="Times New Roman"/>
                  <w:bCs/>
                  <w:i/>
                </w:rPr>
              </m:ctrlPr>
            </m:sSupPr>
            <m:e>
              <m:r>
                <m:rPr>
                  <m:nor/>
                </m:rPr>
                <w:rPr>
                  <w:rFonts w:ascii="Cambria Math" w:eastAsia="宋体" w:hAnsi="Cambria Math" w:cs="Cambria Math"/>
                  <w:bCs/>
                  <w:i/>
                </w:rPr>
                <m:t>∇</m:t>
              </m:r>
            </m:e>
            <m:sup>
              <m:r>
                <m:rPr>
                  <m:nor/>
                </m:rPr>
                <w:rPr>
                  <w:rFonts w:ascii="Times New Roman" w:eastAsia="宋体" w:hAnsi="Times New Roman" w:cs="Times New Roman"/>
                  <w:bCs/>
                  <w:iCs/>
                </w:rPr>
                <m:t>2</m:t>
              </m:r>
            </m:sup>
          </m:sSup>
          <m:r>
            <m:rPr>
              <m:nor/>
            </m:rPr>
            <w:rPr>
              <w:rFonts w:ascii="Cambria Math" w:eastAsia="MS Gothic" w:hAnsi="Cambria Math" w:cs="Cambria Math"/>
              <w:bCs/>
              <w:iCs/>
            </w:rPr>
            <m:t>⋅</m:t>
          </m:r>
          <m:r>
            <m:rPr>
              <m:nor/>
            </m:rPr>
            <w:rPr>
              <w:rFonts w:ascii="Times New Roman" w:eastAsia="宋体" w:hAnsi="Times New Roman" w:cs="Times New Roman"/>
              <w:bCs/>
              <w:iCs/>
            </w:rPr>
            <m:t>(</m:t>
          </m:r>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α</m:t>
              </m:r>
            </m:e>
            <m:sub>
              <m:r>
                <m:rPr>
                  <m:nor/>
                </m:rPr>
                <w:rPr>
                  <w:rFonts w:ascii="Times New Roman" w:eastAsia="宋体" w:hAnsi="Times New Roman" w:cs="Times New Roman"/>
                  <w:bCs/>
                  <w:i/>
                </w:rPr>
                <m:t>g</m:t>
              </m:r>
            </m:sub>
          </m:sSub>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ρ</m:t>
              </m:r>
            </m:e>
            <m:sub>
              <m:r>
                <m:rPr>
                  <m:nor/>
                </m:rPr>
                <w:rPr>
                  <w:rFonts w:ascii="Times New Roman" w:eastAsia="宋体" w:hAnsi="Times New Roman" w:cs="Times New Roman"/>
                  <w:bCs/>
                  <w:i/>
                </w:rPr>
                <m:t>g</m:t>
              </m:r>
            </m:sub>
          </m:sSub>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C</m:t>
              </m:r>
            </m:e>
            <m:sub>
              <w:proofErr w:type="spellStart"/>
              <m:r>
                <m:rPr>
                  <m:nor/>
                </m:rPr>
                <w:rPr>
                  <w:rFonts w:ascii="Times New Roman" w:eastAsia="宋体" w:hAnsi="Times New Roman" w:cs="Times New Roman"/>
                  <w:bCs/>
                  <w:iCs/>
                </w:rPr>
                <m:t>C</m:t>
              </m:r>
              <w:proofErr w:type="spellEnd"/>
              <m:sSub>
                <m:sSubPr>
                  <m:ctrlPr>
                    <w:rPr>
                      <w:rFonts w:ascii="DejaVu Math TeX Gyre" w:eastAsia="宋体" w:hAnsi="DejaVu Math TeX Gyre" w:cs="Times New Roman"/>
                      <w:bCs/>
                      <w:iCs/>
                    </w:rPr>
                  </m:ctrlPr>
                </m:sSubPr>
                <m:e>
                  <m:r>
                    <m:rPr>
                      <m:nor/>
                    </m:rPr>
                    <w:rPr>
                      <w:rFonts w:ascii="Times New Roman" w:eastAsia="宋体" w:hAnsi="Times New Roman" w:cs="Times New Roman"/>
                      <w:bCs/>
                      <w:iCs/>
                    </w:rPr>
                    <m:t>O</m:t>
                  </m:r>
                </m:e>
                <m:sub>
                  <m:r>
                    <m:rPr>
                      <m:nor/>
                    </m:rPr>
                    <w:rPr>
                      <w:rFonts w:ascii="Times New Roman" w:eastAsia="宋体" w:hAnsi="Times New Roman" w:cs="Times New Roman"/>
                      <w:bCs/>
                      <w:iCs/>
                    </w:rPr>
                    <m:t>2</m:t>
                  </m:r>
                </m:sub>
              </m:sSub>
              <m:r>
                <m:rPr>
                  <m:nor/>
                </m:rPr>
                <w:rPr>
                  <w:rFonts w:ascii="Times New Roman" w:eastAsia="宋体" w:hAnsi="Times New Roman" w:cs="Times New Roman"/>
                  <w:bCs/>
                  <w:iCs/>
                </w:rPr>
                <m:t>,</m:t>
              </m:r>
              <m:r>
                <m:rPr>
                  <m:nor/>
                </m:rPr>
                <w:rPr>
                  <w:rFonts w:ascii="Times New Roman" w:eastAsia="宋体" w:hAnsi="Times New Roman" w:cs="Times New Roman"/>
                  <w:bCs/>
                  <w:i/>
                </w:rPr>
                <m:t>g</m:t>
              </m:r>
            </m:sub>
          </m:sSub>
          <m:r>
            <m:rPr>
              <m:nor/>
            </m:rPr>
            <w:rPr>
              <w:rFonts w:ascii="Times New Roman" w:eastAsia="宋体" w:hAnsi="Times New Roman" w:cs="Times New Roman"/>
              <w:bCs/>
              <w:iCs/>
            </w:rPr>
            <m:t>)</m:t>
          </m:r>
          <m:r>
            <m:rPr>
              <m:nor/>
            </m:rPr>
            <w:rPr>
              <w:rFonts w:ascii="Times New Roman" w:eastAsia="宋体" w:hAnsi="Times New Roman" w:cs="Times New Roman"/>
              <w:bCs/>
              <w:i/>
            </w:rPr>
            <m:t>+</m:t>
          </m:r>
          <m:sSub>
            <m:sSubPr>
              <m:ctrlPr>
                <w:rPr>
                  <w:rFonts w:ascii="DejaVu Math TeX Gyre" w:eastAsia="宋体" w:hAnsi="DejaVu Math TeX Gyre" w:cs="Times New Roman"/>
                  <w:bCs/>
                  <w:i/>
                </w:rPr>
              </m:ctrlPr>
            </m:sSubPr>
            <m:e>
              <m:r>
                <m:rPr>
                  <m:nor/>
                </m:rPr>
                <w:rPr>
                  <w:rFonts w:ascii="Times New Roman" w:eastAsia="宋体" w:hAnsi="Times New Roman" w:cs="Times New Roman"/>
                  <w:bCs/>
                  <w:i/>
                </w:rPr>
                <m:t>S</m:t>
              </m:r>
            </m:e>
            <m:sub>
              <m:r>
                <m:rPr>
                  <m:nor/>
                </m:rPr>
                <w:rPr>
                  <w:rFonts w:ascii="Times New Roman" w:eastAsia="宋体" w:hAnsi="Times New Roman" w:cs="Times New Roman"/>
                  <w:bCs/>
                  <w:iCs/>
                </w:rPr>
                <m:t>C</m:t>
              </m:r>
              <m:sSub>
                <m:sSubPr>
                  <m:ctrlPr>
                    <w:rPr>
                      <w:rFonts w:ascii="DejaVu Math TeX Gyre" w:eastAsia="宋体" w:hAnsi="DejaVu Math TeX Gyre" w:cs="Times New Roman"/>
                      <w:bCs/>
                      <w:iCs/>
                    </w:rPr>
                  </m:ctrlPr>
                </m:sSubPr>
                <m:e>
                  <m:r>
                    <m:rPr>
                      <m:nor/>
                    </m:rPr>
                    <w:rPr>
                      <w:rFonts w:ascii="Times New Roman" w:eastAsia="宋体" w:hAnsi="Times New Roman" w:cs="Times New Roman"/>
                      <w:bCs/>
                      <w:iCs/>
                    </w:rPr>
                    <m:t>O</m:t>
                  </m:r>
                </m:e>
                <m:sub>
                  <m:r>
                    <m:rPr>
                      <m:nor/>
                    </m:rPr>
                    <w:rPr>
                      <w:rFonts w:ascii="Times New Roman" w:eastAsia="宋体" w:hAnsi="Times New Roman" w:cs="Times New Roman"/>
                      <w:bCs/>
                      <w:iCs/>
                    </w:rPr>
                    <m:t>2</m:t>
                  </m:r>
                </m:sub>
              </m:sSub>
              <m:r>
                <m:rPr>
                  <m:nor/>
                </m:rPr>
                <w:rPr>
                  <w:rFonts w:ascii="Times New Roman" w:eastAsia="宋体" w:hAnsi="Times New Roman" w:cs="Times New Roman"/>
                  <w:bCs/>
                  <w:iCs/>
                </w:rPr>
                <m:t>,</m:t>
              </m:r>
              <m:r>
                <m:rPr>
                  <m:nor/>
                </m:rPr>
                <w:rPr>
                  <w:rFonts w:ascii="Times New Roman" w:eastAsia="宋体" w:hAnsi="Times New Roman" w:cs="Times New Roman"/>
                  <w:bCs/>
                  <w:i/>
                </w:rPr>
                <m:t>g</m:t>
              </m:r>
            </m:sub>
          </m:sSub>
          <m:r>
            <w:rPr>
              <w:rFonts w:ascii="DejaVu Math TeX Gyre" w:eastAsia="宋体" w:hAnsi="DejaVu Math TeX Gyre" w:cs="Times New Roman"/>
            </w:rPr>
            <m:t xml:space="preserve"> </m:t>
          </m:r>
          <m:r>
            <m:rPr>
              <m:nor/>
            </m:rPr>
            <w:rPr>
              <w:rFonts w:ascii="Times New Roman" w:eastAsia="宋体" w:hAnsi="Times New Roman" w:cs="Times New Roman"/>
              <w:bCs/>
            </w:rPr>
            <m:t xml:space="preserve"> (135)</m:t>
          </m:r>
        </m:oMath>
      </m:oMathPara>
    </w:p>
    <w:p w14:paraId="4EE81260" w14:textId="77777777" w:rsidR="00194D5F" w:rsidRPr="000A7793" w:rsidRDefault="00194D5F" w:rsidP="00E24FFF">
      <w:pPr>
        <w:spacing w:line="360" w:lineRule="auto"/>
        <w:rPr>
          <w:rFonts w:ascii="Times New Roman" w:eastAsia="宋体" w:hAnsi="Times New Roman" w:cs="Times New Roman"/>
          <w:bCs/>
        </w:rPr>
      </w:pPr>
      <w:r w:rsidRPr="000A7793">
        <w:rPr>
          <w:rFonts w:ascii="Times New Roman" w:eastAsia="宋体" w:hAnsi="Times New Roman" w:cs="Times New Roman"/>
          <w:bCs/>
        </w:rPr>
        <w:t xml:space="preserve">When the area is located at the gas-liquid interface, it is similar to the penetration theory. In </w:t>
      </w:r>
      <w:proofErr w:type="spellStart"/>
      <w:r w:rsidRPr="000A7793">
        <w:rPr>
          <w:rFonts w:ascii="Times New Roman" w:eastAsia="宋体" w:hAnsi="Times New Roman" w:cs="Times New Roman"/>
          <w:bCs/>
        </w:rPr>
        <w:t>addtion</w:t>
      </w:r>
      <w:proofErr w:type="spellEnd"/>
      <w:r w:rsidRPr="000A7793">
        <w:rPr>
          <w:rFonts w:ascii="Times New Roman" w:eastAsia="宋体" w:hAnsi="Times New Roman" w:cs="Times New Roman"/>
          <w:bCs/>
        </w:rPr>
        <w:t>, the space change of the finite element needs to be considered. The enhancement factor is used to calculate the mass transfer increment caused by the reaction as shown in eq. (136):</w:t>
      </w:r>
    </w:p>
    <w:p w14:paraId="3815C97D" w14:textId="77777777" w:rsidR="00194D5F" w:rsidRPr="000A7793" w:rsidRDefault="00190104" w:rsidP="00396CEF">
      <w:pPr>
        <w:spacing w:line="360" w:lineRule="auto"/>
        <w:rPr>
          <w:rFonts w:ascii="Times New Roman" w:eastAsia="宋体" w:hAnsi="Times New Roman" w:cs="Times New Roman"/>
          <w:bCs/>
          <w:i/>
        </w:rPr>
      </w:pPr>
      <m:oMathPara>
        <m:oMath>
          <m:sSub>
            <m:sSubPr>
              <m:ctrlPr>
                <w:rPr>
                  <w:rFonts w:ascii="DejaVu Math TeX Gyre" w:eastAsia="宋体" w:hAnsi="DejaVu Math TeX Gyre" w:cs="Times New Roman"/>
                  <w:bCs/>
                  <w:i/>
                  <w:iCs/>
                </w:rPr>
              </m:ctrlPr>
            </m:sSubPr>
            <m:e>
              <m:r>
                <m:rPr>
                  <m:nor/>
                </m:rPr>
                <w:rPr>
                  <w:rFonts w:ascii="Times New Roman" w:eastAsia="宋体" w:hAnsi="Times New Roman" w:cs="Times New Roman"/>
                  <w:bCs/>
                  <w:i/>
                  <w:iCs/>
                </w:rPr>
                <m:t>S</m:t>
              </m:r>
            </m:e>
            <m:sub>
              <m:sSub>
                <m:sSubPr>
                  <m:ctrlPr>
                    <w:rPr>
                      <w:rFonts w:ascii="DejaVu Math TeX Gyre" w:eastAsia="宋体" w:hAnsi="DejaVu Math TeX Gyre" w:cs="Times New Roman"/>
                      <w:bCs/>
                    </w:rPr>
                  </m:ctrlPr>
                </m:sSubPr>
                <m:e>
                  <m:r>
                    <m:rPr>
                      <m:nor/>
                    </m:rPr>
                    <w:rPr>
                      <w:rFonts w:ascii="Times New Roman" w:eastAsia="宋体" w:hAnsi="Times New Roman" w:cs="Times New Roman"/>
                      <w:bCs/>
                    </w:rPr>
                    <m:t>CO</m:t>
                  </m:r>
                </m:e>
                <m:sub>
                  <m:r>
                    <m:rPr>
                      <m:nor/>
                    </m:rPr>
                    <w:rPr>
                      <w:rFonts w:ascii="Times New Roman" w:eastAsia="宋体" w:hAnsi="Times New Roman" w:cs="Times New Roman"/>
                      <w:bCs/>
                    </w:rPr>
                    <m:t>2</m:t>
                  </m:r>
                </m:sub>
              </m:sSub>
              <m:r>
                <m:rPr>
                  <m:nor/>
                </m:rPr>
                <w:rPr>
                  <w:rFonts w:ascii="Times New Roman" w:eastAsia="宋体" w:hAnsi="Times New Roman" w:cs="Times New Roman"/>
                  <w:bCs/>
                </w:rPr>
                <m:t>,</m:t>
              </m:r>
              <m:r>
                <m:rPr>
                  <m:nor/>
                </m:rPr>
                <w:rPr>
                  <w:rFonts w:ascii="Times New Roman" w:eastAsia="宋体" w:hAnsi="Times New Roman" w:cs="Times New Roman"/>
                  <w:bCs/>
                  <w:i/>
                </w:rPr>
                <m:t>g</m:t>
              </m:r>
            </m:sub>
          </m:sSub>
          <m:r>
            <m:rPr>
              <m:nor/>
            </m:rPr>
            <w:rPr>
              <w:rFonts w:ascii="Times New Roman" w:eastAsia="宋体" w:hAnsi="Times New Roman" w:cs="Times New Roman"/>
              <w:bCs/>
              <w:i/>
              <w:iCs/>
            </w:rPr>
            <m:t>=-E</m:t>
          </m:r>
          <m:sSub>
            <m:sSubPr>
              <m:ctrlPr>
                <w:rPr>
                  <w:rFonts w:ascii="DejaVu Math TeX Gyre" w:eastAsia="宋体" w:hAnsi="DejaVu Math TeX Gyre" w:cs="Times New Roman"/>
                  <w:bCs/>
                  <w:i/>
                  <w:iCs/>
                </w:rPr>
              </m:ctrlPr>
            </m:sSubPr>
            <m:e>
              <m:r>
                <m:rPr>
                  <m:nor/>
                </m:rPr>
                <w:rPr>
                  <w:rFonts w:ascii="Times New Roman" w:eastAsia="宋体" w:hAnsi="Times New Roman" w:cs="Times New Roman"/>
                  <w:bCs/>
                  <w:i/>
                  <w:iCs/>
                </w:rPr>
                <m:t>k</m:t>
              </m:r>
            </m:e>
            <m:sub>
              <m:r>
                <m:rPr>
                  <m:nor/>
                </m:rPr>
                <w:rPr>
                  <w:rFonts w:ascii="Times New Roman" w:eastAsia="宋体" w:hAnsi="Times New Roman" w:cs="Times New Roman"/>
                  <w:bCs/>
                  <w:i/>
                  <w:iCs/>
                </w:rPr>
                <m:t>l</m:t>
              </m:r>
              <m:r>
                <m:rPr>
                  <m:nor/>
                </m:rPr>
                <w:rPr>
                  <w:rFonts w:ascii="Times New Roman" w:eastAsia="宋体" w:hAnsi="Times New Roman" w:cs="Times New Roman"/>
                  <w:bCs/>
                </w:rPr>
                <m:t>,</m:t>
              </m:r>
              <m:sSub>
                <m:sSubPr>
                  <m:ctrlPr>
                    <w:rPr>
                      <w:rFonts w:ascii="DejaVu Math TeX Gyre" w:eastAsia="宋体" w:hAnsi="DejaVu Math TeX Gyre" w:cs="Times New Roman"/>
                      <w:bCs/>
                    </w:rPr>
                  </m:ctrlPr>
                </m:sSubPr>
                <m:e>
                  <m:r>
                    <m:rPr>
                      <m:nor/>
                    </m:rPr>
                    <w:rPr>
                      <w:rFonts w:ascii="Times New Roman" w:eastAsia="宋体" w:hAnsi="Times New Roman" w:cs="Times New Roman"/>
                      <w:bCs/>
                    </w:rPr>
                    <m:t>CO</m:t>
                  </m:r>
                </m:e>
                <m:sub>
                  <m:r>
                    <m:rPr>
                      <m:nor/>
                    </m:rPr>
                    <w:rPr>
                      <w:rFonts w:ascii="Times New Roman" w:eastAsia="宋体" w:hAnsi="Times New Roman" w:cs="Times New Roman"/>
                      <w:bCs/>
                    </w:rPr>
                    <m:t>2</m:t>
                  </m:r>
                </m:sub>
              </m:sSub>
            </m:sub>
          </m:sSub>
          <m:r>
            <m:rPr>
              <m:nor/>
            </m:rPr>
            <w:rPr>
              <w:rFonts w:ascii="Times New Roman" w:eastAsia="宋体" w:hAnsi="Times New Roman" w:cs="Times New Roman"/>
              <w:bCs/>
            </w:rPr>
            <m:t>(</m:t>
          </m:r>
          <m:sSub>
            <m:sSubPr>
              <m:ctrlPr>
                <w:rPr>
                  <w:rFonts w:ascii="DejaVu Math TeX Gyre" w:eastAsia="宋体" w:hAnsi="DejaVu Math TeX Gyre" w:cs="Times New Roman"/>
                  <w:bCs/>
                  <w:i/>
                  <w:iCs/>
                </w:rPr>
              </m:ctrlPr>
            </m:sSubPr>
            <m:e>
              <m:r>
                <m:rPr>
                  <m:nor/>
                </m:rPr>
                <w:rPr>
                  <w:rFonts w:ascii="Times New Roman" w:eastAsia="宋体" w:hAnsi="Times New Roman" w:cs="Times New Roman"/>
                  <w:bCs/>
                  <w:i/>
                  <w:iCs/>
                </w:rPr>
                <m:t>C</m:t>
              </m:r>
            </m:e>
            <m:sub>
              <m:sSub>
                <m:sSubPr>
                  <m:ctrlPr>
                    <w:rPr>
                      <w:rFonts w:ascii="DejaVu Math TeX Gyre" w:eastAsia="宋体" w:hAnsi="DejaVu Math TeX Gyre" w:cs="Times New Roman"/>
                      <w:bCs/>
                    </w:rPr>
                  </m:ctrlPr>
                </m:sSubPr>
                <m:e>
                  <m:r>
                    <m:rPr>
                      <m:nor/>
                    </m:rPr>
                    <w:rPr>
                      <w:rFonts w:ascii="Times New Roman" w:eastAsia="宋体" w:hAnsi="Times New Roman" w:cs="Times New Roman"/>
                      <w:bCs/>
                    </w:rPr>
                    <m:t>CO</m:t>
                  </m:r>
                </m:e>
                <m:sub>
                  <m:r>
                    <m:rPr>
                      <m:nor/>
                    </m:rPr>
                    <w:rPr>
                      <w:rFonts w:ascii="Times New Roman" w:eastAsia="宋体" w:hAnsi="Times New Roman" w:cs="Times New Roman"/>
                      <w:bCs/>
                    </w:rPr>
                    <m:t>2</m:t>
                  </m:r>
                </m:sub>
              </m:sSub>
              <m:r>
                <m:rPr>
                  <m:nor/>
                </m:rPr>
                <w:rPr>
                  <w:rFonts w:ascii="Times New Roman" w:eastAsia="宋体" w:hAnsi="Times New Roman" w:cs="Times New Roman"/>
                  <w:bCs/>
                </w:rPr>
                <m:t>,</m:t>
              </m:r>
              <w:proofErr w:type="spellStart"/>
              <m:r>
                <m:rPr>
                  <m:nor/>
                </m:rPr>
                <w:rPr>
                  <w:rFonts w:ascii="Times New Roman" w:eastAsia="宋体" w:hAnsi="Times New Roman" w:cs="Times New Roman"/>
                  <w:bCs/>
                  <w:i/>
                  <w:iCs/>
                </w:rPr>
                <m:t>i</m:t>
              </m:r>
              <w:proofErr w:type="spellEnd"/>
            </m:sub>
          </m:sSub>
          <m:r>
            <m:rPr>
              <m:nor/>
            </m:rPr>
            <w:rPr>
              <w:rFonts w:ascii="Times New Roman" w:eastAsia="宋体" w:hAnsi="Times New Roman" w:cs="Times New Roman"/>
              <w:bCs/>
            </w:rPr>
            <m:t>-</m:t>
          </m:r>
          <m:sSub>
            <m:sSubPr>
              <m:ctrlPr>
                <w:rPr>
                  <w:rFonts w:ascii="DejaVu Math TeX Gyre" w:eastAsia="宋体" w:hAnsi="DejaVu Math TeX Gyre" w:cs="Times New Roman"/>
                  <w:bCs/>
                  <w:i/>
                  <w:iCs/>
                </w:rPr>
              </m:ctrlPr>
            </m:sSubPr>
            <m:e>
              <m:r>
                <m:rPr>
                  <m:nor/>
                </m:rPr>
                <w:rPr>
                  <w:rFonts w:ascii="Times New Roman" w:eastAsia="宋体" w:hAnsi="Times New Roman" w:cs="Times New Roman"/>
                  <w:bCs/>
                  <w:i/>
                  <w:iCs/>
                </w:rPr>
                <m:t>C</m:t>
              </m:r>
            </m:e>
            <m:sub>
              <m:sSub>
                <m:sSubPr>
                  <m:ctrlPr>
                    <w:rPr>
                      <w:rFonts w:ascii="DejaVu Math TeX Gyre" w:eastAsia="宋体" w:hAnsi="DejaVu Math TeX Gyre" w:cs="Times New Roman"/>
                      <w:bCs/>
                    </w:rPr>
                  </m:ctrlPr>
                </m:sSubPr>
                <m:e>
                  <m:r>
                    <m:rPr>
                      <m:nor/>
                    </m:rPr>
                    <w:rPr>
                      <w:rFonts w:ascii="Times New Roman" w:eastAsia="宋体" w:hAnsi="Times New Roman" w:cs="Times New Roman"/>
                      <w:bCs/>
                    </w:rPr>
                    <m:t>CO</m:t>
                  </m:r>
                </m:e>
                <m:sub>
                  <m:r>
                    <m:rPr>
                      <m:nor/>
                    </m:rPr>
                    <w:rPr>
                      <w:rFonts w:ascii="Times New Roman" w:eastAsia="宋体" w:hAnsi="Times New Roman" w:cs="Times New Roman"/>
                      <w:bCs/>
                    </w:rPr>
                    <m:t>2</m:t>
                  </m:r>
                </m:sub>
              </m:sSub>
              <m:r>
                <m:rPr>
                  <m:nor/>
                </m:rPr>
                <w:rPr>
                  <w:rFonts w:ascii="Times New Roman" w:eastAsia="宋体" w:hAnsi="Times New Roman" w:cs="Times New Roman"/>
                  <w:bCs/>
                </w:rPr>
                <m:t>,</m:t>
              </m:r>
              <m:r>
                <m:rPr>
                  <m:nor/>
                </m:rPr>
                <w:rPr>
                  <w:rFonts w:ascii="Times New Roman" w:eastAsia="宋体" w:hAnsi="Times New Roman" w:cs="Times New Roman"/>
                  <w:bCs/>
                  <w:i/>
                </w:rPr>
                <m:t>l</m:t>
              </m:r>
            </m:sub>
          </m:sSub>
          <m:r>
            <m:rPr>
              <m:nor/>
            </m:rPr>
            <w:rPr>
              <w:rFonts w:ascii="Times New Roman" w:eastAsia="宋体" w:hAnsi="Times New Roman" w:cs="Times New Roman"/>
              <w:bCs/>
            </w:rPr>
            <m:t>)</m:t>
          </m:r>
          <m:sSub>
            <m:sSubPr>
              <m:ctrlPr>
                <w:rPr>
                  <w:rFonts w:ascii="DejaVu Math TeX Gyre" w:eastAsia="宋体" w:hAnsi="DejaVu Math TeX Gyre" w:cs="Times New Roman"/>
                  <w:bCs/>
                  <w:i/>
                  <w:iCs/>
                </w:rPr>
              </m:ctrlPr>
            </m:sSubPr>
            <m:e>
              <m:r>
                <m:rPr>
                  <m:nor/>
                </m:rPr>
                <w:rPr>
                  <w:rFonts w:ascii="Times New Roman" w:eastAsia="宋体" w:hAnsi="Times New Roman" w:cs="Times New Roman"/>
                  <w:bCs/>
                  <w:i/>
                  <w:iCs/>
                </w:rPr>
                <m:t>M</m:t>
              </m:r>
            </m:e>
            <m:sub>
              <m:sSub>
                <m:sSubPr>
                  <m:ctrlPr>
                    <w:rPr>
                      <w:rFonts w:ascii="DejaVu Math TeX Gyre" w:eastAsia="宋体" w:hAnsi="DejaVu Math TeX Gyre" w:cs="Times New Roman"/>
                      <w:bCs/>
                    </w:rPr>
                  </m:ctrlPr>
                </m:sSubPr>
                <m:e>
                  <m:r>
                    <m:rPr>
                      <m:nor/>
                    </m:rPr>
                    <w:rPr>
                      <w:rFonts w:ascii="Times New Roman" w:eastAsia="宋体" w:hAnsi="Times New Roman" w:cs="Times New Roman"/>
                      <w:bCs/>
                    </w:rPr>
                    <m:t>CO</m:t>
                  </m:r>
                </m:e>
                <m:sub>
                  <m:r>
                    <m:rPr>
                      <m:nor/>
                    </m:rPr>
                    <w:rPr>
                      <w:rFonts w:ascii="Times New Roman" w:eastAsia="宋体" w:hAnsi="Times New Roman" w:cs="Times New Roman"/>
                      <w:bCs/>
                    </w:rPr>
                    <m:t>2</m:t>
                  </m:r>
                </m:sub>
              </m:sSub>
            </m:sub>
          </m:sSub>
          <m:r>
            <w:rPr>
              <w:rFonts w:ascii="DejaVu Math TeX Gyre" w:eastAsia="宋体" w:hAnsi="DejaVu Math TeX Gyre" w:cs="Times New Roman"/>
            </w:rPr>
            <m:t xml:space="preserve"> </m:t>
          </m:r>
          <m:r>
            <m:rPr>
              <m:nor/>
            </m:rPr>
            <w:rPr>
              <w:rFonts w:ascii="Times New Roman" w:eastAsia="宋体" w:hAnsi="Times New Roman" w:cs="Times New Roman"/>
              <w:bCs/>
            </w:rPr>
            <m:t>(136)</m:t>
          </m:r>
        </m:oMath>
      </m:oMathPara>
    </w:p>
    <w:p w14:paraId="36DF875E" w14:textId="1C1D01D0"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The total mass transfer coefficient and absorption rate were used to evaluate the design parameters of the bubble tower, such as the number of holes and the ratio of height to diameter. The results can be visually displayed by the dynamic concentration distribution of each species, which can effectively reflect the mass transfer performance. It is proved that the mass transfer of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escape is mainly controlled by liquid film, and renewable energy consumption can be reduced by increasing inlet temperature, initial NH</w:t>
      </w:r>
      <w:r w:rsidRPr="000A7793">
        <w:rPr>
          <w:rFonts w:ascii="Times New Roman" w:eastAsia="宋体" w:hAnsi="Times New Roman" w:cs="Times New Roman"/>
        </w:rPr>
        <w:softHyphen/>
      </w:r>
      <w:r w:rsidRPr="000A7793">
        <w:rPr>
          <w:rFonts w:ascii="Times New Roman" w:eastAsia="宋体" w:hAnsi="Times New Roman" w:cs="Times New Roman"/>
          <w:vertAlign w:val="subscript"/>
        </w:rPr>
        <w:t>3</w:t>
      </w:r>
      <w:r w:rsidRPr="000A7793">
        <w:rPr>
          <w:rFonts w:ascii="Times New Roman" w:eastAsia="宋体" w:hAnsi="Times New Roman" w:cs="Times New Roman"/>
        </w:rPr>
        <w:t>(</w:t>
      </w:r>
      <w:proofErr w:type="spellStart"/>
      <w:r w:rsidRPr="000A7793">
        <w:rPr>
          <w:rFonts w:ascii="Times New Roman" w:eastAsia="宋体" w:hAnsi="Times New Roman" w:cs="Times New Roman"/>
        </w:rPr>
        <w:t>aq</w:t>
      </w:r>
      <w:proofErr w:type="spellEnd"/>
      <w:r w:rsidRPr="000A7793">
        <w:rPr>
          <w:rFonts w:ascii="Times New Roman" w:eastAsia="宋体" w:hAnsi="Times New Roman" w:cs="Times New Roman"/>
        </w:rPr>
        <w:t>) concentration and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load. Lower gas temperature and flow rate can not only inhibit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escape, but also reduce renewable energy consumption. Different from the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escape in the absorption, the desorption condition has the higher temperature and higher carbonization degree, but the method of establishing the model can provide a reference for the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escape, water balance and thermal balance. Xu et al. [</w:t>
      </w:r>
      <w:r w:rsidR="00EF701D" w:rsidRPr="000A7793">
        <w:rPr>
          <w:rFonts w:ascii="Times New Roman" w:eastAsia="宋体" w:hAnsi="Times New Roman" w:cs="Times New Roman"/>
        </w:rPr>
        <w:t>7</w:t>
      </w:r>
      <w:r w:rsidRPr="000A7793">
        <w:rPr>
          <w:rFonts w:ascii="Times New Roman" w:eastAsia="宋体" w:hAnsi="Times New Roman" w:cs="Times New Roman"/>
        </w:rPr>
        <w:t>] simulated the IACC in spray tower using software package of CFD, meanwhile, the eq. (71) of finite element theory was applied to study the mass transfer effect under different conditions such as the spray speed, air flow speed, NH</w:t>
      </w:r>
      <w:r w:rsidRPr="000A7793">
        <w:rPr>
          <w:rFonts w:ascii="Times New Roman" w:eastAsia="宋体" w:hAnsi="Times New Roman" w:cs="Times New Roman"/>
        </w:rPr>
        <w:softHyphen/>
      </w:r>
      <w:r w:rsidRPr="000A7793">
        <w:rPr>
          <w:rFonts w:ascii="Times New Roman" w:eastAsia="宋体" w:hAnsi="Times New Roman" w:cs="Times New Roman"/>
          <w:vertAlign w:val="subscript"/>
        </w:rPr>
        <w:t>3</w:t>
      </w:r>
      <w:r w:rsidRPr="000A7793">
        <w:rPr>
          <w:rFonts w:ascii="Times New Roman" w:eastAsia="宋体" w:hAnsi="Times New Roman" w:cs="Times New Roman"/>
        </w:rPr>
        <w:t>(</w:t>
      </w:r>
      <w:proofErr w:type="spellStart"/>
      <w:r w:rsidRPr="000A7793">
        <w:rPr>
          <w:rFonts w:ascii="Times New Roman" w:eastAsia="宋体" w:hAnsi="Times New Roman" w:cs="Times New Roman"/>
        </w:rPr>
        <w:t>aq</w:t>
      </w:r>
      <w:proofErr w:type="spellEnd"/>
      <w:r w:rsidRPr="000A7793">
        <w:rPr>
          <w:rFonts w:ascii="Times New Roman" w:eastAsia="宋体" w:hAnsi="Times New Roman" w:cs="Times New Roman"/>
        </w:rPr>
        <w:t>) concentration and temperature. Rinker et al. [</w:t>
      </w:r>
      <w:r w:rsidR="00EF701D" w:rsidRPr="000A7793">
        <w:rPr>
          <w:rFonts w:ascii="Times New Roman" w:eastAsia="宋体" w:hAnsi="Times New Roman" w:cs="Times New Roman"/>
        </w:rPr>
        <w:t>8</w:t>
      </w:r>
      <w:r w:rsidRPr="000A7793">
        <w:rPr>
          <w:rFonts w:ascii="Times New Roman" w:eastAsia="宋体" w:hAnsi="Times New Roman" w:cs="Times New Roman"/>
        </w:rPr>
        <w:t>] described the absorption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into  aqueous solutions of primary and secondary alkanolamines in laminar jet reactors based on penetration theory. The reversible properties of all reactions was taken into account, which was the more complete study on the kinetic theory of mass transfer.</w:t>
      </w:r>
    </w:p>
    <w:p w14:paraId="3858FB83" w14:textId="67D699E0"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1.1.2. Solution of species balance equation</w:t>
      </w:r>
    </w:p>
    <w:p w14:paraId="48B5ACAD" w14:textId="77777777"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Measurement and quantitative analysis of the species concentration in the film and liquid bulk are the key parts in the mass transfer kinetics. It can be found that the main studies are divided into the following two situations: (1) the reactions in which the reaction rate is greater than the mass transfer rate; (2) the reactions in which the mass transfer rate is greater than the reaction rate. The difference between them is that the latter has no concentration difference in the liquid film, which can be brought about by assumptions and certainly lead to errors. The latter also due to partly enhanced mass transfer processes (violent mixing of gas-liquid phases, and direct reaction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in saturated dissolved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When the reaction rate is greater than the mass transfer rate, a liquid film is produced, and the composition of the liquid body is stable. In both cases, the main composition of the liquid bulk can be modeled and analyzed with the help of advanced spectral and mass spectrometers.</w:t>
      </w:r>
    </w:p>
    <w:p w14:paraId="7CAE4BC0" w14:textId="77777777"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(1) Mass transfer rate greater than reaction rate</w:t>
      </w:r>
    </w:p>
    <w:p w14:paraId="459CFBF6" w14:textId="55B7836E"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Halstensen et al. [</w:t>
      </w:r>
      <w:r w:rsidR="00EF701D" w:rsidRPr="000A7793">
        <w:rPr>
          <w:rFonts w:ascii="Times New Roman" w:eastAsia="宋体" w:hAnsi="Times New Roman" w:cs="Times New Roman"/>
        </w:rPr>
        <w:t>9</w:t>
      </w:r>
      <w:r w:rsidRPr="000A7793">
        <w:rPr>
          <w:rFonts w:ascii="Times New Roman" w:eastAsia="宋体" w:hAnsi="Times New Roman" w:cs="Times New Roman"/>
        </w:rPr>
        <w:t xml:space="preserve">] established the </w:t>
      </w:r>
      <w:r w:rsidRPr="000A7793">
        <w:rPr>
          <w:rFonts w:ascii="Times New Roman" w:eastAsia="宋体" w:hAnsi="Times New Roman" w:cs="Times New Roman"/>
          <w:kern w:val="0"/>
        </w:rPr>
        <w:t>partial least-squares regression</w:t>
      </w:r>
      <w:r w:rsidRPr="000A7793">
        <w:rPr>
          <w:rFonts w:ascii="Times New Roman" w:eastAsia="宋体" w:hAnsi="Times New Roman" w:cs="Times New Roman"/>
        </w:rPr>
        <w:t xml:space="preserve"> model and analyzed Raman spectroscopic data to match the species of the CO</w:t>
      </w:r>
      <w:r w:rsidRPr="000A7793">
        <w:rPr>
          <w:rFonts w:ascii="Times New Roman" w:eastAsia="宋体" w:hAnsi="Times New Roman" w:cs="Times New Roman"/>
          <w:vertAlign w:val="subscript"/>
        </w:rPr>
        <w:t>2</w:t>
      </w:r>
      <w:r w:rsidRPr="000A7793">
        <w:rPr>
          <w:rFonts w:ascii="Times New Roman" w:eastAsia="宋体" w:hAnsi="Times New Roman" w:cs="Times New Roman"/>
        </w:rPr>
        <w:t>-NH</w:t>
      </w:r>
      <w:r w:rsidRPr="000A7793">
        <w:rPr>
          <w:rFonts w:ascii="Times New Roman" w:eastAsia="宋体" w:hAnsi="Times New Roman" w:cs="Times New Roman"/>
          <w:vertAlign w:val="subscript"/>
        </w:rPr>
        <w:t>3</w:t>
      </w:r>
      <w:r w:rsidRPr="000A7793">
        <w:rPr>
          <w:rFonts w:ascii="Times New Roman" w:eastAsia="宋体" w:hAnsi="Times New Roman" w:cs="Times New Roman"/>
        </w:rPr>
        <w:t>-H</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O system, which realized in-situ monitoring of the species concentration. </w:t>
      </w:r>
      <w:bookmarkStart w:id="4" w:name="OLE_LINK87"/>
      <w:r w:rsidRPr="000A7793">
        <w:rPr>
          <w:rFonts w:ascii="Times New Roman" w:eastAsia="宋体" w:hAnsi="Times New Roman" w:cs="Times New Roman"/>
        </w:rPr>
        <w:t>Stopped-flow spectrophotometry</w:t>
      </w:r>
      <w:bookmarkEnd w:id="4"/>
      <w:r w:rsidRPr="000A7793">
        <w:rPr>
          <w:rFonts w:ascii="Times New Roman" w:eastAsia="宋体" w:hAnsi="Times New Roman" w:cs="Times New Roman"/>
        </w:rPr>
        <w:t xml:space="preserve"> (SP) is the method for analyzing composition changes in liquid bulk for a very short time and there are many cases in studying fast reaction kinetics. Li et al. [</w:t>
      </w:r>
      <w:r w:rsidR="00EF701D" w:rsidRPr="000A7793">
        <w:rPr>
          <w:rFonts w:ascii="Times New Roman" w:eastAsia="宋体" w:hAnsi="Times New Roman" w:cs="Times New Roman"/>
        </w:rPr>
        <w:t>10</w:t>
      </w:r>
      <w:r w:rsidRPr="000A7793">
        <w:rPr>
          <w:rFonts w:ascii="Times New Roman" w:eastAsia="宋体" w:hAnsi="Times New Roman" w:cs="Times New Roman"/>
        </w:rPr>
        <w:t>] analyzed the mechanism of reversible bimolecular reaction between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and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by SP, and the species balance equations were solved based on the penetration theory by MATLAB. The pH was calculated by the changes of colored acid-base indicators in the wavelength range of 400-700 nm. It was proved that adding 4-AMTHP and PZ to NH</w:t>
      </w:r>
      <w:r w:rsidRPr="000A7793">
        <w:rPr>
          <w:rFonts w:ascii="Times New Roman" w:eastAsia="宋体" w:hAnsi="Times New Roman" w:cs="Times New Roman"/>
          <w:vertAlign w:val="subscript"/>
        </w:rPr>
        <w:t>3</w:t>
      </w:r>
      <w:r w:rsidRPr="000A7793">
        <w:rPr>
          <w:rFonts w:ascii="Times New Roman" w:eastAsia="宋体" w:hAnsi="Times New Roman" w:cs="Times New Roman"/>
        </w:rPr>
        <w:t>(</w:t>
      </w:r>
      <w:proofErr w:type="spellStart"/>
      <w:r w:rsidRPr="000A7793">
        <w:rPr>
          <w:rFonts w:ascii="Times New Roman" w:eastAsia="宋体" w:hAnsi="Times New Roman" w:cs="Times New Roman"/>
        </w:rPr>
        <w:t>aq</w:t>
      </w:r>
      <w:proofErr w:type="spellEnd"/>
      <w:r w:rsidRPr="000A7793">
        <w:rPr>
          <w:rFonts w:ascii="Times New Roman" w:eastAsia="宋体" w:hAnsi="Times New Roman" w:cs="Times New Roman"/>
        </w:rPr>
        <w:t>) could increase the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rate by total mass transfer coefficient, but the relationship between the concentration and the promotion of mass transfer kinetics in the liquid film was not further clarified. Xiang et al. [</w:t>
      </w:r>
      <w:r w:rsidR="00EF701D" w:rsidRPr="000A7793">
        <w:rPr>
          <w:rFonts w:ascii="Times New Roman" w:eastAsia="宋体" w:hAnsi="Times New Roman" w:cs="Times New Roman"/>
        </w:rPr>
        <w:t>11</w:t>
      </w:r>
      <w:r w:rsidRPr="000A7793">
        <w:rPr>
          <w:rFonts w:ascii="Times New Roman" w:eastAsia="宋体" w:hAnsi="Times New Roman" w:cs="Times New Roman"/>
        </w:rPr>
        <w:t>] proved the promoting effect of sarcosine additives on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using SP method. Wang et al. [</w:t>
      </w:r>
      <w:r w:rsidR="00EF701D" w:rsidRPr="000A7793">
        <w:rPr>
          <w:rFonts w:ascii="Times New Roman" w:eastAsia="宋体" w:hAnsi="Times New Roman" w:cs="Times New Roman"/>
        </w:rPr>
        <w:t>12</w:t>
      </w:r>
      <w:r w:rsidRPr="000A7793">
        <w:rPr>
          <w:rFonts w:ascii="Times New Roman" w:eastAsia="宋体" w:hAnsi="Times New Roman" w:cs="Times New Roman"/>
        </w:rPr>
        <w:t>] studied the reversible reactivity and absorption process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based on bimolecular theory, and measured species concentration profile in the liquid phase with time by SP. The relationship between the kinetic parameters and temperature of the reversible reaction was analyzed by Arrhenius equation and Van't Hoff equation. It was found that the accumulation of NH</w:t>
      </w:r>
      <w:r w:rsidRPr="000A7793">
        <w:rPr>
          <w:rFonts w:ascii="Times New Roman" w:eastAsia="宋体" w:hAnsi="Times New Roman" w:cs="Times New Roman"/>
          <w:vertAlign w:val="subscript"/>
        </w:rPr>
        <w:t>2</w:t>
      </w:r>
      <w:r w:rsidRPr="000A7793">
        <w:rPr>
          <w:rFonts w:ascii="Times New Roman" w:eastAsia="宋体" w:hAnsi="Times New Roman" w:cs="Times New Roman"/>
        </w:rPr>
        <w:t>COONH</w:t>
      </w:r>
      <w:r w:rsidRPr="000A7793">
        <w:rPr>
          <w:rFonts w:ascii="Times New Roman" w:eastAsia="宋体" w:hAnsi="Times New Roman" w:cs="Times New Roman"/>
          <w:vertAlign w:val="subscript"/>
        </w:rPr>
        <w:t>4</w:t>
      </w:r>
      <w:r w:rsidRPr="000A7793">
        <w:rPr>
          <w:rFonts w:ascii="Times New Roman" w:eastAsia="宋体" w:hAnsi="Times New Roman" w:cs="Times New Roman"/>
        </w:rPr>
        <w:t xml:space="preserve"> in the absorption solution was small, which indirectly increased the absorption rate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w:t>
      </w:r>
    </w:p>
    <w:p w14:paraId="327AE5E8" w14:textId="77777777"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(2) Reaction rate greater than mass transfer rate</w:t>
      </w:r>
    </w:p>
    <w:p w14:paraId="2FD2D172" w14:textId="3B10A0FC"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Kim et al. [</w:t>
      </w:r>
      <w:r w:rsidR="00EF701D" w:rsidRPr="000A7793">
        <w:rPr>
          <w:rFonts w:ascii="Times New Roman" w:eastAsia="宋体" w:hAnsi="Times New Roman" w:cs="Times New Roman"/>
        </w:rPr>
        <w:t>13,14</w:t>
      </w:r>
      <w:r w:rsidRPr="000A7793">
        <w:rPr>
          <w:rFonts w:ascii="Times New Roman" w:eastAsia="宋体" w:hAnsi="Times New Roman" w:cs="Times New Roman"/>
        </w:rPr>
        <w:t xml:space="preserve">] applied </w:t>
      </w:r>
      <w:r w:rsidRPr="000A7793">
        <w:rPr>
          <w:rFonts w:ascii="Times New Roman" w:eastAsia="宋体" w:hAnsi="Times New Roman" w:cs="Times New Roman"/>
          <w:vertAlign w:val="superscript"/>
        </w:rPr>
        <w:t>13</w:t>
      </w:r>
      <w:r w:rsidRPr="000A7793">
        <w:rPr>
          <w:rFonts w:ascii="Times New Roman" w:eastAsia="宋体" w:hAnsi="Times New Roman" w:cs="Times New Roman"/>
        </w:rPr>
        <w:t>C NMR to analyze the concentrations of key substances (HCO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w:t>
      </w:r>
      <w:r w:rsidRPr="000A7793">
        <w:rPr>
          <w:rFonts w:ascii="Times New Roman" w:eastAsia="宋体" w:hAnsi="Times New Roman" w:cs="Times New Roman"/>
        </w:rPr>
        <w:t>, 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2-</w:t>
      </w:r>
      <w:r w:rsidRPr="000A7793">
        <w:rPr>
          <w:rFonts w:ascii="Times New Roman" w:eastAsia="宋体" w:hAnsi="Times New Roman" w:cs="Times New Roman"/>
        </w:rPr>
        <w:t>, NH</w:t>
      </w:r>
      <w:r w:rsidRPr="000A7793">
        <w:rPr>
          <w:rFonts w:ascii="Times New Roman" w:eastAsia="宋体" w:hAnsi="Times New Roman" w:cs="Times New Roman"/>
          <w:vertAlign w:val="subscript"/>
        </w:rPr>
        <w:t>2</w:t>
      </w:r>
      <w:r w:rsidRPr="000A7793">
        <w:rPr>
          <w:rFonts w:ascii="Times New Roman" w:eastAsia="宋体" w:hAnsi="Times New Roman" w:cs="Times New Roman"/>
        </w:rPr>
        <w:t>COO</w:t>
      </w:r>
      <w:r w:rsidRPr="000A7793">
        <w:rPr>
          <w:rFonts w:ascii="Times New Roman" w:eastAsia="宋体" w:hAnsi="Times New Roman" w:cs="Times New Roman"/>
          <w:vertAlign w:val="superscript"/>
        </w:rPr>
        <w:t>-</w:t>
      </w:r>
      <w:r w:rsidRPr="000A7793">
        <w:rPr>
          <w:rFonts w:ascii="Times New Roman" w:eastAsia="宋体" w:hAnsi="Times New Roman" w:cs="Times New Roman"/>
        </w:rPr>
        <w:t>). The inorganic carbon concentration in the solution was measured by the inorganic carbon (IC) mode of the total organic carbon (TOC) analyzer, and the total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concentration in the absorbent was measured by the total alkalinity titration method [</w:t>
      </w:r>
      <w:r w:rsidR="00EF701D" w:rsidRPr="000A7793">
        <w:rPr>
          <w:rFonts w:ascii="Times New Roman" w:eastAsia="宋体" w:hAnsi="Times New Roman" w:cs="Times New Roman"/>
        </w:rPr>
        <w:t>15</w:t>
      </w:r>
      <w:r w:rsidRPr="000A7793">
        <w:rPr>
          <w:rFonts w:ascii="Times New Roman" w:eastAsia="宋体" w:hAnsi="Times New Roman" w:cs="Times New Roman"/>
        </w:rPr>
        <w:t>]. Mani et al. [</w:t>
      </w:r>
      <w:r w:rsidR="00EF701D" w:rsidRPr="000A7793">
        <w:rPr>
          <w:rFonts w:ascii="Times New Roman" w:eastAsia="宋体" w:hAnsi="Times New Roman" w:cs="Times New Roman"/>
        </w:rPr>
        <w:t>16</w:t>
      </w:r>
      <w:r w:rsidRPr="000A7793">
        <w:rPr>
          <w:rFonts w:ascii="Times New Roman" w:eastAsia="宋体" w:hAnsi="Times New Roman" w:cs="Times New Roman"/>
        </w:rPr>
        <w:t xml:space="preserve">] measured the </w:t>
      </w:r>
      <w:r w:rsidRPr="000A7793">
        <w:rPr>
          <w:rFonts w:ascii="Times New Roman" w:eastAsia="宋体" w:hAnsi="Times New Roman" w:cs="Times New Roman"/>
          <w:vertAlign w:val="superscript"/>
        </w:rPr>
        <w:t>13</w:t>
      </w:r>
      <w:r w:rsidRPr="000A7793">
        <w:rPr>
          <w:rFonts w:ascii="Times New Roman" w:eastAsia="宋体" w:hAnsi="Times New Roman" w:cs="Times New Roman"/>
        </w:rPr>
        <w:t>C NMR spectrum of the IACC in the glass cylinder reactor, and calculated the relative concentrations of HCO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w:t>
      </w:r>
      <w:r w:rsidRPr="000A7793">
        <w:rPr>
          <w:rFonts w:ascii="Times New Roman" w:eastAsia="宋体" w:hAnsi="Times New Roman" w:cs="Times New Roman"/>
        </w:rPr>
        <w:t xml:space="preserve"> and 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2-</w:t>
      </w:r>
      <w:r w:rsidRPr="000A7793">
        <w:rPr>
          <w:rFonts w:ascii="Times New Roman" w:eastAsia="宋体" w:hAnsi="Times New Roman" w:cs="Times New Roman"/>
        </w:rPr>
        <w:t xml:space="preserve"> based on the chemical shift of the single NMR peak. The concentrations of HCO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w:t>
      </w:r>
      <w:r w:rsidRPr="000A7793">
        <w:rPr>
          <w:rFonts w:ascii="Times New Roman" w:eastAsia="宋体" w:hAnsi="Times New Roman" w:cs="Times New Roman"/>
        </w:rPr>
        <w:t>, 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 xml:space="preserve">2- </w:t>
      </w:r>
      <w:r w:rsidRPr="000A7793">
        <w:rPr>
          <w:rFonts w:ascii="Times New Roman" w:eastAsia="宋体" w:hAnsi="Times New Roman" w:cs="Times New Roman"/>
        </w:rPr>
        <w:t>and NH</w:t>
      </w:r>
      <w:r w:rsidRPr="000A7793">
        <w:rPr>
          <w:rFonts w:ascii="Times New Roman" w:eastAsia="宋体" w:hAnsi="Times New Roman" w:cs="Times New Roman"/>
          <w:vertAlign w:val="subscript"/>
        </w:rPr>
        <w:t>2</w:t>
      </w:r>
      <w:r w:rsidRPr="000A7793">
        <w:rPr>
          <w:rFonts w:ascii="Times New Roman" w:eastAsia="宋体" w:hAnsi="Times New Roman" w:cs="Times New Roman"/>
        </w:rPr>
        <w:t>COO</w:t>
      </w:r>
      <w:r w:rsidRPr="000A7793">
        <w:rPr>
          <w:rFonts w:ascii="Times New Roman" w:eastAsia="宋体" w:hAnsi="Times New Roman" w:cs="Times New Roman"/>
          <w:vertAlign w:val="superscript"/>
        </w:rPr>
        <w:t xml:space="preserve">- </w:t>
      </w:r>
      <w:r w:rsidRPr="000A7793">
        <w:rPr>
          <w:rFonts w:ascii="Times New Roman" w:eastAsia="宋体" w:hAnsi="Times New Roman" w:cs="Times New Roman"/>
        </w:rPr>
        <w:t>can be calculated by establishing equations based on species conservation. Choi et al. [</w:t>
      </w:r>
      <w:r w:rsidR="00EF701D" w:rsidRPr="000A7793">
        <w:rPr>
          <w:rFonts w:ascii="Times New Roman" w:eastAsia="宋体" w:hAnsi="Times New Roman" w:cs="Times New Roman"/>
        </w:rPr>
        <w:t>17</w:t>
      </w:r>
      <w:r w:rsidRPr="000A7793">
        <w:rPr>
          <w:rFonts w:ascii="Times New Roman" w:eastAsia="宋体" w:hAnsi="Times New Roman" w:cs="Times New Roman"/>
        </w:rPr>
        <w:t>] found that (NH</w:t>
      </w:r>
      <w:r w:rsidRPr="000A7793">
        <w:rPr>
          <w:rFonts w:ascii="Times New Roman" w:eastAsia="宋体" w:hAnsi="Times New Roman" w:cs="Times New Roman"/>
          <w:vertAlign w:val="subscript"/>
        </w:rPr>
        <w:t>4</w:t>
      </w:r>
      <w:r w:rsidRPr="000A7793">
        <w:rPr>
          <w:rFonts w:ascii="Times New Roman" w:eastAsia="宋体" w:hAnsi="Times New Roman" w:cs="Times New Roman"/>
        </w:rPr>
        <w:t>)</w:t>
      </w:r>
      <w:r w:rsidRPr="000A7793">
        <w:rPr>
          <w:rFonts w:ascii="Times New Roman" w:eastAsia="宋体" w:hAnsi="Times New Roman" w:cs="Times New Roman"/>
          <w:vertAlign w:val="subscript"/>
        </w:rPr>
        <w:t>2</w:t>
      </w:r>
      <w:r w:rsidRPr="000A7793">
        <w:rPr>
          <w:rFonts w:ascii="Times New Roman" w:eastAsia="宋体" w:hAnsi="Times New Roman" w:cs="Times New Roman"/>
        </w:rPr>
        <w:t>CO</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and carbonate all have strong infrared absorption bands. The ATR-FTIR spectroscopy and least square method were used to estimate the species concentration. In particular, this method can be used to online monitor the species concentrations of NH</w:t>
      </w:r>
      <w:r w:rsidRPr="000A7793">
        <w:rPr>
          <w:rFonts w:ascii="Times New Roman" w:eastAsia="宋体" w:hAnsi="Times New Roman" w:cs="Times New Roman"/>
          <w:vertAlign w:val="subscript"/>
        </w:rPr>
        <w:t>4</w:t>
      </w:r>
      <w:r w:rsidRPr="000A7793">
        <w:rPr>
          <w:rFonts w:ascii="Times New Roman" w:eastAsia="宋体" w:hAnsi="Times New Roman" w:cs="Times New Roman"/>
        </w:rPr>
        <w:t>HCO</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crystalline suspension [</w:t>
      </w:r>
      <w:r w:rsidR="00EF701D" w:rsidRPr="000A7793">
        <w:rPr>
          <w:rFonts w:ascii="Times New Roman" w:eastAsia="宋体" w:hAnsi="Times New Roman" w:cs="Times New Roman"/>
        </w:rPr>
        <w:t>18</w:t>
      </w:r>
      <w:r w:rsidRPr="000A7793">
        <w:rPr>
          <w:rFonts w:ascii="Times New Roman" w:eastAsia="宋体" w:hAnsi="Times New Roman" w:cs="Times New Roman"/>
        </w:rPr>
        <w:t>], and solve the concentrations of other species. The key parameters of the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kinetics under equilibrium conditions were calculated. Atzori et al. [</w:t>
      </w:r>
      <w:r w:rsidR="00EF701D" w:rsidRPr="000A7793">
        <w:rPr>
          <w:rFonts w:ascii="Times New Roman" w:eastAsia="宋体" w:hAnsi="Times New Roman" w:cs="Times New Roman"/>
        </w:rPr>
        <w:t>19</w:t>
      </w:r>
      <w:r w:rsidRPr="000A7793">
        <w:rPr>
          <w:rFonts w:ascii="Times New Roman" w:eastAsia="宋体" w:hAnsi="Times New Roman" w:cs="Times New Roman"/>
        </w:rPr>
        <w:t>] designed the bubbling reactor based on film theory, which ignored the gas mass transfer resistance, and obtained empirical equations to estimate the liquid mass transfer coefficient. The solution of species concentration flux can be omitted within in the film.  The model is to calculate the species concentration by solving the partial differential equation based on the material balance. It’s determined that the proton change to calculate the ratio of HCO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w:t>
      </w:r>
      <w:r w:rsidRPr="000A7793">
        <w:rPr>
          <w:rFonts w:ascii="Times New Roman" w:eastAsia="宋体" w:hAnsi="Times New Roman" w:cs="Times New Roman"/>
        </w:rPr>
        <w:t xml:space="preserve"> to 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2-</w:t>
      </w:r>
      <w:r w:rsidRPr="000A7793">
        <w:rPr>
          <w:rFonts w:ascii="Times New Roman" w:eastAsia="宋体" w:hAnsi="Times New Roman" w:cs="Times New Roman"/>
        </w:rPr>
        <w:t xml:space="preserve"> by the chemical shift of </w:t>
      </w:r>
      <w:r w:rsidRPr="000A7793">
        <w:rPr>
          <w:rFonts w:ascii="Times New Roman" w:eastAsia="宋体" w:hAnsi="Times New Roman" w:cs="Times New Roman"/>
          <w:vertAlign w:val="superscript"/>
        </w:rPr>
        <w:t>13</w:t>
      </w:r>
      <w:r w:rsidRPr="000A7793">
        <w:rPr>
          <w:rFonts w:ascii="Times New Roman" w:eastAsia="宋体" w:hAnsi="Times New Roman" w:cs="Times New Roman"/>
        </w:rPr>
        <w:t xml:space="preserve">C NMR. The </w:t>
      </w:r>
      <w:r w:rsidRPr="000A7793">
        <w:rPr>
          <w:rFonts w:ascii="Times New Roman" w:eastAsia="宋体" w:hAnsi="Times New Roman" w:cs="Times New Roman"/>
          <w:i/>
          <w:iCs/>
        </w:rPr>
        <w:t>E</w:t>
      </w:r>
      <w:r w:rsidRPr="000A7793">
        <w:rPr>
          <w:rFonts w:ascii="Times New Roman" w:eastAsia="宋体" w:hAnsi="Times New Roman" w:cs="Times New Roman"/>
        </w:rPr>
        <w:t xml:space="preserve"> of PFO reaction absorption under different carbonization degree is distinguished. The </w:t>
      </w:r>
      <w:r w:rsidRPr="000A7793">
        <w:rPr>
          <w:rFonts w:ascii="Times New Roman" w:eastAsia="宋体" w:hAnsi="Times New Roman" w:cs="Times New Roman"/>
          <w:i/>
          <w:iCs/>
        </w:rPr>
        <w:t>E</w:t>
      </w:r>
      <w:r w:rsidRPr="000A7793">
        <w:rPr>
          <w:rFonts w:ascii="Times New Roman" w:eastAsia="宋体" w:hAnsi="Times New Roman" w:cs="Times New Roman"/>
        </w:rPr>
        <w:t xml:space="preserve"> of intermediate reaction and rapid reaction are adopted as shown in the </w:t>
      </w:r>
      <w:proofErr w:type="spellStart"/>
      <w:r w:rsidRPr="000A7793">
        <w:rPr>
          <w:rFonts w:ascii="Times New Roman" w:eastAsia="宋体" w:hAnsi="Times New Roman" w:cs="Times New Roman"/>
        </w:rPr>
        <w:t>eqs</w:t>
      </w:r>
      <w:proofErr w:type="spellEnd"/>
      <w:r w:rsidRPr="000A7793">
        <w:rPr>
          <w:rFonts w:ascii="Times New Roman" w:eastAsia="宋体" w:hAnsi="Times New Roman" w:cs="Times New Roman"/>
        </w:rPr>
        <w:t>. (137,138) [</w:t>
      </w:r>
      <w:r w:rsidR="00EF701D" w:rsidRPr="000A7793">
        <w:rPr>
          <w:rFonts w:ascii="Times New Roman" w:eastAsia="宋体" w:hAnsi="Times New Roman" w:cs="Times New Roman"/>
        </w:rPr>
        <w:t>20-22</w:t>
      </w:r>
      <w:r w:rsidRPr="000A7793">
        <w:rPr>
          <w:rFonts w:ascii="Times New Roman" w:eastAsia="宋体" w:hAnsi="Times New Roman" w:cs="Times New Roman"/>
        </w:rPr>
        <w:t xml:space="preserve">]:  </w:t>
      </w:r>
    </w:p>
    <w:p w14:paraId="45B9C5ED" w14:textId="77777777" w:rsidR="00194D5F" w:rsidRPr="000A7793" w:rsidRDefault="00194D5F" w:rsidP="00396CEF">
      <w:pPr>
        <w:spacing w:line="360" w:lineRule="auto"/>
        <w:rPr>
          <w:rFonts w:ascii="Times New Roman" w:eastAsia="宋体" w:hAnsi="Times New Roman" w:cs="Times New Roman"/>
        </w:rPr>
      </w:pPr>
      <m:oMathPara>
        <m:oMath>
          <m:r>
            <m:rPr>
              <m:nor/>
            </m:rPr>
            <w:rPr>
              <w:rFonts w:ascii="Times New Roman" w:eastAsia="宋体" w:hAnsi="Times New Roman" w:cs="Times New Roman"/>
              <w:i/>
              <w:iCs/>
            </w:rPr>
            <m:t>E=</m:t>
          </m:r>
          <m:f>
            <m:fPr>
              <m:ctrlPr>
                <w:rPr>
                  <w:rFonts w:ascii="DejaVu Math TeX Gyre" w:eastAsia="宋体" w:hAnsi="DejaVu Math TeX Gyre" w:cs="Times New Roman"/>
                  <w:i/>
                  <w:iCs/>
                </w:rPr>
              </m:ctrlPr>
            </m:fPr>
            <m:num>
              <m:r>
                <m:rPr>
                  <m:nor/>
                </m:rPr>
                <w:rPr>
                  <w:rFonts w:ascii="Times New Roman" w:eastAsia="宋体" w:hAnsi="Times New Roman" w:cs="Times New Roman"/>
                  <w:i/>
                  <w:iCs/>
                </w:rPr>
                <m:t>Ha</m:t>
              </m:r>
            </m:num>
            <m:den>
              <m:r>
                <m:rPr>
                  <m:nor/>
                </m:rPr>
                <w:rPr>
                  <w:rFonts w:ascii="Times New Roman" w:eastAsia="宋体" w:hAnsi="Times New Roman" w:cs="Times New Roman"/>
                </w:rPr>
                <m:t>tanh(</m:t>
              </m:r>
              <m:r>
                <m:rPr>
                  <m:nor/>
                </m:rPr>
                <w:rPr>
                  <w:rFonts w:ascii="Times New Roman" w:eastAsia="宋体" w:hAnsi="Times New Roman" w:cs="Times New Roman"/>
                  <w:i/>
                  <w:iCs/>
                </w:rPr>
                <m:t>Ha</m:t>
              </m:r>
              <m:r>
                <m:rPr>
                  <m:nor/>
                </m:rPr>
                <w:rPr>
                  <w:rFonts w:ascii="Times New Roman" w:eastAsia="宋体" w:hAnsi="Times New Roman" w:cs="Times New Roman"/>
                </w:rPr>
                <m:t>)</m:t>
              </m:r>
            </m:den>
          </m:f>
          <m:r>
            <m:rPr>
              <m:nor/>
            </m:rPr>
            <w:rPr>
              <w:rFonts w:ascii="Times New Roman" w:eastAsia="宋体" w:hAnsi="Times New Roman" w:cs="Times New Roman"/>
            </w:rPr>
            <m:t xml:space="preserve"> (137)</m:t>
          </m:r>
        </m:oMath>
      </m:oMathPara>
    </w:p>
    <w:p w14:paraId="02EAE1D4" w14:textId="77777777" w:rsidR="00194D5F" w:rsidRPr="000A7793" w:rsidRDefault="00194D5F" w:rsidP="00396CEF">
      <w:pPr>
        <w:spacing w:line="360" w:lineRule="auto"/>
        <w:rPr>
          <w:rFonts w:ascii="Times New Roman" w:eastAsia="宋体" w:hAnsi="Times New Roman" w:cs="Times New Roman"/>
          <w:b/>
          <w:bCs/>
        </w:rPr>
      </w:pPr>
      <m:oMathPara>
        <m:oMath>
          <m:r>
            <m:rPr>
              <m:nor/>
            </m:rPr>
            <w:rPr>
              <w:rFonts w:ascii="Times New Roman" w:eastAsia="宋体" w:hAnsi="Times New Roman" w:cs="Times New Roman"/>
            </w:rPr>
            <m:t xml:space="preserve"> </m:t>
          </m:r>
          <m:r>
            <m:rPr>
              <m:nor/>
            </m:rPr>
            <w:rPr>
              <w:rFonts w:ascii="Times New Roman" w:eastAsia="宋体" w:hAnsi="Times New Roman" w:cs="Times New Roman"/>
              <w:i/>
              <w:iCs/>
            </w:rPr>
            <m:t>E=</m:t>
          </m:r>
          <m:f>
            <m:fPr>
              <m:ctrlPr>
                <w:rPr>
                  <w:rFonts w:ascii="DejaVu Math TeX Gyre" w:eastAsia="宋体" w:hAnsi="DejaVu Math TeX Gyre" w:cs="Times New Roman"/>
                  <w:i/>
                  <w:iCs/>
                </w:rPr>
              </m:ctrlPr>
            </m:fPr>
            <m:num>
              <m:r>
                <m:rPr>
                  <m:nor/>
                </m:rPr>
                <w:rPr>
                  <w:rFonts w:ascii="Times New Roman" w:eastAsia="宋体" w:hAnsi="Times New Roman" w:cs="Times New Roman"/>
                  <w:i/>
                  <w:iCs/>
                </w:rPr>
                <m:t>-H</m:t>
              </m:r>
              <m:sSup>
                <m:sSupPr>
                  <m:ctrlPr>
                    <w:rPr>
                      <w:rFonts w:ascii="DejaVu Math TeX Gyre" w:eastAsia="宋体" w:hAnsi="DejaVu Math TeX Gyre" w:cs="Times New Roman"/>
                      <w:i/>
                      <w:iCs/>
                    </w:rPr>
                  </m:ctrlPr>
                </m:sSupPr>
                <m:e>
                  <m:r>
                    <m:rPr>
                      <m:nor/>
                    </m:rPr>
                    <w:rPr>
                      <w:rFonts w:ascii="Times New Roman" w:eastAsia="宋体" w:hAnsi="Times New Roman" w:cs="Times New Roman"/>
                      <w:i/>
                      <w:iCs/>
                    </w:rPr>
                    <m:t>a</m:t>
                  </m:r>
                </m:e>
                <m:sup>
                  <m:r>
                    <m:rPr>
                      <m:nor/>
                    </m:rPr>
                    <w:rPr>
                      <w:rFonts w:ascii="Times New Roman" w:eastAsia="宋体" w:hAnsi="Times New Roman" w:cs="Times New Roman"/>
                    </w:rPr>
                    <m:t>2</m:t>
                  </m:r>
                </m:sup>
              </m:sSup>
            </m:num>
            <m:den>
              <m:r>
                <m:rPr>
                  <m:nor/>
                </m:rPr>
                <w:rPr>
                  <w:rFonts w:ascii="Times New Roman" w:eastAsia="宋体" w:hAnsi="Times New Roman" w:cs="Times New Roman"/>
                </w:rPr>
                <m:t>2(</m:t>
              </m:r>
              <m:sSub>
                <m:sSubPr>
                  <m:ctrlPr>
                    <w:rPr>
                      <w:rFonts w:ascii="DejaVu Math TeX Gyre" w:eastAsia="宋体" w:hAnsi="DejaVu Math TeX Gyre" w:cs="Times New Roman"/>
                      <w:i/>
                      <w:iCs/>
                    </w:rPr>
                  </m:ctrlPr>
                </m:sSubPr>
                <m:e>
                  <m:r>
                    <m:rPr>
                      <m:nor/>
                    </m:rPr>
                    <w:rPr>
                      <w:rFonts w:ascii="Times New Roman" w:eastAsia="宋体" w:hAnsi="Times New Roman" w:cs="Times New Roman"/>
                      <w:i/>
                      <w:iCs/>
                    </w:rPr>
                    <m:t>E</m:t>
                  </m:r>
                </m:e>
                <m:sub>
                  <m:r>
                    <m:rPr>
                      <m:nor/>
                    </m:rPr>
                    <w:rPr>
                      <w:rFonts w:ascii="Times New Roman" w:eastAsia="宋体" w:hAnsi="Times New Roman" w:cs="Times New Roman"/>
                      <w:i/>
                      <w:iCs/>
                    </w:rPr>
                    <m:t>∞</m:t>
                  </m:r>
                </m:sub>
              </m:sSub>
              <m:r>
                <m:rPr>
                  <m:nor/>
                </m:rPr>
                <w:rPr>
                  <w:rFonts w:ascii="Times New Roman" w:eastAsia="宋体" w:hAnsi="Times New Roman" w:cs="Times New Roman"/>
                </w:rPr>
                <m:t>-1)</m:t>
              </m:r>
            </m:den>
          </m:f>
          <m:r>
            <m:rPr>
              <m:nor/>
            </m:rPr>
            <w:rPr>
              <w:rFonts w:ascii="Times New Roman" w:eastAsia="宋体" w:hAnsi="Times New Roman" w:cs="Times New Roman"/>
              <w:i/>
              <w:iCs/>
            </w:rPr>
            <m:t>+</m:t>
          </m:r>
          <m:rad>
            <m:radPr>
              <m:degHide m:val="1"/>
              <m:ctrlPr>
                <w:rPr>
                  <w:rFonts w:ascii="DejaVu Math TeX Gyre" w:eastAsia="宋体" w:hAnsi="DejaVu Math TeX Gyre" w:cs="Times New Roman"/>
                  <w:i/>
                  <w:iCs/>
                </w:rPr>
              </m:ctrlPr>
            </m:radPr>
            <m:deg/>
            <m:e>
              <m:f>
                <m:fPr>
                  <m:ctrlPr>
                    <w:rPr>
                      <w:rFonts w:ascii="DejaVu Math TeX Gyre" w:eastAsia="宋体" w:hAnsi="DejaVu Math TeX Gyre" w:cs="Times New Roman"/>
                      <w:i/>
                      <w:iCs/>
                    </w:rPr>
                  </m:ctrlPr>
                </m:fPr>
                <m:num>
                  <m:r>
                    <m:rPr>
                      <m:nor/>
                    </m:rPr>
                    <w:rPr>
                      <w:rFonts w:ascii="Times New Roman" w:eastAsia="宋体" w:hAnsi="Times New Roman" w:cs="Times New Roman"/>
                      <w:i/>
                      <w:iCs/>
                    </w:rPr>
                    <m:t>H</m:t>
                  </m:r>
                  <m:sSup>
                    <m:sSupPr>
                      <m:ctrlPr>
                        <w:rPr>
                          <w:rFonts w:ascii="DejaVu Math TeX Gyre" w:eastAsia="宋体" w:hAnsi="DejaVu Math TeX Gyre" w:cs="Times New Roman"/>
                          <w:i/>
                          <w:iCs/>
                        </w:rPr>
                      </m:ctrlPr>
                    </m:sSupPr>
                    <m:e>
                      <m:r>
                        <m:rPr>
                          <m:nor/>
                        </m:rPr>
                        <w:rPr>
                          <w:rFonts w:ascii="Times New Roman" w:eastAsia="宋体" w:hAnsi="Times New Roman" w:cs="Times New Roman"/>
                          <w:i/>
                          <w:iCs/>
                        </w:rPr>
                        <m:t>a</m:t>
                      </m:r>
                    </m:e>
                    <m:sup>
                      <m:r>
                        <m:rPr>
                          <m:nor/>
                        </m:rPr>
                        <w:rPr>
                          <w:rFonts w:ascii="Times New Roman" w:eastAsia="宋体" w:hAnsi="Times New Roman" w:cs="Times New Roman"/>
                        </w:rPr>
                        <m:t>4</m:t>
                      </m:r>
                    </m:sup>
                  </m:sSup>
                </m:num>
                <m:den>
                  <m:r>
                    <m:rPr>
                      <m:nor/>
                    </m:rPr>
                    <w:rPr>
                      <w:rFonts w:ascii="Times New Roman" w:eastAsia="宋体" w:hAnsi="Times New Roman" w:cs="Times New Roman"/>
                    </w:rPr>
                    <m:t>4(</m:t>
                  </m:r>
                  <m:sSub>
                    <m:sSubPr>
                      <m:ctrlPr>
                        <w:rPr>
                          <w:rFonts w:ascii="DejaVu Math TeX Gyre" w:eastAsia="宋体" w:hAnsi="DejaVu Math TeX Gyre" w:cs="Times New Roman"/>
                          <w:i/>
                          <w:iCs/>
                        </w:rPr>
                      </m:ctrlPr>
                    </m:sSubPr>
                    <m:e>
                      <m:r>
                        <m:rPr>
                          <m:nor/>
                        </m:rPr>
                        <w:rPr>
                          <w:rFonts w:ascii="Times New Roman" w:eastAsia="宋体" w:hAnsi="Times New Roman" w:cs="Times New Roman"/>
                          <w:i/>
                          <w:iCs/>
                        </w:rPr>
                        <m:t>E</m:t>
                      </m:r>
                    </m:e>
                    <m:sub>
                      <m:r>
                        <m:rPr>
                          <m:nor/>
                        </m:rPr>
                        <w:rPr>
                          <w:rFonts w:ascii="Times New Roman" w:eastAsia="宋体" w:hAnsi="Times New Roman" w:cs="Times New Roman"/>
                          <w:i/>
                          <w:iCs/>
                        </w:rPr>
                        <m:t>∞</m:t>
                      </m:r>
                    </m:sub>
                  </m:sSub>
                  <m:r>
                    <m:rPr>
                      <m:nor/>
                    </m:rPr>
                    <w:rPr>
                      <w:rFonts w:ascii="Times New Roman" w:eastAsia="宋体" w:hAnsi="Times New Roman" w:cs="Times New Roman"/>
                    </w:rPr>
                    <m:t>-1</m:t>
                  </m:r>
                  <m:sSup>
                    <m:sSupPr>
                      <m:ctrlPr>
                        <w:rPr>
                          <w:rFonts w:ascii="DejaVu Math TeX Gyre" w:eastAsia="宋体" w:hAnsi="DejaVu Math TeX Gyre" w:cs="Times New Roman"/>
                          <w:i/>
                          <w:iCs/>
                        </w:rPr>
                      </m:ctrlPr>
                    </m:sSupPr>
                    <m:e>
                      <m:r>
                        <m:rPr>
                          <m:nor/>
                        </m:rPr>
                        <w:rPr>
                          <w:rFonts w:ascii="Times New Roman" w:eastAsia="宋体" w:hAnsi="Times New Roman" w:cs="Times New Roman"/>
                        </w:rPr>
                        <m:t>)</m:t>
                      </m:r>
                    </m:e>
                    <m:sup>
                      <m:r>
                        <m:rPr>
                          <m:nor/>
                        </m:rPr>
                        <w:rPr>
                          <w:rFonts w:ascii="Times New Roman" w:eastAsia="宋体" w:hAnsi="Times New Roman" w:cs="Times New Roman"/>
                        </w:rPr>
                        <m:t>2</m:t>
                      </m:r>
                    </m:sup>
                  </m:sSup>
                </m:den>
              </m:f>
              <m:r>
                <m:rPr>
                  <m:nor/>
                </m:rPr>
                <w:rPr>
                  <w:rFonts w:ascii="Times New Roman" w:eastAsia="宋体" w:hAnsi="Times New Roman" w:cs="Times New Roman"/>
                  <w:i/>
                  <w:iCs/>
                </w:rPr>
                <m:t>+</m:t>
              </m:r>
              <m:f>
                <m:fPr>
                  <m:ctrlPr>
                    <w:rPr>
                      <w:rFonts w:ascii="DejaVu Math TeX Gyre" w:eastAsia="宋体" w:hAnsi="DejaVu Math TeX Gyre" w:cs="Times New Roman"/>
                      <w:i/>
                      <w:iCs/>
                    </w:rPr>
                  </m:ctrlPr>
                </m:fPr>
                <m:num>
                  <m:sSub>
                    <m:sSubPr>
                      <m:ctrlPr>
                        <w:rPr>
                          <w:rFonts w:ascii="DejaVu Math TeX Gyre" w:eastAsia="宋体" w:hAnsi="DejaVu Math TeX Gyre" w:cs="Times New Roman"/>
                          <w:i/>
                          <w:iCs/>
                        </w:rPr>
                      </m:ctrlPr>
                    </m:sSubPr>
                    <m:e>
                      <m:r>
                        <m:rPr>
                          <m:nor/>
                        </m:rPr>
                        <w:rPr>
                          <w:rFonts w:ascii="Times New Roman" w:eastAsia="宋体" w:hAnsi="Times New Roman" w:cs="Times New Roman"/>
                          <w:i/>
                          <w:iCs/>
                        </w:rPr>
                        <m:t>E</m:t>
                      </m:r>
                    </m:e>
                    <m:sub>
                      <m:r>
                        <m:rPr>
                          <m:nor/>
                        </m:rPr>
                        <w:rPr>
                          <w:rFonts w:ascii="Times New Roman" w:eastAsia="宋体" w:hAnsi="Times New Roman" w:cs="Times New Roman"/>
                          <w:i/>
                          <w:iCs/>
                        </w:rPr>
                        <m:t>∞</m:t>
                      </m:r>
                    </m:sub>
                  </m:sSub>
                  <m:r>
                    <m:rPr>
                      <m:nor/>
                    </m:rPr>
                    <w:rPr>
                      <w:rFonts w:ascii="Times New Roman" w:eastAsia="宋体" w:hAnsi="Times New Roman" w:cs="Times New Roman"/>
                      <w:i/>
                      <w:iCs/>
                    </w:rPr>
                    <m:t>H</m:t>
                  </m:r>
                  <m:sSup>
                    <m:sSupPr>
                      <m:ctrlPr>
                        <w:rPr>
                          <w:rFonts w:ascii="DejaVu Math TeX Gyre" w:eastAsia="宋体" w:hAnsi="DejaVu Math TeX Gyre" w:cs="Times New Roman"/>
                          <w:i/>
                          <w:iCs/>
                        </w:rPr>
                      </m:ctrlPr>
                    </m:sSupPr>
                    <m:e>
                      <m:r>
                        <m:rPr>
                          <m:nor/>
                        </m:rPr>
                        <w:rPr>
                          <w:rFonts w:ascii="Times New Roman" w:eastAsia="宋体" w:hAnsi="Times New Roman" w:cs="Times New Roman"/>
                          <w:i/>
                          <w:iCs/>
                        </w:rPr>
                        <m:t>a</m:t>
                      </m:r>
                    </m:e>
                    <m:sup>
                      <m:r>
                        <m:rPr>
                          <m:nor/>
                        </m:rPr>
                        <w:rPr>
                          <w:rFonts w:ascii="Times New Roman" w:eastAsia="宋体" w:hAnsi="Times New Roman" w:cs="Times New Roman"/>
                        </w:rPr>
                        <m:t>2</m:t>
                      </m:r>
                    </m:sup>
                  </m:sSup>
                </m:num>
                <m:den>
                  <m:r>
                    <m:rPr>
                      <m:nor/>
                    </m:rPr>
                    <w:rPr>
                      <w:rFonts w:ascii="Times New Roman" w:eastAsia="宋体" w:hAnsi="Times New Roman" w:cs="Times New Roman"/>
                    </w:rPr>
                    <m:t>(</m:t>
                  </m:r>
                  <m:sSub>
                    <m:sSubPr>
                      <m:ctrlPr>
                        <w:rPr>
                          <w:rFonts w:ascii="DejaVu Math TeX Gyre" w:eastAsia="宋体" w:hAnsi="DejaVu Math TeX Gyre" w:cs="Times New Roman"/>
                          <w:i/>
                          <w:iCs/>
                        </w:rPr>
                      </m:ctrlPr>
                    </m:sSubPr>
                    <m:e>
                      <m:r>
                        <m:rPr>
                          <m:nor/>
                        </m:rPr>
                        <w:rPr>
                          <w:rFonts w:ascii="Times New Roman" w:eastAsia="宋体" w:hAnsi="Times New Roman" w:cs="Times New Roman"/>
                          <w:i/>
                          <w:iCs/>
                        </w:rPr>
                        <m:t>E</m:t>
                      </m:r>
                    </m:e>
                    <m:sub>
                      <m:r>
                        <m:rPr>
                          <m:nor/>
                        </m:rPr>
                        <w:rPr>
                          <w:rFonts w:ascii="Times New Roman" w:eastAsia="宋体" w:hAnsi="Times New Roman" w:cs="Times New Roman"/>
                          <w:i/>
                          <w:iCs/>
                        </w:rPr>
                        <m:t>∞</m:t>
                      </m:r>
                    </m:sub>
                  </m:sSub>
                  <m:r>
                    <m:rPr>
                      <m:nor/>
                    </m:rPr>
                    <w:rPr>
                      <w:rFonts w:ascii="Times New Roman" w:eastAsia="宋体" w:hAnsi="Times New Roman" w:cs="Times New Roman"/>
                    </w:rPr>
                    <m:t>-1)</m:t>
                  </m:r>
                </m:den>
              </m:f>
              <m:r>
                <m:rPr>
                  <m:nor/>
                </m:rPr>
                <w:rPr>
                  <w:rFonts w:ascii="Times New Roman" w:eastAsia="宋体" w:hAnsi="Times New Roman" w:cs="Times New Roman"/>
                  <w:i/>
                  <w:iCs/>
                </w:rPr>
                <m:t>+</m:t>
              </m:r>
              <m:r>
                <m:rPr>
                  <m:nor/>
                </m:rPr>
                <w:rPr>
                  <w:rFonts w:ascii="Times New Roman" w:eastAsia="宋体" w:hAnsi="Times New Roman" w:cs="Times New Roman"/>
                </w:rPr>
                <m:t>1</m:t>
              </m:r>
            </m:e>
          </m:rad>
          <m:r>
            <w:rPr>
              <w:rFonts w:ascii="DejaVu Math TeX Gyre" w:eastAsia="宋体" w:hAnsi="DejaVu Math TeX Gyre" w:cs="Times New Roman"/>
            </w:rPr>
            <m:t xml:space="preserve">    </m:t>
          </m:r>
          <m:r>
            <m:rPr>
              <m:nor/>
            </m:rPr>
            <w:rPr>
              <w:rFonts w:ascii="Times New Roman" w:eastAsia="宋体" w:hAnsi="Times New Roman" w:cs="Times New Roman"/>
            </w:rPr>
            <m:t>(138)</m:t>
          </m:r>
        </m:oMath>
      </m:oMathPara>
    </w:p>
    <w:p w14:paraId="07E6357F" w14:textId="48FFC09E"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Li et al. [</w:t>
      </w:r>
      <w:r w:rsidR="00EF701D" w:rsidRPr="000A7793">
        <w:rPr>
          <w:rFonts w:ascii="Times New Roman" w:eastAsia="宋体" w:hAnsi="Times New Roman" w:cs="Times New Roman"/>
        </w:rPr>
        <w:t>23</w:t>
      </w:r>
      <w:r w:rsidRPr="000A7793">
        <w:rPr>
          <w:rFonts w:ascii="Times New Roman" w:eastAsia="宋体" w:hAnsi="Times New Roman" w:cs="Times New Roman"/>
        </w:rPr>
        <w:t>] studied the desorption of IACC by adding divalent metal ion. The pH, total C and total N of the solution were measured, among which the CO</w:t>
      </w:r>
      <w:r w:rsidRPr="000A7793">
        <w:rPr>
          <w:rFonts w:ascii="Times New Roman" w:eastAsia="宋体" w:hAnsi="Times New Roman" w:cs="Times New Roman"/>
          <w:vertAlign w:val="subscript"/>
        </w:rPr>
        <w:t>2</w:t>
      </w:r>
      <w:r w:rsidRPr="000A7793">
        <w:rPr>
          <w:rFonts w:ascii="Times New Roman" w:eastAsia="宋体" w:hAnsi="Times New Roman" w:cs="Times New Roman"/>
          <w:vertAlign w:val="superscript"/>
        </w:rPr>
        <w:t xml:space="preserve"> </w:t>
      </w:r>
      <w:r w:rsidRPr="000A7793">
        <w:rPr>
          <w:rFonts w:ascii="Times New Roman" w:eastAsia="宋体" w:hAnsi="Times New Roman" w:cs="Times New Roman"/>
        </w:rPr>
        <w:t xml:space="preserve">absorption could be calculated from the Raman spectral peak area. </w:t>
      </w:r>
      <w:proofErr w:type="spellStart"/>
      <w:r w:rsidRPr="000A7793">
        <w:rPr>
          <w:rFonts w:ascii="Times New Roman" w:eastAsia="宋体" w:hAnsi="Times New Roman" w:cs="Times New Roman"/>
        </w:rPr>
        <w:t>Matlab</w:t>
      </w:r>
      <w:proofErr w:type="spellEnd"/>
      <w:r w:rsidRPr="000A7793">
        <w:rPr>
          <w:rFonts w:ascii="Times New Roman" w:eastAsia="宋体" w:hAnsi="Times New Roman" w:cs="Times New Roman"/>
        </w:rPr>
        <w:t xml:space="preserve"> was used to solve the concentrations of Ni</w:t>
      </w:r>
      <w:r w:rsidRPr="000A7793">
        <w:rPr>
          <w:rFonts w:ascii="Times New Roman" w:eastAsia="宋体" w:hAnsi="Times New Roman" w:cs="Times New Roman"/>
          <w:vertAlign w:val="superscript"/>
        </w:rPr>
        <w:t>2+</w:t>
      </w:r>
      <w:r w:rsidRPr="000A7793">
        <w:rPr>
          <w:rFonts w:ascii="Times New Roman" w:eastAsia="宋体" w:hAnsi="Times New Roman" w:cs="Times New Roman"/>
        </w:rPr>
        <w:t>, Cu</w:t>
      </w:r>
      <w:r w:rsidRPr="000A7793">
        <w:rPr>
          <w:rFonts w:ascii="Times New Roman" w:eastAsia="宋体" w:hAnsi="Times New Roman" w:cs="Times New Roman"/>
          <w:vertAlign w:val="superscript"/>
        </w:rPr>
        <w:t>2+</w:t>
      </w:r>
      <w:r w:rsidRPr="000A7793">
        <w:rPr>
          <w:rFonts w:ascii="Times New Roman" w:eastAsia="宋体" w:hAnsi="Times New Roman" w:cs="Times New Roman"/>
        </w:rPr>
        <w:t>, Zn</w:t>
      </w:r>
      <w:r w:rsidRPr="000A7793">
        <w:rPr>
          <w:rFonts w:ascii="Times New Roman" w:eastAsia="宋体" w:hAnsi="Times New Roman" w:cs="Times New Roman"/>
          <w:vertAlign w:val="superscript"/>
        </w:rPr>
        <w:t>2+</w:t>
      </w:r>
      <w:r w:rsidRPr="000A7793">
        <w:rPr>
          <w:rFonts w:ascii="Times New Roman" w:eastAsia="宋体" w:hAnsi="Times New Roman" w:cs="Times New Roman"/>
        </w:rPr>
        <w:t>,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and CO</w:t>
      </w:r>
      <w:r w:rsidRPr="000A7793">
        <w:rPr>
          <w:rFonts w:ascii="Times New Roman" w:eastAsia="宋体" w:hAnsi="Times New Roman" w:cs="Times New Roman"/>
          <w:vertAlign w:val="subscript"/>
        </w:rPr>
        <w:t>3</w:t>
      </w:r>
      <w:r w:rsidRPr="000A7793">
        <w:rPr>
          <w:rFonts w:ascii="Times New Roman" w:eastAsia="宋体" w:hAnsi="Times New Roman" w:cs="Times New Roman"/>
          <w:vertAlign w:val="superscript"/>
        </w:rPr>
        <w:t>2-</w:t>
      </w:r>
      <w:r w:rsidRPr="000A7793">
        <w:rPr>
          <w:rFonts w:ascii="Times New Roman" w:eastAsia="宋体" w:hAnsi="Times New Roman" w:cs="Times New Roman"/>
        </w:rPr>
        <w:t>, which proves the correlation between the maximum solubility of each divalent metal ion and the effect of inhibiting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escape. The conclusion is that Ni</w:t>
      </w:r>
      <w:r w:rsidRPr="000A7793">
        <w:rPr>
          <w:rFonts w:ascii="Times New Roman" w:eastAsia="宋体" w:hAnsi="Times New Roman" w:cs="Times New Roman"/>
          <w:vertAlign w:val="superscript"/>
        </w:rPr>
        <w:t>2+</w:t>
      </w:r>
      <w:r w:rsidRPr="000A7793">
        <w:rPr>
          <w:rFonts w:ascii="Times New Roman" w:eastAsia="宋体" w:hAnsi="Times New Roman" w:cs="Times New Roman"/>
        </w:rPr>
        <w:t xml:space="preserve"> has the best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inhibition performance.</w:t>
      </w:r>
    </w:p>
    <w:p w14:paraId="259EF473" w14:textId="7C864CCE"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1.2. Mass transfer theory combined with reactor</w:t>
      </w:r>
    </w:p>
    <w:p w14:paraId="5E14A9CC" w14:textId="77777777"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The purpose of studying the mass transfer kinetics theory by the device is to obtain the kinetics parameters in the IACC scenario. It can be found that the formulated kinetics system of mass transfer is more and more specific and perfect with the deeply research. The several case studies of mass transfer reaction absorption is presented in the Table S3.</w:t>
      </w:r>
    </w:p>
    <w:p w14:paraId="59C2D362" w14:textId="77777777"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The solution of kinetics parameters is carried out by step. The steady-state film theory is applied to predict the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interface flux, and the relationship between temperature and rate of absorption reaction needs to be determined by fitting Arrhenius formula. Before this, it is necessary to select the suitable reaction model and solve the gas-liquid mass transfer coefficient. When the finite element model is used, the calculation of mass transfer coefficient can be omitted directly.</w:t>
      </w:r>
    </w:p>
    <w:p w14:paraId="223437B6" w14:textId="1A7E1936"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1.3. Working conditions</w:t>
      </w:r>
    </w:p>
    <w:p w14:paraId="484A042E" w14:textId="77777777"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With the deeply research on the mass transfer kinetics of the IACC, the experimental simulation conditions or theoretical calculation background are more and more close to the practical conditions. The temperature variation of the IACC fluctuates greatly, which is mainly due to chemical reaction heat release and the physical heat exchange between flue gas and absorption liquid. Therefore, it is also very important to study the mass transfer kinetics under different temperatures, which can be divided into two categories. First, Van't Hoff equation is used to study the relationship between temperature and reaction extent of reversible equilibrium reaction of absorption mass transfer. The other is the application of Arrhenius equation to study the relationship between the irreversible reaction rate of absorption mass transfer and temperature.</w:t>
      </w:r>
    </w:p>
    <w:p w14:paraId="5A8F21FD" w14:textId="79513C07"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The improvement trend of experimental system and process design are as follows: Firstly, the gas and liquid are injected into the reactor with the simple intermittent mode [</w:t>
      </w:r>
      <w:r w:rsidR="00EF701D" w:rsidRPr="000A7793">
        <w:rPr>
          <w:rFonts w:ascii="Times New Roman" w:eastAsia="宋体" w:hAnsi="Times New Roman" w:cs="Times New Roman"/>
        </w:rPr>
        <w:t>24</w:t>
      </w:r>
      <w:r w:rsidRPr="000A7793">
        <w:rPr>
          <w:rFonts w:ascii="Times New Roman" w:eastAsia="宋体" w:hAnsi="Times New Roman" w:cs="Times New Roman"/>
        </w:rPr>
        <w:t>], then only continuous gas is injected with the semi-continuous mode. Finally, the liquid and gas are injected continuously with the experimental mode. The continuous mode is adopted in the practical decarbonization tower,</w:t>
      </w:r>
      <w:r w:rsidRPr="000A7793">
        <w:rPr>
          <w:rFonts w:ascii="Times New Roman" w:hAnsi="Times New Roman" w:cs="Times New Roman"/>
        </w:rPr>
        <w:t xml:space="preserve"> </w:t>
      </w:r>
      <w:r w:rsidRPr="000A7793">
        <w:rPr>
          <w:rFonts w:ascii="Times New Roman" w:eastAsia="宋体" w:hAnsi="Times New Roman" w:cs="Times New Roman"/>
        </w:rPr>
        <w:t>Therefore, internal connections between operating conditions are difficult to analyze. The liquid material in the reactor can be conservatively calculated with the semi-batch mode, hence the impact of different reaction stages or fluctuations of working conditions can be fully understood [</w:t>
      </w:r>
      <w:r w:rsidR="00EF701D" w:rsidRPr="000A7793">
        <w:rPr>
          <w:rFonts w:ascii="Times New Roman" w:eastAsia="宋体" w:hAnsi="Times New Roman" w:cs="Times New Roman"/>
        </w:rPr>
        <w:t>25</w:t>
      </w:r>
      <w:r w:rsidRPr="000A7793">
        <w:rPr>
          <w:rFonts w:ascii="Times New Roman" w:eastAsia="宋体" w:hAnsi="Times New Roman" w:cs="Times New Roman"/>
        </w:rPr>
        <w:t>].</w:t>
      </w:r>
    </w:p>
    <w:p w14:paraId="4017D97A" w14:textId="02E3D435"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 xml:space="preserve">The trend of absorption system is as follows: the initial study of zero-load absorption efficiency, and the load condition, and then the additive condition, including piperazine </w:t>
      </w:r>
      <w:r w:rsidR="008D176E" w:rsidRPr="000A7793">
        <w:rPr>
          <w:rFonts w:ascii="Times New Roman" w:eastAsia="宋体" w:hAnsi="Times New Roman" w:cs="Times New Roman"/>
        </w:rPr>
        <w:t>[</w:t>
      </w:r>
      <w:r w:rsidR="00EF701D" w:rsidRPr="000A7793">
        <w:rPr>
          <w:rFonts w:ascii="Times New Roman" w:eastAsia="宋体" w:hAnsi="Times New Roman" w:cs="Times New Roman"/>
        </w:rPr>
        <w:t>26</w:t>
      </w:r>
      <w:r w:rsidRPr="000A7793">
        <w:rPr>
          <w:rFonts w:ascii="Times New Roman" w:eastAsia="宋体" w:hAnsi="Times New Roman" w:cs="Times New Roman"/>
        </w:rPr>
        <w:t>], ethanolamine, piperazine, 1-methylpiperazine, 4-aminopiperidine and sodium salts of sarcosine, taurine and glycine [</w:t>
      </w:r>
      <w:r w:rsidR="00EF701D" w:rsidRPr="000A7793">
        <w:rPr>
          <w:rFonts w:ascii="Times New Roman" w:eastAsia="宋体" w:hAnsi="Times New Roman" w:cs="Times New Roman"/>
        </w:rPr>
        <w:t>27</w:t>
      </w:r>
      <w:r w:rsidRPr="000A7793">
        <w:rPr>
          <w:rFonts w:ascii="Times New Roman" w:eastAsia="宋体" w:hAnsi="Times New Roman" w:cs="Times New Roman"/>
        </w:rPr>
        <w:t>]; sarcosine [</w:t>
      </w:r>
      <w:r w:rsidR="00EF701D" w:rsidRPr="000A7793">
        <w:rPr>
          <w:rFonts w:ascii="Times New Roman" w:eastAsia="宋体" w:hAnsi="Times New Roman" w:cs="Times New Roman"/>
        </w:rPr>
        <w:t>28</w:t>
      </w:r>
      <w:r w:rsidRPr="000A7793">
        <w:rPr>
          <w:rFonts w:ascii="Times New Roman" w:eastAsia="宋体" w:hAnsi="Times New Roman" w:cs="Times New Roman"/>
        </w:rPr>
        <w:t>]; light metal cations; transition metal cation Ni</w:t>
      </w:r>
      <w:r w:rsidRPr="000A7793">
        <w:rPr>
          <w:rFonts w:ascii="Times New Roman" w:eastAsia="宋体" w:hAnsi="Times New Roman" w:cs="Times New Roman"/>
          <w:vertAlign w:val="superscript"/>
        </w:rPr>
        <w:t xml:space="preserve">2+ </w:t>
      </w:r>
      <w:r w:rsidRPr="000A7793">
        <w:rPr>
          <w:rFonts w:ascii="Times New Roman" w:eastAsia="宋体" w:hAnsi="Times New Roman" w:cs="Times New Roman"/>
        </w:rPr>
        <w:t>[</w:t>
      </w:r>
      <w:r w:rsidR="00EF701D" w:rsidRPr="000A7793">
        <w:rPr>
          <w:rFonts w:ascii="Times New Roman" w:eastAsia="宋体" w:hAnsi="Times New Roman" w:cs="Times New Roman"/>
        </w:rPr>
        <w:t>29</w:t>
      </w:r>
      <w:r w:rsidRPr="000A7793">
        <w:rPr>
          <w:rFonts w:ascii="Times New Roman" w:eastAsia="宋体" w:hAnsi="Times New Roman" w:cs="Times New Roman"/>
        </w:rPr>
        <w:t>]; AMP, ethylene glycol and glycerol [</w:t>
      </w:r>
      <w:r w:rsidR="00EF701D" w:rsidRPr="000A7793">
        <w:rPr>
          <w:rFonts w:ascii="Times New Roman" w:eastAsia="宋体" w:hAnsi="Times New Roman" w:cs="Times New Roman"/>
        </w:rPr>
        <w:t>30</w:t>
      </w:r>
      <w:r w:rsidRPr="000A7793">
        <w:rPr>
          <w:rFonts w:ascii="Times New Roman" w:eastAsia="宋体" w:hAnsi="Times New Roman" w:cs="Times New Roman"/>
        </w:rPr>
        <w:t>], triethanolamine [</w:t>
      </w:r>
      <w:r w:rsidR="00EF701D" w:rsidRPr="000A7793">
        <w:rPr>
          <w:rFonts w:ascii="Times New Roman" w:eastAsia="宋体" w:hAnsi="Times New Roman" w:cs="Times New Roman"/>
        </w:rPr>
        <w:t>31</w:t>
      </w:r>
      <w:r w:rsidRPr="000A7793">
        <w:rPr>
          <w:rFonts w:ascii="Times New Roman" w:eastAsia="宋体" w:hAnsi="Times New Roman" w:cs="Times New Roman"/>
        </w:rPr>
        <w:t>], etc. Finally, the salt-containing conditions closer to the actual conditions were studied [</w:t>
      </w:r>
      <w:r w:rsidR="00EF701D" w:rsidRPr="000A7793">
        <w:rPr>
          <w:rFonts w:ascii="Times New Roman" w:eastAsia="宋体" w:hAnsi="Times New Roman" w:cs="Times New Roman"/>
        </w:rPr>
        <w:t>32,33</w:t>
      </w:r>
      <w:r w:rsidRPr="000A7793">
        <w:rPr>
          <w:rFonts w:ascii="Times New Roman" w:eastAsia="宋体" w:hAnsi="Times New Roman" w:cs="Times New Roman"/>
        </w:rPr>
        <w:t xml:space="preserve">]. For example, </w:t>
      </w:r>
      <w:proofErr w:type="spellStart"/>
      <w:r w:rsidRPr="000A7793">
        <w:rPr>
          <w:rFonts w:ascii="Times New Roman" w:eastAsia="宋体" w:hAnsi="Times New Roman" w:cs="Times New Roman"/>
        </w:rPr>
        <w:t>Palitsakun</w:t>
      </w:r>
      <w:proofErr w:type="spellEnd"/>
      <w:r w:rsidRPr="000A7793">
        <w:rPr>
          <w:rFonts w:ascii="Times New Roman" w:eastAsia="宋体" w:hAnsi="Times New Roman" w:cs="Times New Roman"/>
        </w:rPr>
        <w:t xml:space="preserve"> et al. [</w:t>
      </w:r>
      <w:r w:rsidR="00EF701D" w:rsidRPr="000A7793">
        <w:rPr>
          <w:rFonts w:ascii="Times New Roman" w:eastAsia="宋体" w:hAnsi="Times New Roman" w:cs="Times New Roman"/>
        </w:rPr>
        <w:t>34</w:t>
      </w:r>
      <w:r w:rsidRPr="000A7793">
        <w:rPr>
          <w:rFonts w:ascii="Times New Roman" w:eastAsia="宋体" w:hAnsi="Times New Roman" w:cs="Times New Roman"/>
        </w:rPr>
        <w:t>] studied the process mechanism of NH</w:t>
      </w:r>
      <w:r w:rsidRPr="000A7793">
        <w:rPr>
          <w:rFonts w:ascii="Times New Roman" w:eastAsia="宋体" w:hAnsi="Times New Roman" w:cs="Times New Roman"/>
          <w:vertAlign w:val="subscript"/>
        </w:rPr>
        <w:t>4</w:t>
      </w:r>
      <w:r w:rsidRPr="000A7793">
        <w:rPr>
          <w:rFonts w:ascii="Times New Roman" w:eastAsia="宋体" w:hAnsi="Times New Roman" w:cs="Times New Roman"/>
        </w:rPr>
        <w:t>HCO</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crystallization by absorbing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by bubbling. </w:t>
      </w:r>
    </w:p>
    <w:p w14:paraId="6DFEECBE" w14:textId="335AAFC7"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The trend of theoretical research is from the initial steady-state mass transfer of film theory to the pseudo-steady-state fluid mechanics simulation of the space reaction absorption mass transfer process. Finally dynamic simulation [</w:t>
      </w:r>
      <w:r w:rsidR="00EF701D" w:rsidRPr="000A7793">
        <w:rPr>
          <w:rFonts w:ascii="Times New Roman" w:eastAsia="宋体" w:hAnsi="Times New Roman" w:cs="Times New Roman"/>
        </w:rPr>
        <w:t>35</w:t>
      </w:r>
      <w:r w:rsidRPr="000A7793">
        <w:rPr>
          <w:rFonts w:ascii="Times New Roman" w:eastAsia="宋体" w:hAnsi="Times New Roman" w:cs="Times New Roman"/>
        </w:rPr>
        <w:t>] or dynamic fluid mechanics simulation are applied to study operating conditions by the Aspen Plus.</w:t>
      </w:r>
    </w:p>
    <w:p w14:paraId="67CD238A" w14:textId="18C8B5C2" w:rsidR="00194D5F" w:rsidRPr="000A7793" w:rsidRDefault="00194D5F" w:rsidP="00396CEF">
      <w:pPr>
        <w:spacing w:line="360" w:lineRule="auto"/>
        <w:rPr>
          <w:rFonts w:ascii="Times New Roman" w:eastAsia="宋体" w:hAnsi="Times New Roman" w:cs="Times New Roman"/>
          <w:b/>
          <w:bCs/>
        </w:rPr>
      </w:pPr>
      <w:r w:rsidRPr="000A7793">
        <w:rPr>
          <w:rFonts w:ascii="Times New Roman" w:eastAsia="宋体" w:hAnsi="Times New Roman" w:cs="Times New Roman"/>
          <w:b/>
          <w:bCs/>
        </w:rPr>
        <w:t>1.4. Summary of estimation methods</w:t>
      </w:r>
    </w:p>
    <w:p w14:paraId="43D96257" w14:textId="77777777"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 xml:space="preserve">In order to simplify research method, many estimation methods can be applied to reduce the difficulty of calculation in the IACC. Reasonable assumptions are advocated without affecting the accuracy of the calculation. This paper summarizes some of the assumptions commonly used in kinetics analysis that are considered to be reasonable. </w:t>
      </w:r>
    </w:p>
    <w:p w14:paraId="059E6B17" w14:textId="3CD786C9" w:rsidR="00194D5F" w:rsidRPr="000A7793" w:rsidRDefault="00194D5F" w:rsidP="00396CEF">
      <w:pPr>
        <w:spacing w:line="360" w:lineRule="auto"/>
        <w:ind w:firstLineChars="200" w:firstLine="420"/>
        <w:rPr>
          <w:rFonts w:ascii="Times New Roman" w:eastAsia="宋体" w:hAnsi="Times New Roman" w:cs="Times New Roman"/>
        </w:rPr>
      </w:pPr>
      <w:r w:rsidRPr="000A7793">
        <w:rPr>
          <w:rFonts w:ascii="Times New Roman" w:eastAsia="宋体" w:hAnsi="Times New Roman" w:cs="Times New Roman"/>
        </w:rPr>
        <w:t xml:space="preserve">In the steady-state mass transfer, </w:t>
      </w:r>
      <w:proofErr w:type="spellStart"/>
      <w:r w:rsidRPr="000A7793">
        <w:rPr>
          <w:rFonts w:ascii="Times New Roman" w:eastAsia="宋体" w:hAnsi="Times New Roman" w:cs="Times New Roman"/>
        </w:rPr>
        <w:t>Puxty</w:t>
      </w:r>
      <w:proofErr w:type="spellEnd"/>
      <w:r w:rsidRPr="000A7793">
        <w:rPr>
          <w:rFonts w:ascii="Times New Roman" w:eastAsia="宋体" w:hAnsi="Times New Roman" w:cs="Times New Roman"/>
        </w:rPr>
        <w:t xml:space="preserve"> et al. [</w:t>
      </w:r>
      <w:r w:rsidR="00EF701D" w:rsidRPr="000A7793">
        <w:rPr>
          <w:rFonts w:ascii="Times New Roman" w:eastAsia="宋体" w:hAnsi="Times New Roman" w:cs="Times New Roman"/>
        </w:rPr>
        <w:t>36</w:t>
      </w:r>
      <w:r w:rsidRPr="000A7793">
        <w:rPr>
          <w:rFonts w:ascii="Times New Roman" w:eastAsia="宋体" w:hAnsi="Times New Roman" w:cs="Times New Roman"/>
        </w:rPr>
        <w:t>] set different partial gas pressures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to complete the flux fitting, and assumed that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of the liquid phase during steady-state mass transfer was zero to verify the effectiveness of the experimental system. Atzori et al. [</w:t>
      </w:r>
      <w:r w:rsidR="00EF701D" w:rsidRPr="000A7793">
        <w:rPr>
          <w:rFonts w:ascii="Times New Roman" w:eastAsia="宋体" w:hAnsi="Times New Roman" w:cs="Times New Roman"/>
        </w:rPr>
        <w:t>37</w:t>
      </w:r>
      <w:r w:rsidRPr="000A7793">
        <w:rPr>
          <w:rFonts w:ascii="Times New Roman" w:eastAsia="宋体" w:hAnsi="Times New Roman" w:cs="Times New Roman"/>
        </w:rPr>
        <w:t xml:space="preserve">] assumed that the gas phase resistance was zero, and applied empirical equations to estimate the mass transfer coefficient in the liquid phase instead of the total mass transfer coefficient, which eliminated the need to solve the species concentration profile. </w:t>
      </w:r>
      <w:proofErr w:type="spellStart"/>
      <w:r w:rsidRPr="000A7793">
        <w:rPr>
          <w:rFonts w:ascii="Times New Roman" w:eastAsia="宋体" w:hAnsi="Times New Roman" w:cs="Times New Roman"/>
        </w:rPr>
        <w:t>Futhermore</w:t>
      </w:r>
      <w:proofErr w:type="spellEnd"/>
      <w:r w:rsidRPr="000A7793">
        <w:rPr>
          <w:rFonts w:ascii="Times New Roman" w:eastAsia="宋体" w:hAnsi="Times New Roman" w:cs="Times New Roman"/>
        </w:rPr>
        <w:t>, the time was only considered, without considering the location and diffusion in the liquid film. When CO</w:t>
      </w:r>
      <w:r w:rsidRPr="000A7793">
        <w:rPr>
          <w:rFonts w:ascii="Times New Roman" w:eastAsia="宋体" w:hAnsi="Times New Roman" w:cs="Times New Roman"/>
          <w:vertAlign w:val="subscript"/>
        </w:rPr>
        <w:t xml:space="preserve">2 </w:t>
      </w:r>
      <w:r w:rsidRPr="000A7793">
        <w:rPr>
          <w:rFonts w:ascii="Times New Roman" w:eastAsia="宋体" w:hAnsi="Times New Roman" w:cs="Times New Roman"/>
        </w:rPr>
        <w:t>is absorbed by high-concentration NH</w:t>
      </w:r>
      <w:r w:rsidRPr="000A7793">
        <w:rPr>
          <w:rFonts w:ascii="Times New Roman" w:eastAsia="宋体" w:hAnsi="Times New Roman" w:cs="Times New Roman"/>
          <w:vertAlign w:val="subscript"/>
        </w:rPr>
        <w:t>3</w:t>
      </w:r>
      <w:r w:rsidRPr="000A7793">
        <w:rPr>
          <w:rFonts w:ascii="Times New Roman" w:eastAsia="宋体" w:hAnsi="Times New Roman" w:cs="Times New Roman"/>
        </w:rPr>
        <w:t>(</w:t>
      </w:r>
      <w:proofErr w:type="spellStart"/>
      <w:r w:rsidRPr="000A7793">
        <w:rPr>
          <w:rFonts w:ascii="Times New Roman" w:eastAsia="宋体" w:hAnsi="Times New Roman" w:cs="Times New Roman"/>
        </w:rPr>
        <w:t>aq</w:t>
      </w:r>
      <w:proofErr w:type="spellEnd"/>
      <w:r w:rsidRPr="000A7793">
        <w:rPr>
          <w:rFonts w:ascii="Times New Roman" w:eastAsia="宋体" w:hAnsi="Times New Roman" w:cs="Times New Roman"/>
        </w:rPr>
        <w:t>), the PFO reaction absorption that is assuming the constant concentration of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in the liquid film and liquid bulk, which is also the commonly used assumption for the solution of kinetics parameters. Besides those, the conditional assumptions in the mass transfer + kinetics model from various theories and the solution processes has been given in the section 2.4.3.</w:t>
      </w:r>
    </w:p>
    <w:p w14:paraId="65F9DB74" w14:textId="77777777" w:rsidR="009D4CE7" w:rsidRPr="000A7793" w:rsidRDefault="009D4CE7" w:rsidP="00396CEF">
      <w:pPr>
        <w:spacing w:line="360" w:lineRule="auto"/>
        <w:rPr>
          <w:rFonts w:ascii="Times New Roman" w:eastAsia="宋体" w:hAnsi="Times New Roman" w:cs="Times New Roman"/>
        </w:rPr>
      </w:pPr>
    </w:p>
    <w:p w14:paraId="4D00FCC8" w14:textId="66938C6D" w:rsidR="00F2576E" w:rsidRPr="000A7793" w:rsidRDefault="00E65CDF" w:rsidP="00396CEF">
      <w:pPr>
        <w:widowControl/>
        <w:spacing w:line="360" w:lineRule="auto"/>
        <w:rPr>
          <w:rFonts w:ascii="Times New Roman" w:eastAsia="宋体" w:hAnsi="Times New Roman" w:cs="Times New Roman"/>
          <w:sz w:val="18"/>
          <w:szCs w:val="20"/>
        </w:rPr>
      </w:pPr>
      <w:r w:rsidRPr="000A7793">
        <w:rPr>
          <w:rFonts w:ascii="Times New Roman" w:hAnsi="Times New Roman" w:cs="Times New Roman"/>
          <w:b/>
          <w:bCs/>
        </w:rPr>
        <w:br w:type="page"/>
      </w:r>
      <w:r w:rsidR="00F2576E" w:rsidRPr="000A7793">
        <w:rPr>
          <w:rFonts w:ascii="Times New Roman" w:eastAsia="宋体" w:hAnsi="Times New Roman" w:cs="Times New Roman"/>
          <w:b/>
          <w:bCs/>
        </w:rPr>
        <w:t>Table S</w:t>
      </w:r>
      <w:r w:rsidR="00BE24B5" w:rsidRPr="000A7793">
        <w:rPr>
          <w:rFonts w:ascii="Times New Roman" w:eastAsia="宋体" w:hAnsi="Times New Roman" w:cs="Times New Roman"/>
          <w:b/>
          <w:bCs/>
        </w:rPr>
        <w:t>1</w:t>
      </w:r>
      <w:r w:rsidR="00F2576E" w:rsidRPr="000A7793">
        <w:rPr>
          <w:rFonts w:ascii="Times New Roman" w:eastAsia="宋体" w:hAnsi="Times New Roman" w:cs="Times New Roman"/>
          <w:b/>
          <w:bCs/>
          <w:sz w:val="18"/>
          <w:szCs w:val="20"/>
        </w:rPr>
        <w:t xml:space="preserve"> </w:t>
      </w:r>
      <w:r w:rsidR="00F2576E" w:rsidRPr="000A7793">
        <w:rPr>
          <w:rFonts w:ascii="Times New Roman" w:eastAsia="宋体" w:hAnsi="Times New Roman" w:cs="Times New Roman"/>
          <w:sz w:val="18"/>
          <w:szCs w:val="20"/>
        </w:rPr>
        <w:t>Comparison of shift gas with plant flue gas decarburization process</w:t>
      </w:r>
    </w:p>
    <w:tbl>
      <w:tblPr>
        <w:tblW w:w="7735" w:type="dxa"/>
        <w:jc w:val="center"/>
        <w:tblBorders>
          <w:top w:val="single" w:sz="4" w:space="0" w:color="auto"/>
          <w:bottom w:val="single" w:sz="4" w:space="0" w:color="auto"/>
        </w:tblBorders>
        <w:tblCellMar>
          <w:left w:w="0" w:type="dxa"/>
          <w:right w:w="0" w:type="dxa"/>
        </w:tblCellMar>
        <w:tblLook w:val="0600" w:firstRow="0" w:lastRow="0" w:firstColumn="0" w:lastColumn="0" w:noHBand="1" w:noVBand="1"/>
      </w:tblPr>
      <w:tblGrid>
        <w:gridCol w:w="986"/>
        <w:gridCol w:w="3457"/>
        <w:gridCol w:w="3292"/>
      </w:tblGrid>
      <w:tr w:rsidR="008D176E" w:rsidRPr="000A7793" w14:paraId="25D8E53E" w14:textId="77777777" w:rsidTr="00A71807">
        <w:trPr>
          <w:trHeight w:val="227"/>
          <w:jc w:val="center"/>
        </w:trPr>
        <w:tc>
          <w:tcPr>
            <w:tcW w:w="986" w:type="dxa"/>
            <w:tcBorders>
              <w:top w:val="single" w:sz="4" w:space="0" w:color="auto"/>
              <w:bottom w:val="single" w:sz="4" w:space="0" w:color="auto"/>
            </w:tcBorders>
            <w:tcMar>
              <w:top w:w="15" w:type="dxa"/>
              <w:left w:w="15" w:type="dxa"/>
              <w:bottom w:w="0" w:type="dxa"/>
              <w:right w:w="15" w:type="dxa"/>
            </w:tcMar>
            <w:vAlign w:val="center"/>
            <w:hideMark/>
          </w:tcPr>
          <w:p w14:paraId="39EE6DB5" w14:textId="77777777" w:rsidR="00F2576E" w:rsidRPr="000A7793" w:rsidRDefault="00F2576E" w:rsidP="00396CEF">
            <w:pPr>
              <w:widowControl/>
              <w:spacing w:line="360" w:lineRule="auto"/>
              <w:jc w:val="center"/>
              <w:rPr>
                <w:rFonts w:ascii="Times New Roman" w:eastAsia="宋体" w:hAnsi="Times New Roman" w:cs="Times New Roman"/>
                <w:kern w:val="0"/>
                <w:sz w:val="18"/>
                <w:szCs w:val="18"/>
              </w:rPr>
            </w:pPr>
          </w:p>
        </w:tc>
        <w:tc>
          <w:tcPr>
            <w:tcW w:w="3457" w:type="dxa"/>
            <w:tcBorders>
              <w:top w:val="single" w:sz="4" w:space="0" w:color="auto"/>
              <w:bottom w:val="single" w:sz="4" w:space="0" w:color="auto"/>
            </w:tcBorders>
            <w:tcMar>
              <w:top w:w="15" w:type="dxa"/>
              <w:left w:w="15" w:type="dxa"/>
              <w:bottom w:w="0" w:type="dxa"/>
              <w:right w:w="15" w:type="dxa"/>
            </w:tcMar>
            <w:vAlign w:val="center"/>
            <w:hideMark/>
          </w:tcPr>
          <w:p w14:paraId="0AF3858F" w14:textId="77777777" w:rsidR="00F2576E" w:rsidRPr="000A7793" w:rsidRDefault="00F2576E" w:rsidP="00396CEF">
            <w:pPr>
              <w:widowControl/>
              <w:spacing w:line="360" w:lineRule="auto"/>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Conversion gas decarbonization</w:t>
            </w:r>
          </w:p>
        </w:tc>
        <w:tc>
          <w:tcPr>
            <w:tcW w:w="3291" w:type="dxa"/>
            <w:tcBorders>
              <w:top w:val="single" w:sz="4" w:space="0" w:color="auto"/>
              <w:bottom w:val="single" w:sz="4" w:space="0" w:color="auto"/>
            </w:tcBorders>
            <w:tcMar>
              <w:top w:w="15" w:type="dxa"/>
              <w:left w:w="15" w:type="dxa"/>
              <w:bottom w:w="0" w:type="dxa"/>
              <w:right w:w="15" w:type="dxa"/>
            </w:tcMar>
            <w:vAlign w:val="center"/>
            <w:hideMark/>
          </w:tcPr>
          <w:p w14:paraId="3B577965" w14:textId="77777777" w:rsidR="00F2576E" w:rsidRPr="000A7793" w:rsidRDefault="00F2576E" w:rsidP="00396CEF">
            <w:pPr>
              <w:widowControl/>
              <w:spacing w:line="360" w:lineRule="auto"/>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Power plant flue gas decarbonization</w:t>
            </w:r>
          </w:p>
        </w:tc>
      </w:tr>
      <w:tr w:rsidR="008D176E" w:rsidRPr="000A7793" w14:paraId="45953E37" w14:textId="77777777" w:rsidTr="00A71807">
        <w:trPr>
          <w:trHeight w:val="354"/>
          <w:jc w:val="center"/>
        </w:trPr>
        <w:tc>
          <w:tcPr>
            <w:tcW w:w="986" w:type="dxa"/>
            <w:vMerge w:val="restart"/>
            <w:tcBorders>
              <w:top w:val="single" w:sz="4" w:space="0" w:color="auto"/>
            </w:tcBorders>
            <w:tcMar>
              <w:top w:w="15" w:type="dxa"/>
              <w:left w:w="15" w:type="dxa"/>
              <w:bottom w:w="0" w:type="dxa"/>
              <w:right w:w="15" w:type="dxa"/>
            </w:tcMar>
            <w:vAlign w:val="center"/>
            <w:hideMark/>
          </w:tcPr>
          <w:p w14:paraId="0CDF554A" w14:textId="77777777" w:rsidR="00F2576E" w:rsidRPr="000A7793" w:rsidRDefault="00F2576E" w:rsidP="00396CEF">
            <w:pPr>
              <w:widowControl/>
              <w:spacing w:line="360" w:lineRule="auto"/>
              <w:jc w:val="center"/>
              <w:textAlignment w:val="center"/>
              <w:rPr>
                <w:rFonts w:ascii="Times New Roman" w:eastAsia="宋体" w:hAnsi="Times New Roman" w:cs="Times New Roman"/>
                <w:kern w:val="24"/>
                <w:sz w:val="18"/>
                <w:szCs w:val="18"/>
              </w:rPr>
            </w:pPr>
            <w:r w:rsidRPr="000A7793">
              <w:rPr>
                <w:rFonts w:ascii="Times New Roman" w:eastAsia="宋体" w:hAnsi="Times New Roman" w:cs="Times New Roman"/>
                <w:kern w:val="24"/>
                <w:sz w:val="18"/>
                <w:szCs w:val="18"/>
              </w:rPr>
              <w:t>Difference</w:t>
            </w:r>
          </w:p>
        </w:tc>
        <w:tc>
          <w:tcPr>
            <w:tcW w:w="3457" w:type="dxa"/>
            <w:tcBorders>
              <w:top w:val="single" w:sz="4" w:space="0" w:color="auto"/>
            </w:tcBorders>
            <w:tcMar>
              <w:top w:w="15" w:type="dxa"/>
              <w:left w:w="15" w:type="dxa"/>
              <w:bottom w:w="0" w:type="dxa"/>
              <w:right w:w="15" w:type="dxa"/>
            </w:tcMar>
            <w:vAlign w:val="center"/>
            <w:hideMark/>
          </w:tcPr>
          <w:p w14:paraId="6ED7C295"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The shift gas is simple in composition and does not contain particulate matter</w:t>
            </w:r>
          </w:p>
        </w:tc>
        <w:tc>
          <w:tcPr>
            <w:tcW w:w="3291" w:type="dxa"/>
            <w:tcBorders>
              <w:top w:val="single" w:sz="4" w:space="0" w:color="auto"/>
            </w:tcBorders>
            <w:tcMar>
              <w:top w:w="15" w:type="dxa"/>
              <w:left w:w="15" w:type="dxa"/>
              <w:bottom w:w="0" w:type="dxa"/>
              <w:right w:w="15" w:type="dxa"/>
            </w:tcMar>
            <w:vAlign w:val="center"/>
            <w:hideMark/>
          </w:tcPr>
          <w:p w14:paraId="6650D200"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The composition of flue gas is complex, including Na, Mg and other metal oxides, HCl gas and other components</w:t>
            </w:r>
          </w:p>
        </w:tc>
      </w:tr>
      <w:tr w:rsidR="008D176E" w:rsidRPr="000A7793" w14:paraId="1C0A341D" w14:textId="77777777" w:rsidTr="00A71807">
        <w:trPr>
          <w:trHeight w:val="241"/>
          <w:jc w:val="center"/>
        </w:trPr>
        <w:tc>
          <w:tcPr>
            <w:tcW w:w="986" w:type="dxa"/>
            <w:vMerge/>
            <w:vAlign w:val="center"/>
            <w:hideMark/>
          </w:tcPr>
          <w:p w14:paraId="09809342" w14:textId="77777777" w:rsidR="00F2576E" w:rsidRPr="000A7793" w:rsidRDefault="00F2576E" w:rsidP="00396CEF">
            <w:pPr>
              <w:widowControl/>
              <w:spacing w:line="360" w:lineRule="auto"/>
              <w:jc w:val="center"/>
              <w:rPr>
                <w:rFonts w:ascii="Times New Roman" w:eastAsia="宋体" w:hAnsi="Times New Roman" w:cs="Times New Roman"/>
                <w:kern w:val="0"/>
                <w:sz w:val="18"/>
                <w:szCs w:val="18"/>
              </w:rPr>
            </w:pPr>
          </w:p>
        </w:tc>
        <w:tc>
          <w:tcPr>
            <w:tcW w:w="3457" w:type="dxa"/>
            <w:tcMar>
              <w:top w:w="15" w:type="dxa"/>
              <w:left w:w="15" w:type="dxa"/>
              <w:bottom w:w="0" w:type="dxa"/>
              <w:right w:w="15" w:type="dxa"/>
            </w:tcMar>
            <w:vAlign w:val="center"/>
            <w:hideMark/>
          </w:tcPr>
          <w:p w14:paraId="249E0533"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CO</w:t>
            </w:r>
            <w:r w:rsidRPr="000A7793">
              <w:rPr>
                <w:rFonts w:ascii="Times New Roman" w:eastAsia="宋体" w:hAnsi="Times New Roman" w:cs="Times New Roman"/>
                <w:kern w:val="24"/>
                <w:sz w:val="18"/>
                <w:szCs w:val="18"/>
                <w:vertAlign w:val="subscript"/>
              </w:rPr>
              <w:t>2</w:t>
            </w:r>
            <w:r w:rsidRPr="000A7793">
              <w:rPr>
                <w:rFonts w:ascii="Times New Roman" w:eastAsia="宋体" w:hAnsi="Times New Roman" w:cs="Times New Roman"/>
                <w:kern w:val="24"/>
                <w:sz w:val="18"/>
                <w:szCs w:val="18"/>
              </w:rPr>
              <w:t xml:space="preserve"> concentration 40-100 %</w:t>
            </w:r>
          </w:p>
        </w:tc>
        <w:tc>
          <w:tcPr>
            <w:tcW w:w="3291" w:type="dxa"/>
            <w:tcMar>
              <w:top w:w="15" w:type="dxa"/>
              <w:left w:w="15" w:type="dxa"/>
              <w:bottom w:w="0" w:type="dxa"/>
              <w:right w:w="15" w:type="dxa"/>
            </w:tcMar>
            <w:vAlign w:val="center"/>
            <w:hideMark/>
          </w:tcPr>
          <w:p w14:paraId="5D3A2E2C"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CO</w:t>
            </w:r>
            <w:r w:rsidRPr="000A7793">
              <w:rPr>
                <w:rFonts w:ascii="Times New Roman" w:eastAsia="宋体" w:hAnsi="Times New Roman" w:cs="Times New Roman"/>
                <w:kern w:val="24"/>
                <w:sz w:val="18"/>
                <w:szCs w:val="18"/>
                <w:vertAlign w:val="subscript"/>
              </w:rPr>
              <w:t>2</w:t>
            </w:r>
            <w:r w:rsidRPr="000A7793">
              <w:rPr>
                <w:rFonts w:ascii="Times New Roman" w:eastAsia="宋体" w:hAnsi="Times New Roman" w:cs="Times New Roman"/>
                <w:kern w:val="24"/>
                <w:sz w:val="18"/>
                <w:szCs w:val="18"/>
              </w:rPr>
              <w:t xml:space="preserve"> concentration 13-15%</w:t>
            </w:r>
          </w:p>
        </w:tc>
      </w:tr>
      <w:tr w:rsidR="008D176E" w:rsidRPr="000A7793" w14:paraId="058EAF7B" w14:textId="77777777" w:rsidTr="00A71807">
        <w:trPr>
          <w:trHeight w:val="237"/>
          <w:jc w:val="center"/>
        </w:trPr>
        <w:tc>
          <w:tcPr>
            <w:tcW w:w="986" w:type="dxa"/>
            <w:vMerge/>
            <w:vAlign w:val="center"/>
            <w:hideMark/>
          </w:tcPr>
          <w:p w14:paraId="4E7E061D" w14:textId="77777777" w:rsidR="00F2576E" w:rsidRPr="000A7793" w:rsidRDefault="00F2576E" w:rsidP="00396CEF">
            <w:pPr>
              <w:widowControl/>
              <w:spacing w:line="360" w:lineRule="auto"/>
              <w:jc w:val="center"/>
              <w:rPr>
                <w:rFonts w:ascii="Times New Roman" w:eastAsia="宋体" w:hAnsi="Times New Roman" w:cs="Times New Roman"/>
                <w:kern w:val="0"/>
                <w:sz w:val="18"/>
                <w:szCs w:val="18"/>
              </w:rPr>
            </w:pPr>
          </w:p>
        </w:tc>
        <w:tc>
          <w:tcPr>
            <w:tcW w:w="3457" w:type="dxa"/>
            <w:tcMar>
              <w:top w:w="15" w:type="dxa"/>
              <w:left w:w="15" w:type="dxa"/>
              <w:bottom w:w="0" w:type="dxa"/>
              <w:right w:w="15" w:type="dxa"/>
            </w:tcMar>
            <w:vAlign w:val="center"/>
            <w:hideMark/>
          </w:tcPr>
          <w:p w14:paraId="53BD6E9C"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Absorption efficiency more than 99 %</w:t>
            </w:r>
          </w:p>
        </w:tc>
        <w:tc>
          <w:tcPr>
            <w:tcW w:w="3291" w:type="dxa"/>
            <w:tcMar>
              <w:top w:w="15" w:type="dxa"/>
              <w:left w:w="15" w:type="dxa"/>
              <w:bottom w:w="0" w:type="dxa"/>
              <w:right w:w="15" w:type="dxa"/>
            </w:tcMar>
            <w:vAlign w:val="center"/>
            <w:hideMark/>
          </w:tcPr>
          <w:p w14:paraId="25493BFA"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Absorption efficiency 70-80 %</w:t>
            </w:r>
          </w:p>
        </w:tc>
      </w:tr>
      <w:tr w:rsidR="008D176E" w:rsidRPr="000A7793" w14:paraId="22E60EF8" w14:textId="77777777" w:rsidTr="00A71807">
        <w:trPr>
          <w:trHeight w:val="227"/>
          <w:jc w:val="center"/>
        </w:trPr>
        <w:tc>
          <w:tcPr>
            <w:tcW w:w="986" w:type="dxa"/>
            <w:vMerge/>
            <w:vAlign w:val="center"/>
            <w:hideMark/>
          </w:tcPr>
          <w:p w14:paraId="4DEEA400" w14:textId="77777777" w:rsidR="00F2576E" w:rsidRPr="000A7793" w:rsidRDefault="00F2576E" w:rsidP="00396CEF">
            <w:pPr>
              <w:widowControl/>
              <w:spacing w:line="360" w:lineRule="auto"/>
              <w:jc w:val="center"/>
              <w:rPr>
                <w:rFonts w:ascii="Times New Roman" w:eastAsia="宋体" w:hAnsi="Times New Roman" w:cs="Times New Roman"/>
                <w:kern w:val="0"/>
                <w:sz w:val="18"/>
                <w:szCs w:val="18"/>
              </w:rPr>
            </w:pPr>
          </w:p>
        </w:tc>
        <w:tc>
          <w:tcPr>
            <w:tcW w:w="3457" w:type="dxa"/>
            <w:tcMar>
              <w:top w:w="15" w:type="dxa"/>
              <w:left w:w="15" w:type="dxa"/>
              <w:bottom w:w="0" w:type="dxa"/>
              <w:right w:w="15" w:type="dxa"/>
            </w:tcMar>
            <w:vAlign w:val="center"/>
            <w:hideMark/>
          </w:tcPr>
          <w:p w14:paraId="5716752E"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The shift gas flow rate is small</w:t>
            </w:r>
          </w:p>
        </w:tc>
        <w:tc>
          <w:tcPr>
            <w:tcW w:w="3291" w:type="dxa"/>
            <w:tcMar>
              <w:top w:w="15" w:type="dxa"/>
              <w:left w:w="15" w:type="dxa"/>
              <w:bottom w:w="0" w:type="dxa"/>
              <w:right w:w="15" w:type="dxa"/>
            </w:tcMar>
            <w:vAlign w:val="center"/>
            <w:hideMark/>
          </w:tcPr>
          <w:p w14:paraId="139A561B" w14:textId="77777777" w:rsidR="00F2576E" w:rsidRPr="000A7793" w:rsidRDefault="00F2576E" w:rsidP="00396CEF">
            <w:pPr>
              <w:widowControl/>
              <w:spacing w:line="360" w:lineRule="auto"/>
              <w:ind w:leftChars="200" w:left="420" w:rightChars="200" w:right="420"/>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The flue gas flow rate is large</w:t>
            </w:r>
          </w:p>
        </w:tc>
      </w:tr>
      <w:tr w:rsidR="008D176E" w:rsidRPr="000A7793" w14:paraId="6C1125F4" w14:textId="77777777" w:rsidTr="00A71807">
        <w:trPr>
          <w:trHeight w:val="227"/>
          <w:jc w:val="center"/>
        </w:trPr>
        <w:tc>
          <w:tcPr>
            <w:tcW w:w="986" w:type="dxa"/>
            <w:vMerge w:val="restart"/>
            <w:tcMar>
              <w:top w:w="15" w:type="dxa"/>
              <w:left w:w="15" w:type="dxa"/>
              <w:bottom w:w="0" w:type="dxa"/>
              <w:right w:w="15" w:type="dxa"/>
            </w:tcMar>
            <w:vAlign w:val="center"/>
            <w:hideMark/>
          </w:tcPr>
          <w:p w14:paraId="6ED90CAB" w14:textId="77777777" w:rsidR="00F2576E" w:rsidRPr="000A7793" w:rsidRDefault="00F2576E" w:rsidP="00396CEF">
            <w:pPr>
              <w:widowControl/>
              <w:spacing w:line="360" w:lineRule="auto"/>
              <w:jc w:val="center"/>
              <w:textAlignment w:val="center"/>
              <w:rPr>
                <w:rFonts w:ascii="Times New Roman" w:eastAsia="宋体" w:hAnsi="Times New Roman" w:cs="Times New Roman"/>
                <w:kern w:val="24"/>
                <w:sz w:val="18"/>
                <w:szCs w:val="18"/>
              </w:rPr>
            </w:pPr>
            <w:r w:rsidRPr="000A7793">
              <w:rPr>
                <w:rFonts w:ascii="Times New Roman" w:eastAsia="宋体" w:hAnsi="Times New Roman" w:cs="Times New Roman"/>
                <w:kern w:val="24"/>
                <w:sz w:val="18"/>
                <w:szCs w:val="18"/>
              </w:rPr>
              <w:t>Similarity</w:t>
            </w:r>
          </w:p>
        </w:tc>
        <w:tc>
          <w:tcPr>
            <w:tcW w:w="6749" w:type="dxa"/>
            <w:gridSpan w:val="2"/>
            <w:tcMar>
              <w:top w:w="15" w:type="dxa"/>
              <w:left w:w="15" w:type="dxa"/>
              <w:bottom w:w="0" w:type="dxa"/>
              <w:right w:w="15" w:type="dxa"/>
            </w:tcMar>
            <w:vAlign w:val="center"/>
            <w:hideMark/>
          </w:tcPr>
          <w:p w14:paraId="17C7EE64" w14:textId="77777777" w:rsidR="00F2576E" w:rsidRPr="000A7793" w:rsidRDefault="00F2576E" w:rsidP="00396CEF">
            <w:pPr>
              <w:widowControl/>
              <w:spacing w:line="360" w:lineRule="auto"/>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Severe NH</w:t>
            </w:r>
            <w:r w:rsidRPr="000A7793">
              <w:rPr>
                <w:rFonts w:ascii="Times New Roman" w:eastAsia="宋体" w:hAnsi="Times New Roman" w:cs="Times New Roman"/>
                <w:kern w:val="24"/>
                <w:sz w:val="18"/>
                <w:szCs w:val="18"/>
                <w:vertAlign w:val="subscript"/>
              </w:rPr>
              <w:t>3</w:t>
            </w:r>
            <w:r w:rsidRPr="000A7793">
              <w:rPr>
                <w:rFonts w:ascii="Times New Roman" w:eastAsia="宋体" w:hAnsi="Times New Roman" w:cs="Times New Roman"/>
                <w:kern w:val="24"/>
                <w:sz w:val="18"/>
                <w:szCs w:val="18"/>
              </w:rPr>
              <w:t xml:space="preserve"> escape</w:t>
            </w:r>
          </w:p>
        </w:tc>
      </w:tr>
      <w:tr w:rsidR="008D176E" w:rsidRPr="000A7793" w14:paraId="2F6E8908" w14:textId="77777777" w:rsidTr="00A71807">
        <w:trPr>
          <w:trHeight w:val="227"/>
          <w:jc w:val="center"/>
        </w:trPr>
        <w:tc>
          <w:tcPr>
            <w:tcW w:w="986" w:type="dxa"/>
            <w:vMerge/>
            <w:vAlign w:val="center"/>
            <w:hideMark/>
          </w:tcPr>
          <w:p w14:paraId="68E9E13F" w14:textId="77777777" w:rsidR="00F2576E" w:rsidRPr="000A7793" w:rsidRDefault="00F2576E" w:rsidP="00396CEF">
            <w:pPr>
              <w:widowControl/>
              <w:spacing w:line="360" w:lineRule="auto"/>
              <w:jc w:val="center"/>
              <w:rPr>
                <w:rFonts w:ascii="Times New Roman" w:eastAsia="宋体" w:hAnsi="Times New Roman" w:cs="Times New Roman"/>
                <w:kern w:val="0"/>
                <w:sz w:val="18"/>
                <w:szCs w:val="18"/>
              </w:rPr>
            </w:pPr>
          </w:p>
        </w:tc>
        <w:tc>
          <w:tcPr>
            <w:tcW w:w="6749" w:type="dxa"/>
            <w:gridSpan w:val="2"/>
            <w:tcMar>
              <w:top w:w="15" w:type="dxa"/>
              <w:left w:w="15" w:type="dxa"/>
              <w:bottom w:w="0" w:type="dxa"/>
              <w:right w:w="15" w:type="dxa"/>
            </w:tcMar>
            <w:vAlign w:val="center"/>
            <w:hideMark/>
          </w:tcPr>
          <w:p w14:paraId="6F732565" w14:textId="77777777" w:rsidR="00F2576E" w:rsidRPr="000A7793" w:rsidRDefault="00F2576E" w:rsidP="00396CEF">
            <w:pPr>
              <w:widowControl/>
              <w:spacing w:line="360" w:lineRule="auto"/>
              <w:jc w:val="center"/>
              <w:textAlignment w:val="center"/>
              <w:rPr>
                <w:rFonts w:ascii="Times New Roman" w:eastAsia="宋体" w:hAnsi="Times New Roman" w:cs="Times New Roman"/>
                <w:kern w:val="24"/>
                <w:sz w:val="18"/>
                <w:szCs w:val="18"/>
              </w:rPr>
            </w:pPr>
            <w:r w:rsidRPr="000A7793">
              <w:rPr>
                <w:rFonts w:ascii="Times New Roman" w:eastAsia="宋体" w:hAnsi="Times New Roman" w:cs="Times New Roman"/>
                <w:kern w:val="24"/>
                <w:sz w:val="18"/>
                <w:szCs w:val="18"/>
              </w:rPr>
              <w:t>NH</w:t>
            </w:r>
            <w:r w:rsidRPr="000A7793">
              <w:rPr>
                <w:rFonts w:ascii="Times New Roman" w:eastAsia="宋体" w:hAnsi="Times New Roman" w:cs="Times New Roman"/>
                <w:kern w:val="24"/>
                <w:sz w:val="18"/>
                <w:szCs w:val="18"/>
                <w:vertAlign w:val="subscript"/>
              </w:rPr>
              <w:t>3</w:t>
            </w:r>
            <w:r w:rsidRPr="000A7793">
              <w:rPr>
                <w:rFonts w:ascii="Times New Roman" w:eastAsia="宋体" w:hAnsi="Times New Roman" w:cs="Times New Roman"/>
                <w:kern w:val="24"/>
                <w:sz w:val="18"/>
                <w:szCs w:val="18"/>
              </w:rPr>
              <w:t xml:space="preserve"> (</w:t>
            </w:r>
            <w:proofErr w:type="spellStart"/>
            <w:r w:rsidRPr="000A7793">
              <w:rPr>
                <w:rFonts w:ascii="Times New Roman" w:eastAsia="宋体" w:hAnsi="Times New Roman" w:cs="Times New Roman"/>
                <w:kern w:val="24"/>
                <w:sz w:val="18"/>
                <w:szCs w:val="18"/>
              </w:rPr>
              <w:t>aq</w:t>
            </w:r>
            <w:proofErr w:type="spellEnd"/>
            <w:r w:rsidRPr="000A7793">
              <w:rPr>
                <w:rFonts w:ascii="Times New Roman" w:eastAsia="宋体" w:hAnsi="Times New Roman" w:cs="Times New Roman"/>
                <w:kern w:val="24"/>
                <w:sz w:val="18"/>
                <w:szCs w:val="18"/>
              </w:rPr>
              <w:t>) has the similar concentration of 20%</w:t>
            </w:r>
          </w:p>
        </w:tc>
      </w:tr>
      <w:tr w:rsidR="008D176E" w:rsidRPr="000A7793" w14:paraId="46F36D74" w14:textId="77777777" w:rsidTr="00A71807">
        <w:trPr>
          <w:trHeight w:val="227"/>
          <w:jc w:val="center"/>
        </w:trPr>
        <w:tc>
          <w:tcPr>
            <w:tcW w:w="986" w:type="dxa"/>
            <w:vMerge/>
            <w:vAlign w:val="center"/>
            <w:hideMark/>
          </w:tcPr>
          <w:p w14:paraId="3E8BBCC4" w14:textId="77777777" w:rsidR="00F2576E" w:rsidRPr="000A7793" w:rsidRDefault="00F2576E" w:rsidP="00396CEF">
            <w:pPr>
              <w:widowControl/>
              <w:spacing w:line="360" w:lineRule="auto"/>
              <w:jc w:val="center"/>
              <w:rPr>
                <w:rFonts w:ascii="Times New Roman" w:eastAsia="宋体" w:hAnsi="Times New Roman" w:cs="Times New Roman"/>
                <w:kern w:val="0"/>
                <w:sz w:val="18"/>
                <w:szCs w:val="18"/>
              </w:rPr>
            </w:pPr>
          </w:p>
        </w:tc>
        <w:tc>
          <w:tcPr>
            <w:tcW w:w="6749" w:type="dxa"/>
            <w:gridSpan w:val="2"/>
            <w:tcMar>
              <w:top w:w="15" w:type="dxa"/>
              <w:left w:w="15" w:type="dxa"/>
              <w:bottom w:w="0" w:type="dxa"/>
              <w:right w:w="15" w:type="dxa"/>
            </w:tcMar>
            <w:vAlign w:val="center"/>
            <w:hideMark/>
          </w:tcPr>
          <w:p w14:paraId="11D58246" w14:textId="77777777" w:rsidR="00F2576E" w:rsidRPr="000A7793" w:rsidRDefault="00F2576E" w:rsidP="00396CEF">
            <w:pPr>
              <w:widowControl/>
              <w:spacing w:line="360" w:lineRule="auto"/>
              <w:jc w:val="center"/>
              <w:textAlignment w:val="center"/>
              <w:rPr>
                <w:rFonts w:ascii="Times New Roman" w:eastAsia="宋体" w:hAnsi="Times New Roman" w:cs="Times New Roman"/>
                <w:kern w:val="0"/>
                <w:sz w:val="18"/>
                <w:szCs w:val="18"/>
              </w:rPr>
            </w:pPr>
            <w:r w:rsidRPr="000A7793">
              <w:rPr>
                <w:rFonts w:ascii="Times New Roman" w:eastAsia="宋体" w:hAnsi="Times New Roman" w:cs="Times New Roman"/>
                <w:kern w:val="24"/>
                <w:sz w:val="18"/>
                <w:szCs w:val="18"/>
              </w:rPr>
              <w:t>The concentration of saturated carbonization liquid is similar</w:t>
            </w:r>
          </w:p>
        </w:tc>
      </w:tr>
    </w:tbl>
    <w:p w14:paraId="13983ACB" w14:textId="24C9FE37" w:rsidR="00CE597D" w:rsidRPr="000A7793" w:rsidRDefault="00B90C71" w:rsidP="00396CEF">
      <w:pPr>
        <w:spacing w:line="360" w:lineRule="auto"/>
        <w:rPr>
          <w:rFonts w:ascii="Times New Roman" w:eastAsia="宋体" w:hAnsi="Times New Roman" w:cs="Times New Roman"/>
        </w:rPr>
      </w:pPr>
      <w:r w:rsidRPr="000A7793">
        <w:rPr>
          <w:rFonts w:ascii="Times New Roman" w:eastAsia="宋体" w:hAnsi="Times New Roman" w:cs="Times New Roman"/>
        </w:rPr>
        <w:t xml:space="preserve"> </w:t>
      </w:r>
    </w:p>
    <w:p w14:paraId="0FAFE1CB" w14:textId="4DE332F2" w:rsidR="00F2576E" w:rsidRPr="000A7793" w:rsidRDefault="00F2576E" w:rsidP="00396CEF">
      <w:pPr>
        <w:widowControl/>
        <w:spacing w:line="360" w:lineRule="auto"/>
        <w:jc w:val="center"/>
        <w:rPr>
          <w:rFonts w:ascii="Times New Roman" w:eastAsia="宋体" w:hAnsi="Times New Roman" w:cs="Times New Roman"/>
        </w:rPr>
        <w:sectPr w:rsidR="00F2576E" w:rsidRPr="000A7793" w:rsidSect="00194D5F">
          <w:footerReference w:type="default" r:id="rId9"/>
          <w:pgSz w:w="11906" w:h="16838" w:code="9"/>
          <w:pgMar w:top="1440" w:right="1800" w:bottom="1440" w:left="1800" w:header="851" w:footer="992" w:gutter="0"/>
          <w:cols w:space="425"/>
          <w:docGrid w:linePitch="312"/>
        </w:sectPr>
      </w:pPr>
    </w:p>
    <w:p w14:paraId="046A3035" w14:textId="759CE60B" w:rsidR="004C31D6" w:rsidRPr="000A7793" w:rsidRDefault="004C31D6" w:rsidP="00396CEF">
      <w:pPr>
        <w:spacing w:line="360" w:lineRule="auto"/>
        <w:jc w:val="center"/>
        <w:rPr>
          <w:rFonts w:ascii="Times New Roman" w:eastAsia="宋体" w:hAnsi="Times New Roman" w:cs="Times New Roman"/>
        </w:rPr>
      </w:pPr>
      <w:r w:rsidRPr="000A7793">
        <w:rPr>
          <w:rFonts w:ascii="Times New Roman" w:eastAsia="宋体" w:hAnsi="Times New Roman" w:cs="Times New Roman"/>
          <w:b/>
          <w:bCs/>
        </w:rPr>
        <w:t>Table S</w:t>
      </w:r>
      <w:r w:rsidR="00295C2D" w:rsidRPr="000A7793">
        <w:rPr>
          <w:rFonts w:ascii="Times New Roman" w:eastAsia="宋体" w:hAnsi="Times New Roman" w:cs="Times New Roman"/>
          <w:b/>
          <w:bCs/>
        </w:rPr>
        <w:t>2</w:t>
      </w:r>
      <w:r w:rsidR="00C204AB" w:rsidRPr="000A7793">
        <w:rPr>
          <w:rFonts w:ascii="Times New Roman" w:eastAsia="宋体" w:hAnsi="Times New Roman" w:cs="Times New Roman"/>
          <w:b/>
          <w:bCs/>
        </w:rPr>
        <w:t xml:space="preserve"> </w:t>
      </w:r>
      <w:r w:rsidRPr="000A7793">
        <w:rPr>
          <w:rFonts w:ascii="Times New Roman" w:eastAsia="宋体" w:hAnsi="Times New Roman" w:cs="Times New Roman"/>
        </w:rPr>
        <w:t>Species concentration distribution and model selection with 4 instruments</w:t>
      </w:r>
    </w:p>
    <w:tbl>
      <w:tblPr>
        <w:tblpPr w:leftFromText="180" w:rightFromText="180" w:vertAnchor="text" w:horzAnchor="page" w:tblpXSpec="center" w:tblpY="216"/>
        <w:tblW w:w="8222" w:type="dxa"/>
        <w:tblBorders>
          <w:top w:val="single" w:sz="4" w:space="0" w:color="auto"/>
          <w:bottom w:val="single" w:sz="4" w:space="0" w:color="auto"/>
        </w:tblBorders>
        <w:tblLayout w:type="fixed"/>
        <w:tblLook w:val="04A0" w:firstRow="1" w:lastRow="0" w:firstColumn="1" w:lastColumn="0" w:noHBand="0" w:noVBand="1"/>
      </w:tblPr>
      <w:tblGrid>
        <w:gridCol w:w="1134"/>
        <w:gridCol w:w="993"/>
        <w:gridCol w:w="992"/>
        <w:gridCol w:w="2551"/>
        <w:gridCol w:w="1893"/>
        <w:gridCol w:w="659"/>
      </w:tblGrid>
      <w:tr w:rsidR="008D176E" w:rsidRPr="000A7793" w14:paraId="34807767" w14:textId="77777777" w:rsidTr="00A71807">
        <w:trPr>
          <w:trHeight w:val="18"/>
        </w:trPr>
        <w:tc>
          <w:tcPr>
            <w:tcW w:w="1134" w:type="dxa"/>
            <w:tcBorders>
              <w:top w:val="single" w:sz="4" w:space="0" w:color="auto"/>
              <w:bottom w:val="single" w:sz="4" w:space="0" w:color="auto"/>
            </w:tcBorders>
            <w:vAlign w:val="center"/>
            <w:hideMark/>
          </w:tcPr>
          <w:p w14:paraId="78C820DD"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Experimental method</w:t>
            </w:r>
          </w:p>
        </w:tc>
        <w:tc>
          <w:tcPr>
            <w:tcW w:w="993" w:type="dxa"/>
            <w:tcBorders>
              <w:top w:val="single" w:sz="4" w:space="0" w:color="auto"/>
              <w:bottom w:val="single" w:sz="4" w:space="0" w:color="auto"/>
            </w:tcBorders>
            <w:vAlign w:val="center"/>
            <w:hideMark/>
          </w:tcPr>
          <w:p w14:paraId="30A1C6A8"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proofErr w:type="spellStart"/>
            <w:r w:rsidRPr="000A7793">
              <w:rPr>
                <w:rFonts w:ascii="Times New Roman" w:eastAsia="宋体" w:hAnsi="Times New Roman" w:cs="Times New Roman"/>
                <w:kern w:val="0"/>
                <w:sz w:val="18"/>
                <w:szCs w:val="18"/>
              </w:rPr>
              <w:t>Instrume-nt</w:t>
            </w:r>
            <w:proofErr w:type="spellEnd"/>
          </w:p>
        </w:tc>
        <w:tc>
          <w:tcPr>
            <w:tcW w:w="992" w:type="dxa"/>
            <w:tcBorders>
              <w:top w:val="single" w:sz="4" w:space="0" w:color="auto"/>
              <w:bottom w:val="single" w:sz="4" w:space="0" w:color="auto"/>
            </w:tcBorders>
            <w:vAlign w:val="center"/>
            <w:hideMark/>
          </w:tcPr>
          <w:p w14:paraId="494EE4FC"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Device</w:t>
            </w:r>
          </w:p>
        </w:tc>
        <w:tc>
          <w:tcPr>
            <w:tcW w:w="2551" w:type="dxa"/>
            <w:tcBorders>
              <w:top w:val="single" w:sz="4" w:space="0" w:color="auto"/>
              <w:bottom w:val="single" w:sz="4" w:space="0" w:color="auto"/>
            </w:tcBorders>
            <w:vAlign w:val="center"/>
            <w:hideMark/>
          </w:tcPr>
          <w:p w14:paraId="72B37C19"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Method</w:t>
            </w:r>
          </w:p>
        </w:tc>
        <w:tc>
          <w:tcPr>
            <w:tcW w:w="1893" w:type="dxa"/>
            <w:tcBorders>
              <w:top w:val="single" w:sz="4" w:space="0" w:color="auto"/>
              <w:bottom w:val="single" w:sz="4" w:space="0" w:color="auto"/>
            </w:tcBorders>
            <w:vAlign w:val="center"/>
            <w:hideMark/>
          </w:tcPr>
          <w:p w14:paraId="6AACC224"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Whether mass transfer is involved</w:t>
            </w:r>
          </w:p>
        </w:tc>
        <w:tc>
          <w:tcPr>
            <w:tcW w:w="659" w:type="dxa"/>
            <w:tcBorders>
              <w:top w:val="single" w:sz="4" w:space="0" w:color="auto"/>
              <w:bottom w:val="single" w:sz="4" w:space="0" w:color="auto"/>
            </w:tcBorders>
            <w:vAlign w:val="center"/>
          </w:tcPr>
          <w:p w14:paraId="00A0D10C" w14:textId="77777777" w:rsidR="004C31D6" w:rsidRPr="000A7793" w:rsidRDefault="004C31D6" w:rsidP="00396CEF">
            <w:pPr>
              <w:widowControl/>
              <w:overflowPunct w:val="0"/>
              <w:spacing w:line="360" w:lineRule="auto"/>
              <w:jc w:val="center"/>
              <w:rPr>
                <w:rFonts w:ascii="Times New Roman" w:eastAsia="宋体" w:hAnsi="Times New Roman" w:cs="Times New Roman"/>
                <w:kern w:val="0"/>
                <w:sz w:val="18"/>
                <w:szCs w:val="18"/>
              </w:rPr>
            </w:pPr>
            <w:proofErr w:type="spellStart"/>
            <w:r w:rsidRPr="000A7793">
              <w:rPr>
                <w:rFonts w:ascii="Times New Roman" w:eastAsia="宋体" w:hAnsi="Times New Roman" w:cs="Times New Roman"/>
                <w:kern w:val="0"/>
                <w:sz w:val="18"/>
                <w:szCs w:val="18"/>
              </w:rPr>
              <w:t>Refe-rence</w:t>
            </w:r>
            <w:proofErr w:type="spellEnd"/>
          </w:p>
        </w:tc>
      </w:tr>
      <w:tr w:rsidR="008D176E" w:rsidRPr="000A7793" w14:paraId="22F54EA2" w14:textId="77777777" w:rsidTr="00A71807">
        <w:trPr>
          <w:trHeight w:val="18"/>
        </w:trPr>
        <w:tc>
          <w:tcPr>
            <w:tcW w:w="1134" w:type="dxa"/>
            <w:vAlign w:val="center"/>
            <w:hideMark/>
          </w:tcPr>
          <w:p w14:paraId="3F716D2E"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vertAlign w:val="superscript"/>
              </w:rPr>
              <w:t>13</w:t>
            </w:r>
            <w:r w:rsidRPr="000A7793">
              <w:rPr>
                <w:rFonts w:ascii="Times New Roman" w:eastAsia="宋体" w:hAnsi="Times New Roman" w:cs="Times New Roman"/>
                <w:kern w:val="0"/>
                <w:sz w:val="18"/>
                <w:szCs w:val="18"/>
              </w:rPr>
              <w:t>C</w:t>
            </w:r>
            <w:r w:rsidRPr="000A7793" w:rsidDel="00E74FBC">
              <w:rPr>
                <w:rFonts w:ascii="Times New Roman" w:eastAsia="宋体" w:hAnsi="Times New Roman" w:cs="Times New Roman"/>
                <w:kern w:val="0"/>
                <w:sz w:val="18"/>
                <w:szCs w:val="18"/>
              </w:rPr>
              <w:t xml:space="preserve"> </w:t>
            </w:r>
            <w:r w:rsidRPr="000A7793">
              <w:rPr>
                <w:rFonts w:ascii="Times New Roman" w:eastAsia="宋体" w:hAnsi="Times New Roman" w:cs="Times New Roman"/>
                <w:kern w:val="0"/>
                <w:sz w:val="18"/>
                <w:szCs w:val="18"/>
              </w:rPr>
              <w:t>NMR</w:t>
            </w:r>
          </w:p>
        </w:tc>
        <w:tc>
          <w:tcPr>
            <w:tcW w:w="993" w:type="dxa"/>
            <w:vAlign w:val="center"/>
            <w:hideMark/>
          </w:tcPr>
          <w:p w14:paraId="7D765CFB"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NMR spectrometer</w:t>
            </w:r>
          </w:p>
        </w:tc>
        <w:tc>
          <w:tcPr>
            <w:tcW w:w="992" w:type="dxa"/>
            <w:vAlign w:val="center"/>
            <w:hideMark/>
          </w:tcPr>
          <w:p w14:paraId="40D9F47B"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Bubbling reactor</w:t>
            </w:r>
          </w:p>
        </w:tc>
        <w:tc>
          <w:tcPr>
            <w:tcW w:w="2551" w:type="dxa"/>
            <w:vAlign w:val="center"/>
            <w:hideMark/>
          </w:tcPr>
          <w:p w14:paraId="0484F0B9"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Determine the proton change and calculates the ratio of HCO</w:t>
            </w:r>
            <w:r w:rsidRPr="000A7793">
              <w:rPr>
                <w:rFonts w:ascii="Times New Roman" w:eastAsia="宋体" w:hAnsi="Times New Roman" w:cs="Times New Roman"/>
                <w:kern w:val="0"/>
                <w:sz w:val="18"/>
                <w:szCs w:val="18"/>
                <w:vertAlign w:val="subscript"/>
              </w:rPr>
              <w:t>3</w:t>
            </w:r>
            <w:r w:rsidRPr="000A7793">
              <w:rPr>
                <w:rFonts w:ascii="Times New Roman" w:eastAsia="宋体" w:hAnsi="Times New Roman" w:cs="Times New Roman"/>
                <w:kern w:val="0"/>
                <w:sz w:val="18"/>
                <w:szCs w:val="18"/>
                <w:vertAlign w:val="superscript"/>
              </w:rPr>
              <w:t>-</w:t>
            </w:r>
            <w:r w:rsidRPr="000A7793">
              <w:rPr>
                <w:rFonts w:ascii="Times New Roman" w:eastAsia="宋体" w:hAnsi="Times New Roman" w:cs="Times New Roman"/>
                <w:kern w:val="0"/>
                <w:sz w:val="18"/>
                <w:szCs w:val="18"/>
              </w:rPr>
              <w:t xml:space="preserve"> to CO</w:t>
            </w:r>
            <w:r w:rsidRPr="000A7793">
              <w:rPr>
                <w:rFonts w:ascii="Times New Roman" w:eastAsia="宋体" w:hAnsi="Times New Roman" w:cs="Times New Roman"/>
                <w:kern w:val="0"/>
                <w:sz w:val="18"/>
                <w:szCs w:val="18"/>
                <w:vertAlign w:val="subscript"/>
              </w:rPr>
              <w:t>3</w:t>
            </w:r>
            <w:r w:rsidRPr="000A7793">
              <w:rPr>
                <w:rFonts w:ascii="Times New Roman" w:eastAsia="宋体" w:hAnsi="Times New Roman" w:cs="Times New Roman"/>
                <w:kern w:val="0"/>
                <w:sz w:val="18"/>
                <w:szCs w:val="18"/>
                <w:vertAlign w:val="superscript"/>
              </w:rPr>
              <w:t xml:space="preserve">2- </w:t>
            </w:r>
            <w:r w:rsidRPr="000A7793">
              <w:rPr>
                <w:rFonts w:ascii="Times New Roman" w:eastAsia="宋体" w:hAnsi="Times New Roman" w:cs="Times New Roman"/>
                <w:kern w:val="0"/>
                <w:sz w:val="18"/>
                <w:szCs w:val="18"/>
              </w:rPr>
              <w:t>by the chemical shift</w:t>
            </w:r>
          </w:p>
        </w:tc>
        <w:tc>
          <w:tcPr>
            <w:tcW w:w="1893" w:type="dxa"/>
            <w:vAlign w:val="center"/>
            <w:hideMark/>
          </w:tcPr>
          <w:p w14:paraId="7B139B1B"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Yes, the reaction rate is greater than the mass transfer rate, Ha&gt;&gt;1</w:t>
            </w:r>
          </w:p>
        </w:tc>
        <w:tc>
          <w:tcPr>
            <w:tcW w:w="659" w:type="dxa"/>
            <w:vAlign w:val="center"/>
          </w:tcPr>
          <w:p w14:paraId="38B215A6" w14:textId="4F8A76D3"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r w:rsidR="00EF701D" w:rsidRPr="000A7793">
              <w:rPr>
                <w:rFonts w:ascii="Times New Roman" w:eastAsia="宋体" w:hAnsi="Times New Roman" w:cs="Times New Roman"/>
                <w:kern w:val="0"/>
                <w:sz w:val="18"/>
                <w:szCs w:val="18"/>
              </w:rPr>
              <w:t>3</w:t>
            </w:r>
            <w:r w:rsidR="00415EEB" w:rsidRPr="000A7793">
              <w:rPr>
                <w:rFonts w:ascii="Times New Roman" w:eastAsia="宋体" w:hAnsi="Times New Roman" w:cs="Times New Roman"/>
                <w:kern w:val="0"/>
                <w:sz w:val="18"/>
                <w:szCs w:val="18"/>
              </w:rPr>
              <w:t>7</w:t>
            </w:r>
            <w:r w:rsidR="00EF701D" w:rsidRPr="000A7793">
              <w:rPr>
                <w:rFonts w:ascii="Times New Roman" w:eastAsia="宋体" w:hAnsi="Times New Roman" w:cs="Times New Roman"/>
                <w:kern w:val="0"/>
                <w:sz w:val="18"/>
                <w:szCs w:val="18"/>
              </w:rPr>
              <w:t>,3</w:t>
            </w:r>
            <w:r w:rsidR="00415EEB" w:rsidRPr="000A7793">
              <w:rPr>
                <w:rFonts w:ascii="Times New Roman" w:eastAsia="宋体" w:hAnsi="Times New Roman" w:cs="Times New Roman"/>
                <w:kern w:val="0"/>
                <w:sz w:val="18"/>
                <w:szCs w:val="18"/>
              </w:rPr>
              <w:t>8</w:t>
            </w:r>
            <w:r w:rsidRPr="000A7793">
              <w:rPr>
                <w:rFonts w:ascii="Times New Roman" w:eastAsia="宋体" w:hAnsi="Times New Roman" w:cs="Times New Roman"/>
                <w:kern w:val="0"/>
                <w:sz w:val="18"/>
                <w:szCs w:val="18"/>
              </w:rPr>
              <w:t>]</w:t>
            </w:r>
          </w:p>
        </w:tc>
      </w:tr>
      <w:tr w:rsidR="008D176E" w:rsidRPr="000A7793" w14:paraId="777A2426" w14:textId="77777777" w:rsidTr="00A71807">
        <w:trPr>
          <w:trHeight w:val="179"/>
        </w:trPr>
        <w:tc>
          <w:tcPr>
            <w:tcW w:w="1134" w:type="dxa"/>
            <w:vAlign w:val="center"/>
          </w:tcPr>
          <w:p w14:paraId="37D661B6"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vertAlign w:val="superscript"/>
              </w:rPr>
            </w:pPr>
            <w:r w:rsidRPr="000A7793">
              <w:rPr>
                <w:rFonts w:ascii="Times New Roman" w:eastAsia="宋体" w:hAnsi="Times New Roman" w:cs="Times New Roman"/>
                <w:kern w:val="0"/>
                <w:sz w:val="18"/>
                <w:szCs w:val="18"/>
              </w:rPr>
              <w:t>SP</w:t>
            </w:r>
          </w:p>
        </w:tc>
        <w:tc>
          <w:tcPr>
            <w:tcW w:w="993" w:type="dxa"/>
            <w:vAlign w:val="center"/>
          </w:tcPr>
          <w:p w14:paraId="366F5A2F"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Spectrophotometer</w:t>
            </w:r>
          </w:p>
        </w:tc>
        <w:tc>
          <w:tcPr>
            <w:tcW w:w="992" w:type="dxa"/>
            <w:vAlign w:val="center"/>
          </w:tcPr>
          <w:p w14:paraId="68E39975"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SP spectrophotometer</w:t>
            </w:r>
          </w:p>
        </w:tc>
        <w:tc>
          <w:tcPr>
            <w:tcW w:w="2551" w:type="dxa"/>
            <w:vAlign w:val="center"/>
          </w:tcPr>
          <w:p w14:paraId="7E831C47" w14:textId="7EA39890"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Determine the kinetic parameters by pH</w:t>
            </w:r>
          </w:p>
        </w:tc>
        <w:tc>
          <w:tcPr>
            <w:tcW w:w="1893" w:type="dxa"/>
            <w:vAlign w:val="center"/>
          </w:tcPr>
          <w:p w14:paraId="06E0DCE3"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No, the mass transfer rate is much higher than the reaction rate, Ha&lt;&lt;1</w:t>
            </w:r>
          </w:p>
        </w:tc>
        <w:tc>
          <w:tcPr>
            <w:tcW w:w="659" w:type="dxa"/>
            <w:vAlign w:val="center"/>
          </w:tcPr>
          <w:p w14:paraId="7B86A523" w14:textId="7008BE1A"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r w:rsidR="00415EEB" w:rsidRPr="000A7793">
              <w:rPr>
                <w:rFonts w:ascii="Times New Roman" w:eastAsia="宋体" w:hAnsi="Times New Roman" w:cs="Times New Roman"/>
                <w:kern w:val="0"/>
                <w:sz w:val="18"/>
                <w:szCs w:val="18"/>
              </w:rPr>
              <w:t>39</w:t>
            </w:r>
            <w:r w:rsidRPr="000A7793">
              <w:rPr>
                <w:rFonts w:ascii="Times New Roman" w:eastAsia="宋体" w:hAnsi="Times New Roman" w:cs="Times New Roman"/>
                <w:kern w:val="0"/>
                <w:sz w:val="18"/>
                <w:szCs w:val="18"/>
              </w:rPr>
              <w:t>]</w:t>
            </w:r>
          </w:p>
        </w:tc>
      </w:tr>
      <w:tr w:rsidR="008D176E" w:rsidRPr="000A7793" w14:paraId="1878C0DD" w14:textId="77777777" w:rsidTr="00A71807">
        <w:trPr>
          <w:trHeight w:val="18"/>
        </w:trPr>
        <w:tc>
          <w:tcPr>
            <w:tcW w:w="1134" w:type="dxa"/>
            <w:vAlign w:val="center"/>
            <w:hideMark/>
          </w:tcPr>
          <w:p w14:paraId="23C9D080"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ATR-FTIR</w:t>
            </w:r>
          </w:p>
        </w:tc>
        <w:tc>
          <w:tcPr>
            <w:tcW w:w="993" w:type="dxa"/>
            <w:vAlign w:val="center"/>
            <w:hideMark/>
          </w:tcPr>
          <w:p w14:paraId="10507A5F"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Infrared spectrometer</w:t>
            </w:r>
          </w:p>
        </w:tc>
        <w:tc>
          <w:tcPr>
            <w:tcW w:w="992" w:type="dxa"/>
            <w:vAlign w:val="center"/>
            <w:hideMark/>
          </w:tcPr>
          <w:p w14:paraId="7A734701"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Bubbling reactor</w:t>
            </w:r>
          </w:p>
        </w:tc>
        <w:tc>
          <w:tcPr>
            <w:tcW w:w="2551" w:type="dxa"/>
            <w:vAlign w:val="center"/>
            <w:hideMark/>
          </w:tcPr>
          <w:p w14:paraId="3377EFEB"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The species concentration of the reaction absorption system was estimated based on the least square method</w:t>
            </w:r>
          </w:p>
        </w:tc>
        <w:tc>
          <w:tcPr>
            <w:tcW w:w="1893" w:type="dxa"/>
            <w:vAlign w:val="center"/>
            <w:hideMark/>
          </w:tcPr>
          <w:p w14:paraId="1B3BDC45"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Yes, the reaction rate is greater than the mass transfer rate, Ha&gt;&gt;1</w:t>
            </w:r>
          </w:p>
        </w:tc>
        <w:tc>
          <w:tcPr>
            <w:tcW w:w="659" w:type="dxa"/>
            <w:vAlign w:val="center"/>
          </w:tcPr>
          <w:p w14:paraId="627E0AFF" w14:textId="1DEEA220"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r w:rsidR="00EF701D" w:rsidRPr="000A7793">
              <w:rPr>
                <w:rFonts w:ascii="Times New Roman" w:eastAsia="宋体" w:hAnsi="Times New Roman" w:cs="Times New Roman"/>
                <w:kern w:val="0"/>
                <w:sz w:val="18"/>
                <w:szCs w:val="18"/>
              </w:rPr>
              <w:t>4</w:t>
            </w:r>
            <w:r w:rsidR="00415EEB" w:rsidRPr="000A7793">
              <w:rPr>
                <w:rFonts w:ascii="Times New Roman" w:eastAsia="宋体" w:hAnsi="Times New Roman" w:cs="Times New Roman"/>
                <w:kern w:val="0"/>
                <w:sz w:val="18"/>
                <w:szCs w:val="18"/>
              </w:rPr>
              <w:t>0</w:t>
            </w:r>
            <w:r w:rsidRPr="000A7793">
              <w:rPr>
                <w:rFonts w:ascii="Times New Roman" w:eastAsia="宋体" w:hAnsi="Times New Roman" w:cs="Times New Roman"/>
                <w:kern w:val="0"/>
                <w:sz w:val="18"/>
                <w:szCs w:val="18"/>
              </w:rPr>
              <w:t>]</w:t>
            </w:r>
          </w:p>
        </w:tc>
      </w:tr>
      <w:tr w:rsidR="008D176E" w:rsidRPr="000A7793" w14:paraId="344D0005" w14:textId="77777777" w:rsidTr="00A71807">
        <w:trPr>
          <w:trHeight w:val="132"/>
        </w:trPr>
        <w:tc>
          <w:tcPr>
            <w:tcW w:w="1134" w:type="dxa"/>
            <w:vAlign w:val="center"/>
            <w:hideMark/>
          </w:tcPr>
          <w:p w14:paraId="6B8BAB29"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Reaction with saturated solution mixing</w:t>
            </w:r>
          </w:p>
        </w:tc>
        <w:tc>
          <w:tcPr>
            <w:tcW w:w="993" w:type="dxa"/>
            <w:vAlign w:val="center"/>
            <w:hideMark/>
          </w:tcPr>
          <w:p w14:paraId="68322BAB"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Raman spectrometer</w:t>
            </w:r>
          </w:p>
        </w:tc>
        <w:tc>
          <w:tcPr>
            <w:tcW w:w="992" w:type="dxa"/>
            <w:vAlign w:val="center"/>
            <w:hideMark/>
          </w:tcPr>
          <w:p w14:paraId="67C22EFD"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Airtight container</w:t>
            </w:r>
          </w:p>
        </w:tc>
        <w:tc>
          <w:tcPr>
            <w:tcW w:w="2551" w:type="dxa"/>
            <w:vAlign w:val="center"/>
            <w:hideMark/>
          </w:tcPr>
          <w:p w14:paraId="1F918105"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The PLS-R model was established to analyze the wavelength migration of Raman spectrum</w:t>
            </w:r>
          </w:p>
        </w:tc>
        <w:tc>
          <w:tcPr>
            <w:tcW w:w="1893" w:type="dxa"/>
            <w:vAlign w:val="center"/>
            <w:hideMark/>
          </w:tcPr>
          <w:p w14:paraId="2C0F5FE1" w14:textId="77777777"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No, the mass transfer rate is much higher than the reaction rate, Ha&lt;&lt;1</w:t>
            </w:r>
          </w:p>
        </w:tc>
        <w:tc>
          <w:tcPr>
            <w:tcW w:w="659" w:type="dxa"/>
            <w:vAlign w:val="center"/>
          </w:tcPr>
          <w:p w14:paraId="64DE0404" w14:textId="173F94F8" w:rsidR="004C31D6" w:rsidRPr="000A7793" w:rsidRDefault="004C31D6"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r w:rsidR="00EF701D" w:rsidRPr="000A7793">
              <w:rPr>
                <w:rFonts w:ascii="Times New Roman" w:eastAsia="宋体" w:hAnsi="Times New Roman" w:cs="Times New Roman"/>
                <w:kern w:val="0"/>
                <w:sz w:val="18"/>
                <w:szCs w:val="18"/>
              </w:rPr>
              <w:t>4</w:t>
            </w:r>
            <w:r w:rsidR="00415EEB" w:rsidRPr="000A7793">
              <w:rPr>
                <w:rFonts w:ascii="Times New Roman" w:eastAsia="宋体" w:hAnsi="Times New Roman" w:cs="Times New Roman"/>
                <w:kern w:val="0"/>
                <w:sz w:val="18"/>
                <w:szCs w:val="18"/>
              </w:rPr>
              <w:t>1</w:t>
            </w:r>
            <w:r w:rsidRPr="000A7793">
              <w:rPr>
                <w:rFonts w:ascii="Times New Roman" w:eastAsia="宋体" w:hAnsi="Times New Roman" w:cs="Times New Roman"/>
                <w:kern w:val="0"/>
                <w:sz w:val="18"/>
                <w:szCs w:val="18"/>
              </w:rPr>
              <w:t>]</w:t>
            </w:r>
          </w:p>
        </w:tc>
      </w:tr>
    </w:tbl>
    <w:p w14:paraId="61D31537" w14:textId="77777777" w:rsidR="00754681" w:rsidRPr="000A7793" w:rsidRDefault="00754681" w:rsidP="00396CEF">
      <w:pPr>
        <w:widowControl/>
        <w:spacing w:line="360" w:lineRule="auto"/>
        <w:jc w:val="center"/>
        <w:rPr>
          <w:rFonts w:ascii="Times New Roman" w:eastAsia="宋体" w:hAnsi="Times New Roman" w:cs="Times New Roman"/>
        </w:rPr>
      </w:pPr>
      <w:r w:rsidRPr="000A7793">
        <w:rPr>
          <w:rFonts w:ascii="Times New Roman" w:eastAsia="宋体" w:hAnsi="Times New Roman" w:cs="Times New Roman"/>
        </w:rPr>
        <w:br w:type="page"/>
      </w:r>
    </w:p>
    <w:p w14:paraId="79E1D271" w14:textId="6E95B1F4" w:rsidR="00754681" w:rsidRPr="000A7793" w:rsidRDefault="00754681" w:rsidP="00396CEF">
      <w:pPr>
        <w:spacing w:line="360" w:lineRule="auto"/>
        <w:jc w:val="center"/>
        <w:rPr>
          <w:rFonts w:ascii="Times New Roman" w:eastAsia="宋体" w:hAnsi="Times New Roman" w:cs="Times New Roman"/>
        </w:rPr>
      </w:pPr>
      <w:r w:rsidRPr="000A7793">
        <w:rPr>
          <w:rFonts w:ascii="Times New Roman" w:eastAsia="宋体" w:hAnsi="Times New Roman" w:cs="Times New Roman"/>
          <w:b/>
          <w:bCs/>
        </w:rPr>
        <w:t>Table S</w:t>
      </w:r>
      <w:r w:rsidR="00FF65B3" w:rsidRPr="000A7793">
        <w:rPr>
          <w:rFonts w:ascii="Times New Roman" w:eastAsia="宋体" w:hAnsi="Times New Roman" w:cs="Times New Roman"/>
          <w:b/>
          <w:bCs/>
        </w:rPr>
        <w:t>3</w:t>
      </w:r>
      <w:r w:rsidRPr="000A7793">
        <w:rPr>
          <w:rFonts w:ascii="Times New Roman" w:eastAsia="宋体" w:hAnsi="Times New Roman" w:cs="Times New Roman"/>
        </w:rPr>
        <w:t xml:space="preserve"> Reaction mass transfer mechanism and corresponding absorption reactors</w:t>
      </w:r>
    </w:p>
    <w:tbl>
      <w:tblPr>
        <w:tblW w:w="7797" w:type="dxa"/>
        <w:jc w:val="center"/>
        <w:tblBorders>
          <w:top w:val="single" w:sz="4" w:space="0" w:color="auto"/>
          <w:bottom w:val="single" w:sz="4" w:space="0" w:color="auto"/>
        </w:tblBorders>
        <w:tblLayout w:type="fixed"/>
        <w:tblLook w:val="01E0" w:firstRow="1" w:lastRow="1" w:firstColumn="1" w:lastColumn="1" w:noHBand="0" w:noVBand="0"/>
      </w:tblPr>
      <w:tblGrid>
        <w:gridCol w:w="1689"/>
        <w:gridCol w:w="1342"/>
        <w:gridCol w:w="1904"/>
        <w:gridCol w:w="1852"/>
        <w:gridCol w:w="1010"/>
      </w:tblGrid>
      <w:tr w:rsidR="008D176E" w:rsidRPr="000A7793" w14:paraId="20683D5D" w14:textId="77777777" w:rsidTr="00A71807">
        <w:trPr>
          <w:trHeight w:val="395"/>
          <w:jc w:val="center"/>
        </w:trPr>
        <w:tc>
          <w:tcPr>
            <w:tcW w:w="1689" w:type="dxa"/>
            <w:tcBorders>
              <w:top w:val="single" w:sz="4" w:space="0" w:color="auto"/>
              <w:bottom w:val="single" w:sz="4" w:space="0" w:color="auto"/>
            </w:tcBorders>
            <w:vAlign w:val="center"/>
          </w:tcPr>
          <w:p w14:paraId="675335BB"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rPr>
              <w:t>Reactor</w:t>
            </w:r>
          </w:p>
        </w:tc>
        <w:tc>
          <w:tcPr>
            <w:tcW w:w="1342" w:type="dxa"/>
            <w:tcBorders>
              <w:top w:val="single" w:sz="4" w:space="0" w:color="auto"/>
              <w:bottom w:val="single" w:sz="4" w:space="0" w:color="auto"/>
            </w:tcBorders>
            <w:vAlign w:val="center"/>
          </w:tcPr>
          <w:p w14:paraId="7E412A5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Mass transfer theory</w:t>
            </w:r>
          </w:p>
        </w:tc>
        <w:tc>
          <w:tcPr>
            <w:tcW w:w="1904" w:type="dxa"/>
            <w:tcBorders>
              <w:top w:val="single" w:sz="4" w:space="0" w:color="auto"/>
              <w:bottom w:val="single" w:sz="4" w:space="0" w:color="auto"/>
            </w:tcBorders>
            <w:vAlign w:val="center"/>
          </w:tcPr>
          <w:p w14:paraId="25030D0D"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Reaction mechanism</w:t>
            </w:r>
          </w:p>
        </w:tc>
        <w:tc>
          <w:tcPr>
            <w:tcW w:w="1852" w:type="dxa"/>
            <w:tcBorders>
              <w:top w:val="single" w:sz="4" w:space="0" w:color="auto"/>
              <w:bottom w:val="single" w:sz="4" w:space="0" w:color="auto"/>
            </w:tcBorders>
            <w:vAlign w:val="center"/>
          </w:tcPr>
          <w:p w14:paraId="0118687E"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Kinetics parameter</w:t>
            </w:r>
          </w:p>
        </w:tc>
        <w:tc>
          <w:tcPr>
            <w:tcW w:w="1010" w:type="dxa"/>
            <w:tcBorders>
              <w:top w:val="single" w:sz="4" w:space="0" w:color="auto"/>
              <w:bottom w:val="single" w:sz="4" w:space="0" w:color="auto"/>
            </w:tcBorders>
            <w:vAlign w:val="center"/>
          </w:tcPr>
          <w:p w14:paraId="206D692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Reference</w:t>
            </w:r>
          </w:p>
        </w:tc>
      </w:tr>
      <w:tr w:rsidR="008D176E" w:rsidRPr="000A7793" w14:paraId="6C6340AB" w14:textId="77777777" w:rsidTr="00A71807">
        <w:trPr>
          <w:trHeight w:val="395"/>
          <w:jc w:val="center"/>
        </w:trPr>
        <w:tc>
          <w:tcPr>
            <w:tcW w:w="1689" w:type="dxa"/>
            <w:tcBorders>
              <w:top w:val="single" w:sz="4" w:space="0" w:color="auto"/>
            </w:tcBorders>
            <w:vAlign w:val="center"/>
          </w:tcPr>
          <w:p w14:paraId="5A06D43D"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Disc contactor</w:t>
            </w:r>
          </w:p>
        </w:tc>
        <w:tc>
          <w:tcPr>
            <w:tcW w:w="1342" w:type="dxa"/>
            <w:tcBorders>
              <w:top w:val="single" w:sz="4" w:space="0" w:color="auto"/>
            </w:tcBorders>
            <w:vAlign w:val="center"/>
          </w:tcPr>
          <w:p w14:paraId="53091A3D"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tcBorders>
              <w:top w:val="single" w:sz="4" w:space="0" w:color="auto"/>
            </w:tcBorders>
            <w:vAlign w:val="center"/>
          </w:tcPr>
          <w:p w14:paraId="1F4071E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Zwitterion and termolecular</w:t>
            </w:r>
          </w:p>
        </w:tc>
        <w:tc>
          <w:tcPr>
            <w:tcW w:w="1852" w:type="dxa"/>
            <w:tcBorders>
              <w:top w:val="single" w:sz="4" w:space="0" w:color="auto"/>
            </w:tcBorders>
            <w:vAlign w:val="center"/>
          </w:tcPr>
          <w:p w14:paraId="065D5E71"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Gas and liquid double mass transfer coefficient</w:t>
            </w:r>
          </w:p>
        </w:tc>
        <w:tc>
          <w:tcPr>
            <w:tcW w:w="1010" w:type="dxa"/>
            <w:tcBorders>
              <w:top w:val="single" w:sz="4" w:space="0" w:color="auto"/>
            </w:tcBorders>
            <w:vAlign w:val="center"/>
          </w:tcPr>
          <w:p w14:paraId="46FCD424" w14:textId="049B5D68"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EF701D" w:rsidRPr="000A7793">
              <w:rPr>
                <w:rFonts w:ascii="Times New Roman" w:eastAsia="宋体" w:hAnsi="Times New Roman" w:cs="Times New Roman"/>
                <w:sz w:val="18"/>
                <w:szCs w:val="18"/>
              </w:rPr>
              <w:t>4</w:t>
            </w:r>
            <w:r w:rsidR="00415EEB" w:rsidRPr="000A7793">
              <w:rPr>
                <w:rFonts w:ascii="Times New Roman" w:eastAsia="宋体" w:hAnsi="Times New Roman" w:cs="Times New Roman"/>
                <w:sz w:val="18"/>
                <w:szCs w:val="18"/>
              </w:rPr>
              <w:t>2</w:t>
            </w:r>
            <w:r w:rsidRPr="000A7793">
              <w:rPr>
                <w:rFonts w:ascii="Times New Roman" w:eastAsia="宋体" w:hAnsi="Times New Roman" w:cs="Times New Roman"/>
                <w:sz w:val="18"/>
                <w:szCs w:val="18"/>
              </w:rPr>
              <w:t>]</w:t>
            </w:r>
          </w:p>
        </w:tc>
      </w:tr>
      <w:tr w:rsidR="008D176E" w:rsidRPr="000A7793" w14:paraId="038BFC91" w14:textId="77777777" w:rsidTr="00A71807">
        <w:trPr>
          <w:trHeight w:val="395"/>
          <w:jc w:val="center"/>
        </w:trPr>
        <w:tc>
          <w:tcPr>
            <w:tcW w:w="1689" w:type="dxa"/>
            <w:tcBorders>
              <w:bottom w:val="nil"/>
            </w:tcBorders>
            <w:vAlign w:val="center"/>
          </w:tcPr>
          <w:p w14:paraId="36B4C6EC"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Wet-wall tower</w:t>
            </w:r>
          </w:p>
        </w:tc>
        <w:tc>
          <w:tcPr>
            <w:tcW w:w="1342" w:type="dxa"/>
            <w:tcBorders>
              <w:bottom w:val="nil"/>
            </w:tcBorders>
            <w:vAlign w:val="center"/>
          </w:tcPr>
          <w:p w14:paraId="50402DA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tcBorders>
              <w:bottom w:val="nil"/>
            </w:tcBorders>
            <w:vAlign w:val="center"/>
          </w:tcPr>
          <w:p w14:paraId="4924BC1B"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Bimolecular</w:t>
            </w:r>
          </w:p>
        </w:tc>
        <w:tc>
          <w:tcPr>
            <w:tcW w:w="1852" w:type="dxa"/>
            <w:tcBorders>
              <w:bottom w:val="nil"/>
            </w:tcBorders>
            <w:vAlign w:val="center"/>
          </w:tcPr>
          <w:p w14:paraId="2151407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Arrhenius formula</w:t>
            </w:r>
          </w:p>
        </w:tc>
        <w:tc>
          <w:tcPr>
            <w:tcW w:w="1010" w:type="dxa"/>
            <w:tcBorders>
              <w:bottom w:val="nil"/>
            </w:tcBorders>
            <w:vAlign w:val="center"/>
          </w:tcPr>
          <w:p w14:paraId="4523A55F" w14:textId="5D033232"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EF701D" w:rsidRPr="000A7793">
              <w:rPr>
                <w:rFonts w:ascii="Times New Roman" w:eastAsia="宋体" w:hAnsi="Times New Roman" w:cs="Times New Roman"/>
                <w:sz w:val="18"/>
                <w:szCs w:val="18"/>
              </w:rPr>
              <w:t>4</w:t>
            </w:r>
            <w:r w:rsidR="00415EEB" w:rsidRPr="000A7793">
              <w:rPr>
                <w:rFonts w:ascii="Times New Roman" w:eastAsia="宋体" w:hAnsi="Times New Roman" w:cs="Times New Roman"/>
                <w:sz w:val="18"/>
                <w:szCs w:val="18"/>
              </w:rPr>
              <w:t>3</w:t>
            </w:r>
            <w:r w:rsidRPr="000A7793">
              <w:rPr>
                <w:rFonts w:ascii="Times New Roman" w:eastAsia="宋体" w:hAnsi="Times New Roman" w:cs="Times New Roman"/>
                <w:sz w:val="18"/>
                <w:szCs w:val="18"/>
              </w:rPr>
              <w:t>]</w:t>
            </w:r>
          </w:p>
        </w:tc>
      </w:tr>
      <w:tr w:rsidR="008D176E" w:rsidRPr="000A7793" w14:paraId="188EC9CC" w14:textId="77777777" w:rsidTr="00A71807">
        <w:trPr>
          <w:trHeight w:val="395"/>
          <w:jc w:val="center"/>
        </w:trPr>
        <w:tc>
          <w:tcPr>
            <w:tcW w:w="1689" w:type="dxa"/>
            <w:tcBorders>
              <w:top w:val="nil"/>
              <w:bottom w:val="nil"/>
            </w:tcBorders>
            <w:vAlign w:val="center"/>
          </w:tcPr>
          <w:p w14:paraId="2C64EBFE"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Hollow fiber membrane contactor</w:t>
            </w:r>
          </w:p>
        </w:tc>
        <w:tc>
          <w:tcPr>
            <w:tcW w:w="1342" w:type="dxa"/>
            <w:tcBorders>
              <w:top w:val="nil"/>
              <w:bottom w:val="nil"/>
            </w:tcBorders>
            <w:vAlign w:val="center"/>
          </w:tcPr>
          <w:p w14:paraId="36BE3449"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tcBorders>
              <w:top w:val="nil"/>
              <w:bottom w:val="nil"/>
            </w:tcBorders>
            <w:vAlign w:val="center"/>
          </w:tcPr>
          <w:p w14:paraId="39E8932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Zwitterion</w:t>
            </w:r>
          </w:p>
        </w:tc>
        <w:tc>
          <w:tcPr>
            <w:tcW w:w="1852" w:type="dxa"/>
            <w:tcBorders>
              <w:top w:val="nil"/>
              <w:bottom w:val="nil"/>
            </w:tcBorders>
            <w:vAlign w:val="center"/>
          </w:tcPr>
          <w:p w14:paraId="2A62600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Diffusion flux</w:t>
            </w:r>
          </w:p>
        </w:tc>
        <w:tc>
          <w:tcPr>
            <w:tcW w:w="1010" w:type="dxa"/>
            <w:tcBorders>
              <w:top w:val="nil"/>
              <w:bottom w:val="nil"/>
            </w:tcBorders>
            <w:vAlign w:val="center"/>
          </w:tcPr>
          <w:p w14:paraId="1B0B38CD" w14:textId="2C9EBBFA"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4</w:t>
            </w:r>
            <w:r w:rsidR="00415EEB" w:rsidRPr="000A7793">
              <w:rPr>
                <w:rFonts w:ascii="Times New Roman" w:eastAsia="宋体" w:hAnsi="Times New Roman" w:cs="Times New Roman"/>
                <w:sz w:val="18"/>
                <w:szCs w:val="18"/>
              </w:rPr>
              <w:t>4</w:t>
            </w:r>
            <w:r w:rsidRPr="000A7793">
              <w:rPr>
                <w:rFonts w:ascii="Times New Roman" w:eastAsia="宋体" w:hAnsi="Times New Roman" w:cs="Times New Roman"/>
                <w:sz w:val="18"/>
                <w:szCs w:val="18"/>
              </w:rPr>
              <w:t>]</w:t>
            </w:r>
          </w:p>
        </w:tc>
      </w:tr>
      <w:tr w:rsidR="008D176E" w:rsidRPr="000A7793" w14:paraId="028B2707" w14:textId="77777777" w:rsidTr="00A71807">
        <w:trPr>
          <w:trHeight w:val="395"/>
          <w:jc w:val="center"/>
        </w:trPr>
        <w:tc>
          <w:tcPr>
            <w:tcW w:w="1689" w:type="dxa"/>
            <w:tcBorders>
              <w:top w:val="nil"/>
              <w:bottom w:val="nil"/>
            </w:tcBorders>
            <w:vAlign w:val="center"/>
          </w:tcPr>
          <w:p w14:paraId="38E048DD"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Bubbler</w:t>
            </w:r>
          </w:p>
        </w:tc>
        <w:tc>
          <w:tcPr>
            <w:tcW w:w="1342" w:type="dxa"/>
            <w:tcBorders>
              <w:top w:val="nil"/>
              <w:bottom w:val="nil"/>
            </w:tcBorders>
            <w:vAlign w:val="center"/>
          </w:tcPr>
          <w:p w14:paraId="0F581124"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tcBorders>
              <w:top w:val="nil"/>
              <w:bottom w:val="nil"/>
            </w:tcBorders>
            <w:vAlign w:val="center"/>
          </w:tcPr>
          <w:p w14:paraId="4096572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p>
        </w:tc>
        <w:tc>
          <w:tcPr>
            <w:tcW w:w="1852" w:type="dxa"/>
            <w:tcBorders>
              <w:top w:val="nil"/>
              <w:bottom w:val="nil"/>
            </w:tcBorders>
            <w:vAlign w:val="center"/>
          </w:tcPr>
          <w:p w14:paraId="629AABDD"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Total mass transfer coefficient</w:t>
            </w:r>
          </w:p>
        </w:tc>
        <w:tc>
          <w:tcPr>
            <w:tcW w:w="1010" w:type="dxa"/>
            <w:tcBorders>
              <w:top w:val="nil"/>
              <w:bottom w:val="nil"/>
            </w:tcBorders>
            <w:vAlign w:val="center"/>
          </w:tcPr>
          <w:p w14:paraId="62C033AC" w14:textId="327B8261"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4</w:t>
            </w:r>
            <w:r w:rsidR="00415EEB" w:rsidRPr="000A7793">
              <w:rPr>
                <w:rFonts w:ascii="Times New Roman" w:eastAsia="宋体" w:hAnsi="Times New Roman" w:cs="Times New Roman"/>
                <w:sz w:val="18"/>
                <w:szCs w:val="18"/>
              </w:rPr>
              <w:t>5</w:t>
            </w:r>
            <w:r w:rsidRPr="000A7793">
              <w:rPr>
                <w:rFonts w:ascii="Times New Roman" w:eastAsia="宋体" w:hAnsi="Times New Roman" w:cs="Times New Roman"/>
                <w:sz w:val="18"/>
                <w:szCs w:val="18"/>
              </w:rPr>
              <w:t>]</w:t>
            </w:r>
          </w:p>
        </w:tc>
      </w:tr>
      <w:tr w:rsidR="008D176E" w:rsidRPr="000A7793" w14:paraId="15AD7D0F" w14:textId="77777777" w:rsidTr="00A71807">
        <w:trPr>
          <w:trHeight w:val="395"/>
          <w:jc w:val="center"/>
        </w:trPr>
        <w:tc>
          <w:tcPr>
            <w:tcW w:w="1689" w:type="dxa"/>
            <w:tcBorders>
              <w:top w:val="nil"/>
              <w:bottom w:val="nil"/>
            </w:tcBorders>
            <w:vAlign w:val="center"/>
          </w:tcPr>
          <w:p w14:paraId="2F64ED58"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Wet-wall tower</w:t>
            </w:r>
          </w:p>
        </w:tc>
        <w:tc>
          <w:tcPr>
            <w:tcW w:w="1342" w:type="dxa"/>
            <w:tcBorders>
              <w:top w:val="nil"/>
              <w:bottom w:val="nil"/>
            </w:tcBorders>
            <w:vAlign w:val="center"/>
          </w:tcPr>
          <w:p w14:paraId="4DF20C7B"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bookmarkStart w:id="5" w:name="OLE_LINK42"/>
            <w:r w:rsidRPr="000A7793">
              <w:rPr>
                <w:rFonts w:ascii="Times New Roman" w:eastAsia="宋体" w:hAnsi="Times New Roman" w:cs="Times New Roman"/>
                <w:kern w:val="0"/>
                <w:sz w:val="18"/>
                <w:szCs w:val="18"/>
              </w:rPr>
              <w:t>Penetration</w:t>
            </w:r>
            <w:bookmarkEnd w:id="5"/>
          </w:p>
        </w:tc>
        <w:tc>
          <w:tcPr>
            <w:tcW w:w="1904" w:type="dxa"/>
            <w:tcBorders>
              <w:top w:val="nil"/>
              <w:bottom w:val="nil"/>
            </w:tcBorders>
            <w:vAlign w:val="center"/>
          </w:tcPr>
          <w:p w14:paraId="59D5AE6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Termolecular</w:t>
            </w:r>
          </w:p>
        </w:tc>
        <w:tc>
          <w:tcPr>
            <w:tcW w:w="1852" w:type="dxa"/>
            <w:tcBorders>
              <w:top w:val="nil"/>
              <w:bottom w:val="nil"/>
            </w:tcBorders>
            <w:vAlign w:val="center"/>
          </w:tcPr>
          <w:p w14:paraId="7590E947"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Gas and liquid double mass transfer coefficient</w:t>
            </w:r>
          </w:p>
        </w:tc>
        <w:tc>
          <w:tcPr>
            <w:tcW w:w="1010" w:type="dxa"/>
            <w:tcBorders>
              <w:top w:val="nil"/>
              <w:bottom w:val="nil"/>
            </w:tcBorders>
            <w:vAlign w:val="center"/>
          </w:tcPr>
          <w:p w14:paraId="535241A7" w14:textId="38728BE4"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4</w:t>
            </w:r>
            <w:r w:rsidR="00415EEB" w:rsidRPr="000A7793">
              <w:rPr>
                <w:rFonts w:ascii="Times New Roman" w:eastAsia="宋体" w:hAnsi="Times New Roman" w:cs="Times New Roman"/>
                <w:sz w:val="18"/>
                <w:szCs w:val="18"/>
              </w:rPr>
              <w:t>6</w:t>
            </w:r>
            <w:r w:rsidRPr="000A7793">
              <w:rPr>
                <w:rFonts w:ascii="Times New Roman" w:eastAsia="宋体" w:hAnsi="Times New Roman" w:cs="Times New Roman"/>
                <w:sz w:val="18"/>
                <w:szCs w:val="18"/>
              </w:rPr>
              <w:t>]</w:t>
            </w:r>
          </w:p>
        </w:tc>
      </w:tr>
      <w:tr w:rsidR="008D176E" w:rsidRPr="000A7793" w14:paraId="29CB6904" w14:textId="77777777" w:rsidTr="00A71807">
        <w:trPr>
          <w:trHeight w:val="395"/>
          <w:jc w:val="center"/>
        </w:trPr>
        <w:tc>
          <w:tcPr>
            <w:tcW w:w="1689" w:type="dxa"/>
            <w:tcBorders>
              <w:top w:val="nil"/>
            </w:tcBorders>
            <w:vAlign w:val="center"/>
          </w:tcPr>
          <w:p w14:paraId="3BA376AD"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Wet-wall tower</w:t>
            </w:r>
          </w:p>
        </w:tc>
        <w:tc>
          <w:tcPr>
            <w:tcW w:w="1342" w:type="dxa"/>
            <w:tcBorders>
              <w:top w:val="nil"/>
            </w:tcBorders>
            <w:vAlign w:val="center"/>
          </w:tcPr>
          <w:p w14:paraId="090C969B"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Penetration</w:t>
            </w:r>
          </w:p>
        </w:tc>
        <w:tc>
          <w:tcPr>
            <w:tcW w:w="1904" w:type="dxa"/>
            <w:tcBorders>
              <w:top w:val="nil"/>
            </w:tcBorders>
            <w:vAlign w:val="center"/>
          </w:tcPr>
          <w:p w14:paraId="42FA5DE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Bimolecular</w:t>
            </w:r>
          </w:p>
        </w:tc>
        <w:tc>
          <w:tcPr>
            <w:tcW w:w="1852" w:type="dxa"/>
            <w:tcBorders>
              <w:top w:val="nil"/>
            </w:tcBorders>
            <w:vAlign w:val="center"/>
          </w:tcPr>
          <w:p w14:paraId="19F2079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Arrhenius formula</w:t>
            </w:r>
          </w:p>
        </w:tc>
        <w:tc>
          <w:tcPr>
            <w:tcW w:w="1010" w:type="dxa"/>
            <w:tcBorders>
              <w:top w:val="nil"/>
            </w:tcBorders>
            <w:vAlign w:val="center"/>
          </w:tcPr>
          <w:p w14:paraId="751B0CEA" w14:textId="09FCEFDA"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4</w:t>
            </w:r>
            <w:r w:rsidR="00415EEB" w:rsidRPr="000A7793">
              <w:rPr>
                <w:rFonts w:ascii="Times New Roman" w:eastAsia="宋体" w:hAnsi="Times New Roman" w:cs="Times New Roman"/>
                <w:sz w:val="18"/>
                <w:szCs w:val="18"/>
              </w:rPr>
              <w:t>7</w:t>
            </w:r>
            <w:r w:rsidRPr="000A7793">
              <w:rPr>
                <w:rFonts w:ascii="Times New Roman" w:eastAsia="宋体" w:hAnsi="Times New Roman" w:cs="Times New Roman"/>
                <w:sz w:val="18"/>
                <w:szCs w:val="18"/>
              </w:rPr>
              <w:t>]</w:t>
            </w:r>
          </w:p>
        </w:tc>
      </w:tr>
      <w:tr w:rsidR="008D176E" w:rsidRPr="000A7793" w14:paraId="30EF6D42" w14:textId="77777777" w:rsidTr="00A71807">
        <w:trPr>
          <w:trHeight w:val="395"/>
          <w:jc w:val="center"/>
        </w:trPr>
        <w:tc>
          <w:tcPr>
            <w:tcW w:w="1689" w:type="dxa"/>
            <w:vAlign w:val="center"/>
          </w:tcPr>
          <w:p w14:paraId="7B88899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Wet-wall tower</w:t>
            </w:r>
          </w:p>
        </w:tc>
        <w:tc>
          <w:tcPr>
            <w:tcW w:w="1342" w:type="dxa"/>
            <w:vAlign w:val="center"/>
          </w:tcPr>
          <w:p w14:paraId="4013E044"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vAlign w:val="center"/>
          </w:tcPr>
          <w:p w14:paraId="558F6C57"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Zwitterion</w:t>
            </w:r>
          </w:p>
        </w:tc>
        <w:tc>
          <w:tcPr>
            <w:tcW w:w="1852" w:type="dxa"/>
            <w:vAlign w:val="center"/>
          </w:tcPr>
          <w:p w14:paraId="7A3C251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Gas mass transfer coefficient</w:t>
            </w:r>
          </w:p>
        </w:tc>
        <w:tc>
          <w:tcPr>
            <w:tcW w:w="1010" w:type="dxa"/>
            <w:vAlign w:val="center"/>
          </w:tcPr>
          <w:p w14:paraId="7066C062" w14:textId="1E18C8B5"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4</w:t>
            </w:r>
            <w:r w:rsidR="00415EEB" w:rsidRPr="000A7793">
              <w:rPr>
                <w:rFonts w:ascii="Times New Roman" w:eastAsia="宋体" w:hAnsi="Times New Roman" w:cs="Times New Roman"/>
                <w:sz w:val="18"/>
                <w:szCs w:val="18"/>
              </w:rPr>
              <w:t>8</w:t>
            </w:r>
            <w:r w:rsidRPr="000A7793">
              <w:rPr>
                <w:rFonts w:ascii="Times New Roman" w:eastAsia="宋体" w:hAnsi="Times New Roman" w:cs="Times New Roman"/>
                <w:sz w:val="18"/>
                <w:szCs w:val="18"/>
              </w:rPr>
              <w:t>]</w:t>
            </w:r>
          </w:p>
        </w:tc>
      </w:tr>
      <w:tr w:rsidR="008D176E" w:rsidRPr="000A7793" w14:paraId="2BB71105" w14:textId="77777777" w:rsidTr="00A71807">
        <w:trPr>
          <w:trHeight w:val="395"/>
          <w:jc w:val="center"/>
        </w:trPr>
        <w:tc>
          <w:tcPr>
            <w:tcW w:w="1689" w:type="dxa"/>
            <w:vAlign w:val="center"/>
          </w:tcPr>
          <w:p w14:paraId="6C3F47F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Wet-wall tower</w:t>
            </w:r>
          </w:p>
        </w:tc>
        <w:tc>
          <w:tcPr>
            <w:tcW w:w="1342" w:type="dxa"/>
            <w:vAlign w:val="center"/>
          </w:tcPr>
          <w:p w14:paraId="52B93B34"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vAlign w:val="center"/>
          </w:tcPr>
          <w:p w14:paraId="27211D9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Termolecular</w:t>
            </w:r>
          </w:p>
        </w:tc>
        <w:tc>
          <w:tcPr>
            <w:tcW w:w="1852" w:type="dxa"/>
            <w:vAlign w:val="center"/>
          </w:tcPr>
          <w:p w14:paraId="3C7A2D8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Arrhenius formula</w:t>
            </w:r>
          </w:p>
        </w:tc>
        <w:tc>
          <w:tcPr>
            <w:tcW w:w="1010" w:type="dxa"/>
            <w:vAlign w:val="center"/>
          </w:tcPr>
          <w:p w14:paraId="3631B344" w14:textId="7FDC254C"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415EEB" w:rsidRPr="000A7793">
              <w:rPr>
                <w:rFonts w:ascii="Times New Roman" w:eastAsia="宋体" w:hAnsi="Times New Roman" w:cs="Times New Roman"/>
                <w:sz w:val="18"/>
                <w:szCs w:val="18"/>
              </w:rPr>
              <w:t>49</w:t>
            </w:r>
            <w:r w:rsidRPr="000A7793">
              <w:rPr>
                <w:rFonts w:ascii="Times New Roman" w:eastAsia="宋体" w:hAnsi="Times New Roman" w:cs="Times New Roman"/>
                <w:sz w:val="18"/>
                <w:szCs w:val="18"/>
              </w:rPr>
              <w:t>]</w:t>
            </w:r>
          </w:p>
        </w:tc>
      </w:tr>
      <w:tr w:rsidR="008D176E" w:rsidRPr="000A7793" w14:paraId="329A6DBD" w14:textId="77777777" w:rsidTr="00A71807">
        <w:trPr>
          <w:trHeight w:val="395"/>
          <w:jc w:val="center"/>
        </w:trPr>
        <w:tc>
          <w:tcPr>
            <w:tcW w:w="1689" w:type="dxa"/>
            <w:vAlign w:val="center"/>
          </w:tcPr>
          <w:p w14:paraId="2914B413"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Sieve-plate column</w:t>
            </w:r>
          </w:p>
        </w:tc>
        <w:tc>
          <w:tcPr>
            <w:tcW w:w="1342" w:type="dxa"/>
            <w:vAlign w:val="center"/>
          </w:tcPr>
          <w:p w14:paraId="1A4D0CC7"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vAlign w:val="center"/>
          </w:tcPr>
          <w:p w14:paraId="18EFF9E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p>
        </w:tc>
        <w:tc>
          <w:tcPr>
            <w:tcW w:w="1852" w:type="dxa"/>
            <w:vAlign w:val="center"/>
          </w:tcPr>
          <w:p w14:paraId="4952AA9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Total mass transfer coefficient</w:t>
            </w:r>
          </w:p>
        </w:tc>
        <w:tc>
          <w:tcPr>
            <w:tcW w:w="1010" w:type="dxa"/>
            <w:vAlign w:val="center"/>
          </w:tcPr>
          <w:p w14:paraId="03677259" w14:textId="14DEC42D"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5</w:t>
            </w:r>
            <w:r w:rsidR="00415EEB" w:rsidRPr="000A7793">
              <w:rPr>
                <w:rFonts w:ascii="Times New Roman" w:eastAsia="宋体" w:hAnsi="Times New Roman" w:cs="Times New Roman"/>
                <w:sz w:val="18"/>
                <w:szCs w:val="18"/>
              </w:rPr>
              <w:t>0</w:t>
            </w:r>
            <w:r w:rsidRPr="000A7793">
              <w:rPr>
                <w:rFonts w:ascii="Times New Roman" w:eastAsia="宋体" w:hAnsi="Times New Roman" w:cs="Times New Roman"/>
                <w:sz w:val="18"/>
                <w:szCs w:val="18"/>
              </w:rPr>
              <w:t>]</w:t>
            </w:r>
          </w:p>
        </w:tc>
      </w:tr>
      <w:tr w:rsidR="008D176E" w:rsidRPr="000A7793" w14:paraId="47FABAF3" w14:textId="77777777" w:rsidTr="00A71807">
        <w:trPr>
          <w:trHeight w:val="395"/>
          <w:jc w:val="center"/>
        </w:trPr>
        <w:tc>
          <w:tcPr>
            <w:tcW w:w="1689" w:type="dxa"/>
            <w:vAlign w:val="center"/>
          </w:tcPr>
          <w:p w14:paraId="6970C858"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Packed tower</w:t>
            </w:r>
          </w:p>
        </w:tc>
        <w:tc>
          <w:tcPr>
            <w:tcW w:w="1342" w:type="dxa"/>
            <w:vAlign w:val="center"/>
          </w:tcPr>
          <w:p w14:paraId="26C2CC42"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Film</w:t>
            </w:r>
          </w:p>
        </w:tc>
        <w:tc>
          <w:tcPr>
            <w:tcW w:w="1904" w:type="dxa"/>
            <w:vAlign w:val="center"/>
          </w:tcPr>
          <w:p w14:paraId="1A22D63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Bimolecular</w:t>
            </w:r>
          </w:p>
        </w:tc>
        <w:tc>
          <w:tcPr>
            <w:tcW w:w="1852" w:type="dxa"/>
            <w:vAlign w:val="center"/>
          </w:tcPr>
          <w:p w14:paraId="4580FECE"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Arrhenius formula</w:t>
            </w:r>
          </w:p>
        </w:tc>
        <w:tc>
          <w:tcPr>
            <w:tcW w:w="1010" w:type="dxa"/>
            <w:vAlign w:val="center"/>
          </w:tcPr>
          <w:p w14:paraId="00BC0439" w14:textId="6B0B70E6"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5</w:t>
            </w:r>
            <w:r w:rsidR="00415EEB" w:rsidRPr="000A7793">
              <w:rPr>
                <w:rFonts w:ascii="Times New Roman" w:eastAsia="宋体" w:hAnsi="Times New Roman" w:cs="Times New Roman"/>
                <w:sz w:val="18"/>
                <w:szCs w:val="18"/>
              </w:rPr>
              <w:t>1</w:t>
            </w:r>
            <w:r w:rsidRPr="000A7793">
              <w:rPr>
                <w:rFonts w:ascii="Times New Roman" w:eastAsia="宋体" w:hAnsi="Times New Roman" w:cs="Times New Roman"/>
                <w:sz w:val="18"/>
                <w:szCs w:val="18"/>
              </w:rPr>
              <w:t>]</w:t>
            </w:r>
          </w:p>
        </w:tc>
      </w:tr>
    </w:tbl>
    <w:p w14:paraId="3CA86706" w14:textId="77777777" w:rsidR="00754681" w:rsidRPr="000A7793" w:rsidRDefault="00754681" w:rsidP="00396CEF">
      <w:pPr>
        <w:widowControl/>
        <w:spacing w:line="360" w:lineRule="auto"/>
        <w:jc w:val="center"/>
        <w:rPr>
          <w:rFonts w:ascii="Times New Roman" w:eastAsia="宋体" w:hAnsi="Times New Roman" w:cs="Times New Roman"/>
        </w:rPr>
      </w:pPr>
      <w:r w:rsidRPr="000A7793">
        <w:rPr>
          <w:rFonts w:ascii="Times New Roman" w:eastAsia="宋体" w:hAnsi="Times New Roman" w:cs="Times New Roman"/>
        </w:rPr>
        <w:br w:type="page"/>
      </w:r>
    </w:p>
    <w:p w14:paraId="1E2A8E31" w14:textId="3E789125" w:rsidR="00754681" w:rsidRPr="000A7793" w:rsidRDefault="00754681" w:rsidP="00396CEF">
      <w:pPr>
        <w:spacing w:line="360" w:lineRule="auto"/>
        <w:jc w:val="center"/>
        <w:rPr>
          <w:rFonts w:ascii="Times New Roman" w:eastAsia="宋体" w:hAnsi="Times New Roman" w:cs="Times New Roman"/>
        </w:rPr>
      </w:pPr>
      <w:bookmarkStart w:id="6" w:name="OLE_LINK10"/>
      <w:r w:rsidRPr="000A7793">
        <w:rPr>
          <w:rFonts w:ascii="Times New Roman" w:eastAsia="宋体" w:hAnsi="Times New Roman" w:cs="Times New Roman"/>
          <w:b/>
          <w:bCs/>
        </w:rPr>
        <w:t>Table S</w:t>
      </w:r>
      <w:r w:rsidR="00FF65B3" w:rsidRPr="000A7793">
        <w:rPr>
          <w:rFonts w:ascii="Times New Roman" w:eastAsia="宋体" w:hAnsi="Times New Roman" w:cs="Times New Roman"/>
          <w:b/>
          <w:bCs/>
        </w:rPr>
        <w:t>4</w:t>
      </w:r>
      <w:r w:rsidRPr="000A7793">
        <w:rPr>
          <w:rFonts w:ascii="Times New Roman" w:eastAsia="宋体" w:hAnsi="Times New Roman" w:cs="Times New Roman"/>
          <w:b/>
          <w:bCs/>
        </w:rPr>
        <w:t xml:space="preserve"> </w:t>
      </w:r>
      <w:r w:rsidRPr="000A7793">
        <w:rPr>
          <w:rFonts w:ascii="Times New Roman" w:eastAsia="宋体" w:hAnsi="Times New Roman" w:cs="Times New Roman"/>
        </w:rPr>
        <w:t>The effect of DESs in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absorption</w:t>
      </w:r>
    </w:p>
    <w:tbl>
      <w:tblPr>
        <w:tblW w:w="7830" w:type="dxa"/>
        <w:jc w:val="center"/>
        <w:tblBorders>
          <w:top w:val="single" w:sz="4" w:space="0" w:color="auto"/>
          <w:bottom w:val="single" w:sz="4" w:space="0" w:color="auto"/>
        </w:tblBorders>
        <w:tblLayout w:type="fixed"/>
        <w:tblLook w:val="01E0" w:firstRow="1" w:lastRow="1" w:firstColumn="1" w:lastColumn="1" w:noHBand="0" w:noVBand="0"/>
      </w:tblPr>
      <w:tblGrid>
        <w:gridCol w:w="1567"/>
        <w:gridCol w:w="710"/>
        <w:gridCol w:w="1709"/>
        <w:gridCol w:w="712"/>
        <w:gridCol w:w="1398"/>
        <w:gridCol w:w="982"/>
        <w:gridCol w:w="752"/>
      </w:tblGrid>
      <w:tr w:rsidR="008D176E" w:rsidRPr="000A7793" w14:paraId="026B0791" w14:textId="77777777" w:rsidTr="00A71807">
        <w:trPr>
          <w:trHeight w:val="414"/>
          <w:jc w:val="center"/>
        </w:trPr>
        <w:tc>
          <w:tcPr>
            <w:tcW w:w="1567" w:type="dxa"/>
            <w:tcBorders>
              <w:top w:val="single" w:sz="4" w:space="0" w:color="auto"/>
              <w:bottom w:val="single" w:sz="4" w:space="0" w:color="auto"/>
            </w:tcBorders>
            <w:vAlign w:val="center"/>
          </w:tcPr>
          <w:bookmarkEnd w:id="6"/>
          <w:p w14:paraId="619DA5FF"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Composition of DESs</w:t>
            </w:r>
          </w:p>
        </w:tc>
        <w:tc>
          <w:tcPr>
            <w:tcW w:w="710" w:type="dxa"/>
            <w:tcBorders>
              <w:top w:val="single" w:sz="4" w:space="0" w:color="auto"/>
              <w:bottom w:val="single" w:sz="4" w:space="0" w:color="auto"/>
            </w:tcBorders>
            <w:vAlign w:val="center"/>
          </w:tcPr>
          <w:p w14:paraId="77F60A50"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Mole</w:t>
            </w:r>
          </w:p>
          <w:p w14:paraId="34F6A7BC"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ratios</w:t>
            </w:r>
          </w:p>
        </w:tc>
        <w:tc>
          <w:tcPr>
            <w:tcW w:w="1709" w:type="dxa"/>
            <w:tcBorders>
              <w:top w:val="single" w:sz="4" w:space="0" w:color="auto"/>
              <w:bottom w:val="single" w:sz="4" w:space="0" w:color="auto"/>
            </w:tcBorders>
            <w:vAlign w:val="center"/>
          </w:tcPr>
          <w:p w14:paraId="758D96C2"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Temperature, pressure</w:t>
            </w:r>
          </w:p>
        </w:tc>
        <w:tc>
          <w:tcPr>
            <w:tcW w:w="712" w:type="dxa"/>
            <w:tcBorders>
              <w:top w:val="single" w:sz="4" w:space="0" w:color="auto"/>
              <w:bottom w:val="single" w:sz="4" w:space="0" w:color="auto"/>
            </w:tcBorders>
            <w:vAlign w:val="center"/>
          </w:tcPr>
          <w:p w14:paraId="53DD8AE9"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Cycles</w:t>
            </w:r>
          </w:p>
        </w:tc>
        <w:tc>
          <w:tcPr>
            <w:tcW w:w="1398" w:type="dxa"/>
            <w:tcBorders>
              <w:top w:val="single" w:sz="4" w:space="0" w:color="auto"/>
              <w:bottom w:val="single" w:sz="4" w:space="0" w:color="auto"/>
            </w:tcBorders>
            <w:vAlign w:val="center"/>
          </w:tcPr>
          <w:p w14:paraId="7526DEFD"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Saturation solubility</w:t>
            </w:r>
          </w:p>
        </w:tc>
        <w:tc>
          <w:tcPr>
            <w:tcW w:w="982" w:type="dxa"/>
            <w:tcBorders>
              <w:top w:val="single" w:sz="4" w:space="0" w:color="auto"/>
              <w:bottom w:val="single" w:sz="4" w:space="0" w:color="auto"/>
            </w:tcBorders>
            <w:vAlign w:val="center"/>
          </w:tcPr>
          <w:p w14:paraId="6F4581A6"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Viscosity</w:t>
            </w:r>
          </w:p>
        </w:tc>
        <w:tc>
          <w:tcPr>
            <w:tcW w:w="752" w:type="dxa"/>
            <w:tcBorders>
              <w:top w:val="single" w:sz="4" w:space="0" w:color="auto"/>
              <w:bottom w:val="single" w:sz="4" w:space="0" w:color="auto"/>
            </w:tcBorders>
            <w:vAlign w:val="center"/>
          </w:tcPr>
          <w:p w14:paraId="588BB351" w14:textId="77777777" w:rsidR="00754681" w:rsidRPr="000A7793" w:rsidRDefault="00754681" w:rsidP="00396CEF">
            <w:pPr>
              <w:widowControl/>
              <w:autoSpaceDE w:val="0"/>
              <w:autoSpaceDN w:val="0"/>
              <w:adjustRightInd w:val="0"/>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Reference</w:t>
            </w:r>
          </w:p>
        </w:tc>
      </w:tr>
      <w:tr w:rsidR="008D176E" w:rsidRPr="000A7793" w14:paraId="792F8E92" w14:textId="77777777" w:rsidTr="00A71807">
        <w:trPr>
          <w:trHeight w:val="414"/>
          <w:jc w:val="center"/>
        </w:trPr>
        <w:tc>
          <w:tcPr>
            <w:tcW w:w="1567" w:type="dxa"/>
            <w:tcBorders>
              <w:top w:val="single" w:sz="4" w:space="0" w:color="auto"/>
              <w:bottom w:val="nil"/>
            </w:tcBorders>
            <w:vAlign w:val="center"/>
          </w:tcPr>
          <w:p w14:paraId="5F0DF0AF"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20"/>
              </w:rPr>
              <w:t>4-MeOHPy / NTf</w:t>
            </w:r>
            <w:r w:rsidRPr="000A7793">
              <w:rPr>
                <w:rFonts w:ascii="Times New Roman" w:eastAsia="宋体" w:hAnsi="Times New Roman" w:cs="Times New Roman"/>
                <w:sz w:val="18"/>
                <w:szCs w:val="20"/>
                <w:vertAlign w:val="subscript"/>
              </w:rPr>
              <w:t>2</w:t>
            </w:r>
          </w:p>
        </w:tc>
        <w:tc>
          <w:tcPr>
            <w:tcW w:w="710" w:type="dxa"/>
            <w:tcBorders>
              <w:top w:val="single" w:sz="4" w:space="0" w:color="auto"/>
              <w:bottom w:val="nil"/>
            </w:tcBorders>
            <w:vAlign w:val="center"/>
          </w:tcPr>
          <w:p w14:paraId="34D74D75"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1:1</w:t>
            </w:r>
          </w:p>
        </w:tc>
        <w:tc>
          <w:tcPr>
            <w:tcW w:w="1709" w:type="dxa"/>
            <w:tcBorders>
              <w:top w:val="single" w:sz="4" w:space="0" w:color="auto"/>
              <w:bottom w:val="nil"/>
            </w:tcBorders>
            <w:vAlign w:val="center"/>
          </w:tcPr>
          <w:p w14:paraId="42C350D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313.15 K, 0.1Mpa</w:t>
            </w:r>
          </w:p>
        </w:tc>
        <w:tc>
          <w:tcPr>
            <w:tcW w:w="712" w:type="dxa"/>
            <w:tcBorders>
              <w:top w:val="single" w:sz="4" w:space="0" w:color="auto"/>
              <w:bottom w:val="nil"/>
            </w:tcBorders>
            <w:vAlign w:val="center"/>
          </w:tcPr>
          <w:p w14:paraId="5A01A2B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w:t>
            </w:r>
          </w:p>
        </w:tc>
        <w:tc>
          <w:tcPr>
            <w:tcW w:w="1398" w:type="dxa"/>
            <w:tcBorders>
              <w:top w:val="single" w:sz="4" w:space="0" w:color="auto"/>
              <w:bottom w:val="nil"/>
            </w:tcBorders>
            <w:vAlign w:val="center"/>
          </w:tcPr>
          <w:p w14:paraId="0BCD5447" w14:textId="77777777" w:rsidR="00754681" w:rsidRPr="000A7793" w:rsidRDefault="00754681" w:rsidP="00396CEF">
            <w:pPr>
              <w:widowControl/>
              <w:spacing w:line="360" w:lineRule="auto"/>
              <w:jc w:val="center"/>
              <w:rPr>
                <w:rFonts w:ascii="Times New Roman" w:eastAsia="宋体" w:hAnsi="Times New Roman" w:cs="Times New Roman"/>
                <w:b/>
                <w:bCs/>
                <w:sz w:val="18"/>
                <w:szCs w:val="18"/>
              </w:rPr>
            </w:pPr>
            <w:r w:rsidRPr="000A7793">
              <w:rPr>
                <w:rFonts w:ascii="Times New Roman" w:eastAsia="宋体" w:hAnsi="Times New Roman" w:cs="Times New Roman"/>
                <w:sz w:val="18"/>
                <w:szCs w:val="18"/>
              </w:rPr>
              <w:t>3.43 mol/mol</w:t>
            </w:r>
          </w:p>
        </w:tc>
        <w:tc>
          <w:tcPr>
            <w:tcW w:w="982" w:type="dxa"/>
            <w:tcBorders>
              <w:top w:val="single" w:sz="4" w:space="0" w:color="auto"/>
              <w:bottom w:val="nil"/>
            </w:tcBorders>
            <w:vAlign w:val="center"/>
          </w:tcPr>
          <w:p w14:paraId="5F26E7EE"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20"/>
              </w:rPr>
              <w:t>0-100</w:t>
            </w:r>
          </w:p>
        </w:tc>
        <w:tc>
          <w:tcPr>
            <w:tcW w:w="752" w:type="dxa"/>
            <w:tcBorders>
              <w:top w:val="single" w:sz="4" w:space="0" w:color="auto"/>
              <w:bottom w:val="nil"/>
            </w:tcBorders>
            <w:vAlign w:val="center"/>
          </w:tcPr>
          <w:p w14:paraId="729C81E1" w14:textId="65D66CD2"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415EEB" w:rsidRPr="000A7793">
              <w:rPr>
                <w:rFonts w:ascii="Times New Roman" w:eastAsia="宋体" w:hAnsi="Times New Roman" w:cs="Times New Roman"/>
                <w:sz w:val="18"/>
                <w:szCs w:val="18"/>
              </w:rPr>
              <w:t>52</w:t>
            </w:r>
            <w:r w:rsidRPr="000A7793">
              <w:rPr>
                <w:rFonts w:ascii="Times New Roman" w:eastAsia="宋体" w:hAnsi="Times New Roman" w:cs="Times New Roman"/>
                <w:sz w:val="18"/>
                <w:szCs w:val="18"/>
              </w:rPr>
              <w:t>]</w:t>
            </w:r>
          </w:p>
        </w:tc>
      </w:tr>
      <w:tr w:rsidR="008D176E" w:rsidRPr="000A7793" w14:paraId="3BCA750C" w14:textId="77777777" w:rsidTr="00A71807">
        <w:trPr>
          <w:trHeight w:val="414"/>
          <w:jc w:val="center"/>
        </w:trPr>
        <w:tc>
          <w:tcPr>
            <w:tcW w:w="1567" w:type="dxa"/>
            <w:tcBorders>
              <w:top w:val="nil"/>
            </w:tcBorders>
            <w:vAlign w:val="center"/>
          </w:tcPr>
          <w:p w14:paraId="307D5E5E"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proofErr w:type="spellStart"/>
            <w:r w:rsidRPr="000A7793">
              <w:rPr>
                <w:rFonts w:ascii="Times New Roman" w:eastAsia="宋体" w:hAnsi="Times New Roman" w:cs="Times New Roman"/>
                <w:kern w:val="0"/>
                <w:sz w:val="18"/>
                <w:szCs w:val="18"/>
              </w:rPr>
              <w:t>TrZ</w:t>
            </w:r>
            <w:proofErr w:type="spellEnd"/>
            <w:r w:rsidRPr="000A7793">
              <w:rPr>
                <w:rFonts w:ascii="Times New Roman" w:eastAsia="宋体" w:hAnsi="Times New Roman" w:cs="Times New Roman"/>
                <w:kern w:val="0"/>
                <w:sz w:val="18"/>
                <w:szCs w:val="18"/>
              </w:rPr>
              <w:t xml:space="preserve"> / Tri</w:t>
            </w:r>
          </w:p>
        </w:tc>
        <w:tc>
          <w:tcPr>
            <w:tcW w:w="710" w:type="dxa"/>
            <w:tcBorders>
              <w:top w:val="nil"/>
            </w:tcBorders>
            <w:vAlign w:val="center"/>
          </w:tcPr>
          <w:p w14:paraId="549A0235"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1:2</w:t>
            </w:r>
          </w:p>
        </w:tc>
        <w:tc>
          <w:tcPr>
            <w:tcW w:w="1709" w:type="dxa"/>
            <w:tcBorders>
              <w:top w:val="nil"/>
            </w:tcBorders>
            <w:vAlign w:val="center"/>
          </w:tcPr>
          <w:p w14:paraId="33537EB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298.15 K, 0.1Mpa</w:t>
            </w:r>
          </w:p>
        </w:tc>
        <w:tc>
          <w:tcPr>
            <w:tcW w:w="712" w:type="dxa"/>
            <w:tcBorders>
              <w:top w:val="nil"/>
            </w:tcBorders>
            <w:vAlign w:val="center"/>
          </w:tcPr>
          <w:p w14:paraId="25316663"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10</w:t>
            </w:r>
          </w:p>
        </w:tc>
        <w:tc>
          <w:tcPr>
            <w:tcW w:w="1398" w:type="dxa"/>
            <w:tcBorders>
              <w:top w:val="nil"/>
            </w:tcBorders>
            <w:vAlign w:val="center"/>
          </w:tcPr>
          <w:p w14:paraId="73319C02"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0.2412 g/g</w:t>
            </w:r>
          </w:p>
        </w:tc>
        <w:tc>
          <w:tcPr>
            <w:tcW w:w="982" w:type="dxa"/>
            <w:tcBorders>
              <w:top w:val="nil"/>
            </w:tcBorders>
            <w:vAlign w:val="center"/>
          </w:tcPr>
          <w:p w14:paraId="513AF3D5"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10-15</w:t>
            </w:r>
          </w:p>
        </w:tc>
        <w:tc>
          <w:tcPr>
            <w:tcW w:w="752" w:type="dxa"/>
            <w:tcBorders>
              <w:top w:val="nil"/>
            </w:tcBorders>
            <w:vAlign w:val="center"/>
          </w:tcPr>
          <w:p w14:paraId="5DA91D00" w14:textId="67E0FD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5</w:t>
            </w:r>
            <w:r w:rsidR="00415EEB" w:rsidRPr="000A7793">
              <w:rPr>
                <w:rFonts w:ascii="Times New Roman" w:eastAsia="宋体" w:hAnsi="Times New Roman" w:cs="Times New Roman"/>
                <w:sz w:val="18"/>
                <w:szCs w:val="18"/>
              </w:rPr>
              <w:t>3</w:t>
            </w:r>
            <w:r w:rsidRPr="000A7793">
              <w:rPr>
                <w:rFonts w:ascii="Times New Roman" w:eastAsia="宋体" w:hAnsi="Times New Roman" w:cs="Times New Roman"/>
                <w:sz w:val="18"/>
                <w:szCs w:val="18"/>
              </w:rPr>
              <w:t>]</w:t>
            </w:r>
          </w:p>
        </w:tc>
      </w:tr>
      <w:tr w:rsidR="008D176E" w:rsidRPr="000A7793" w14:paraId="51A57696" w14:textId="77777777" w:rsidTr="00A71807">
        <w:trPr>
          <w:trHeight w:val="414"/>
          <w:jc w:val="center"/>
        </w:trPr>
        <w:tc>
          <w:tcPr>
            <w:tcW w:w="1567" w:type="dxa"/>
            <w:vAlign w:val="center"/>
          </w:tcPr>
          <w:p w14:paraId="60F9245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proofErr w:type="spellStart"/>
            <w:r w:rsidRPr="000A7793">
              <w:rPr>
                <w:rFonts w:ascii="Times New Roman" w:eastAsia="宋体" w:hAnsi="Times New Roman" w:cs="Times New Roman"/>
                <w:kern w:val="0"/>
                <w:sz w:val="18"/>
                <w:szCs w:val="18"/>
              </w:rPr>
              <w:t>ImZ</w:t>
            </w:r>
            <w:proofErr w:type="spellEnd"/>
            <w:r w:rsidRPr="000A7793">
              <w:rPr>
                <w:rFonts w:ascii="Times New Roman" w:eastAsia="宋体" w:hAnsi="Times New Roman" w:cs="Times New Roman"/>
                <w:kern w:val="0"/>
                <w:sz w:val="18"/>
                <w:szCs w:val="18"/>
              </w:rPr>
              <w:t xml:space="preserve"> /Tri</w:t>
            </w:r>
          </w:p>
        </w:tc>
        <w:tc>
          <w:tcPr>
            <w:tcW w:w="710" w:type="dxa"/>
            <w:vAlign w:val="center"/>
          </w:tcPr>
          <w:p w14:paraId="50F4661D"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1:2</w:t>
            </w:r>
          </w:p>
        </w:tc>
        <w:tc>
          <w:tcPr>
            <w:tcW w:w="1709" w:type="dxa"/>
            <w:vAlign w:val="center"/>
          </w:tcPr>
          <w:p w14:paraId="4AFE4312"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298.15 K, 0.1Mpa</w:t>
            </w:r>
          </w:p>
        </w:tc>
        <w:tc>
          <w:tcPr>
            <w:tcW w:w="712" w:type="dxa"/>
            <w:vAlign w:val="center"/>
          </w:tcPr>
          <w:p w14:paraId="175FEFE5"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10</w:t>
            </w:r>
          </w:p>
        </w:tc>
        <w:tc>
          <w:tcPr>
            <w:tcW w:w="1398" w:type="dxa"/>
            <w:vAlign w:val="center"/>
          </w:tcPr>
          <w:p w14:paraId="5682DC5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0.2303 g/g</w:t>
            </w:r>
          </w:p>
        </w:tc>
        <w:tc>
          <w:tcPr>
            <w:tcW w:w="982" w:type="dxa"/>
            <w:vAlign w:val="center"/>
          </w:tcPr>
          <w:p w14:paraId="754AC4C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5-10</w:t>
            </w:r>
          </w:p>
        </w:tc>
        <w:tc>
          <w:tcPr>
            <w:tcW w:w="752" w:type="dxa"/>
            <w:vAlign w:val="center"/>
          </w:tcPr>
          <w:p w14:paraId="506BC65B" w14:textId="39342810"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5</w:t>
            </w:r>
            <w:r w:rsidR="00415EEB" w:rsidRPr="000A7793">
              <w:rPr>
                <w:rFonts w:ascii="Times New Roman" w:eastAsia="宋体" w:hAnsi="Times New Roman" w:cs="Times New Roman"/>
                <w:sz w:val="18"/>
                <w:szCs w:val="18"/>
              </w:rPr>
              <w:t>3</w:t>
            </w:r>
            <w:r w:rsidRPr="000A7793">
              <w:rPr>
                <w:rFonts w:ascii="Times New Roman" w:eastAsia="宋体" w:hAnsi="Times New Roman" w:cs="Times New Roman"/>
                <w:sz w:val="18"/>
                <w:szCs w:val="18"/>
              </w:rPr>
              <w:t>]</w:t>
            </w:r>
          </w:p>
        </w:tc>
      </w:tr>
      <w:tr w:rsidR="008D176E" w:rsidRPr="000A7793" w14:paraId="2A5B45C9" w14:textId="77777777" w:rsidTr="00A71807">
        <w:trPr>
          <w:trHeight w:val="414"/>
          <w:jc w:val="center"/>
        </w:trPr>
        <w:tc>
          <w:tcPr>
            <w:tcW w:w="1567" w:type="dxa"/>
            <w:vAlign w:val="center"/>
          </w:tcPr>
          <w:p w14:paraId="53C3370D"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proofErr w:type="spellStart"/>
            <w:r w:rsidRPr="000A7793">
              <w:rPr>
                <w:rFonts w:ascii="Times New Roman" w:eastAsia="宋体" w:hAnsi="Times New Roman" w:cs="Times New Roman"/>
                <w:kern w:val="0"/>
                <w:sz w:val="18"/>
                <w:szCs w:val="18"/>
              </w:rPr>
              <w:t>PyZ</w:t>
            </w:r>
            <w:proofErr w:type="spellEnd"/>
            <w:r w:rsidRPr="000A7793">
              <w:rPr>
                <w:rFonts w:ascii="Times New Roman" w:eastAsia="宋体" w:hAnsi="Times New Roman" w:cs="Times New Roman"/>
                <w:kern w:val="0"/>
                <w:sz w:val="18"/>
                <w:szCs w:val="18"/>
              </w:rPr>
              <w:t xml:space="preserve"> / Tri</w:t>
            </w:r>
          </w:p>
        </w:tc>
        <w:tc>
          <w:tcPr>
            <w:tcW w:w="710" w:type="dxa"/>
            <w:vAlign w:val="center"/>
          </w:tcPr>
          <w:p w14:paraId="0323D06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1:2</w:t>
            </w:r>
          </w:p>
        </w:tc>
        <w:tc>
          <w:tcPr>
            <w:tcW w:w="1709" w:type="dxa"/>
            <w:vAlign w:val="center"/>
          </w:tcPr>
          <w:p w14:paraId="0FFEE1B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298.15 K, 0.1Mpa</w:t>
            </w:r>
          </w:p>
        </w:tc>
        <w:tc>
          <w:tcPr>
            <w:tcW w:w="712" w:type="dxa"/>
            <w:vAlign w:val="center"/>
          </w:tcPr>
          <w:p w14:paraId="40265C0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10</w:t>
            </w:r>
          </w:p>
        </w:tc>
        <w:tc>
          <w:tcPr>
            <w:tcW w:w="1398" w:type="dxa"/>
            <w:vAlign w:val="center"/>
          </w:tcPr>
          <w:p w14:paraId="1AA5B05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0.2145 g/g</w:t>
            </w:r>
          </w:p>
        </w:tc>
        <w:tc>
          <w:tcPr>
            <w:tcW w:w="982" w:type="dxa"/>
            <w:vAlign w:val="center"/>
          </w:tcPr>
          <w:p w14:paraId="616AE91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5-10</w:t>
            </w:r>
          </w:p>
        </w:tc>
        <w:tc>
          <w:tcPr>
            <w:tcW w:w="752" w:type="dxa"/>
            <w:vAlign w:val="center"/>
          </w:tcPr>
          <w:p w14:paraId="5D7D48B6" w14:textId="74C79762"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5</w:t>
            </w:r>
            <w:r w:rsidR="00415EEB" w:rsidRPr="000A7793">
              <w:rPr>
                <w:rFonts w:ascii="Times New Roman" w:eastAsia="宋体" w:hAnsi="Times New Roman" w:cs="Times New Roman"/>
                <w:sz w:val="18"/>
                <w:szCs w:val="18"/>
              </w:rPr>
              <w:t>3</w:t>
            </w:r>
            <w:r w:rsidRPr="000A7793">
              <w:rPr>
                <w:rFonts w:ascii="Times New Roman" w:eastAsia="宋体" w:hAnsi="Times New Roman" w:cs="Times New Roman"/>
                <w:sz w:val="18"/>
                <w:szCs w:val="18"/>
              </w:rPr>
              <w:t>]</w:t>
            </w:r>
          </w:p>
        </w:tc>
      </w:tr>
      <w:tr w:rsidR="008D176E" w:rsidRPr="000A7793" w14:paraId="09718CBE" w14:textId="77777777" w:rsidTr="00A71807">
        <w:trPr>
          <w:trHeight w:val="414"/>
          <w:jc w:val="center"/>
        </w:trPr>
        <w:tc>
          <w:tcPr>
            <w:tcW w:w="1567" w:type="dxa"/>
            <w:vAlign w:val="center"/>
          </w:tcPr>
          <w:p w14:paraId="0A90F76E"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proofErr w:type="spellStart"/>
            <w:r w:rsidRPr="000A7793">
              <w:rPr>
                <w:rFonts w:ascii="Times New Roman" w:eastAsia="宋体" w:hAnsi="Times New Roman" w:cs="Times New Roman"/>
                <w:kern w:val="0"/>
                <w:sz w:val="18"/>
                <w:szCs w:val="18"/>
              </w:rPr>
              <w:t>Im</w:t>
            </w:r>
            <w:proofErr w:type="spellEnd"/>
            <w:r w:rsidRPr="000A7793">
              <w:rPr>
                <w:rFonts w:ascii="Times New Roman" w:eastAsia="宋体" w:hAnsi="Times New Roman" w:cs="Times New Roman"/>
                <w:kern w:val="0"/>
                <w:sz w:val="18"/>
                <w:szCs w:val="18"/>
              </w:rPr>
              <w:t xml:space="preserve"> / RES</w:t>
            </w:r>
          </w:p>
        </w:tc>
        <w:tc>
          <w:tcPr>
            <w:tcW w:w="710" w:type="dxa"/>
            <w:vAlign w:val="center"/>
          </w:tcPr>
          <w:p w14:paraId="7670EE68"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1:1</w:t>
            </w:r>
          </w:p>
        </w:tc>
        <w:tc>
          <w:tcPr>
            <w:tcW w:w="1709" w:type="dxa"/>
            <w:vAlign w:val="center"/>
          </w:tcPr>
          <w:p w14:paraId="6576F581"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293.15 K, 0.1 MPa</w:t>
            </w:r>
          </w:p>
        </w:tc>
        <w:tc>
          <w:tcPr>
            <w:tcW w:w="712" w:type="dxa"/>
            <w:vAlign w:val="center"/>
          </w:tcPr>
          <w:p w14:paraId="1FB53B1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w:t>
            </w:r>
          </w:p>
        </w:tc>
        <w:tc>
          <w:tcPr>
            <w:tcW w:w="1398" w:type="dxa"/>
            <w:vAlign w:val="center"/>
          </w:tcPr>
          <w:p w14:paraId="06A8CA6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0.238 g/g</w:t>
            </w:r>
          </w:p>
        </w:tc>
        <w:tc>
          <w:tcPr>
            <w:tcW w:w="982" w:type="dxa"/>
            <w:vAlign w:val="center"/>
          </w:tcPr>
          <w:p w14:paraId="1469C496"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p>
        </w:tc>
        <w:tc>
          <w:tcPr>
            <w:tcW w:w="752" w:type="dxa"/>
            <w:vAlign w:val="center"/>
          </w:tcPr>
          <w:p w14:paraId="38A768F0" w14:textId="42510A95"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kern w:val="0"/>
                <w:sz w:val="18"/>
                <w:szCs w:val="18"/>
              </w:rPr>
              <w:t>5</w:t>
            </w:r>
            <w:r w:rsidR="00415EEB" w:rsidRPr="000A7793">
              <w:rPr>
                <w:rFonts w:ascii="Times New Roman" w:eastAsia="宋体" w:hAnsi="Times New Roman" w:cs="Times New Roman"/>
                <w:kern w:val="0"/>
                <w:sz w:val="18"/>
                <w:szCs w:val="18"/>
              </w:rPr>
              <w:t>4</w:t>
            </w:r>
            <w:r w:rsidRPr="000A7793">
              <w:rPr>
                <w:rFonts w:ascii="Times New Roman" w:eastAsia="宋体" w:hAnsi="Times New Roman" w:cs="Times New Roman"/>
                <w:sz w:val="18"/>
                <w:szCs w:val="18"/>
              </w:rPr>
              <w:t>]</w:t>
            </w:r>
          </w:p>
        </w:tc>
      </w:tr>
      <w:tr w:rsidR="008D176E" w:rsidRPr="000A7793" w14:paraId="288892DB" w14:textId="77777777" w:rsidTr="00A71807">
        <w:trPr>
          <w:trHeight w:val="414"/>
          <w:jc w:val="center"/>
        </w:trPr>
        <w:tc>
          <w:tcPr>
            <w:tcW w:w="1567" w:type="dxa"/>
            <w:vAlign w:val="center"/>
          </w:tcPr>
          <w:p w14:paraId="6431086C"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Tri / Gly</w:t>
            </w:r>
          </w:p>
        </w:tc>
        <w:tc>
          <w:tcPr>
            <w:tcW w:w="710" w:type="dxa"/>
            <w:vAlign w:val="center"/>
          </w:tcPr>
          <w:p w14:paraId="481D084D"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1:3</w:t>
            </w:r>
          </w:p>
        </w:tc>
        <w:tc>
          <w:tcPr>
            <w:tcW w:w="1709" w:type="dxa"/>
            <w:vAlign w:val="center"/>
          </w:tcPr>
          <w:p w14:paraId="1CD44F7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313.15 K, 0.1Mpa</w:t>
            </w:r>
          </w:p>
        </w:tc>
        <w:tc>
          <w:tcPr>
            <w:tcW w:w="712" w:type="dxa"/>
            <w:vAlign w:val="center"/>
          </w:tcPr>
          <w:p w14:paraId="17FA15E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w:t>
            </w:r>
          </w:p>
        </w:tc>
        <w:tc>
          <w:tcPr>
            <w:tcW w:w="1398" w:type="dxa"/>
            <w:vAlign w:val="center"/>
          </w:tcPr>
          <w:p w14:paraId="7026E7D4"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0.115 g/g</w:t>
            </w:r>
          </w:p>
        </w:tc>
        <w:tc>
          <w:tcPr>
            <w:tcW w:w="982" w:type="dxa"/>
            <w:vAlign w:val="center"/>
          </w:tcPr>
          <w:p w14:paraId="1F98909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p>
        </w:tc>
        <w:tc>
          <w:tcPr>
            <w:tcW w:w="752" w:type="dxa"/>
            <w:vAlign w:val="center"/>
          </w:tcPr>
          <w:p w14:paraId="3AF01CAB" w14:textId="57A612C3"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kern w:val="0"/>
                <w:sz w:val="18"/>
                <w:szCs w:val="18"/>
              </w:rPr>
              <w:t>5</w:t>
            </w:r>
            <w:r w:rsidR="00415EEB" w:rsidRPr="000A7793">
              <w:rPr>
                <w:rFonts w:ascii="Times New Roman" w:eastAsia="宋体" w:hAnsi="Times New Roman" w:cs="Times New Roman"/>
                <w:kern w:val="0"/>
                <w:sz w:val="18"/>
                <w:szCs w:val="18"/>
              </w:rPr>
              <w:t>5</w:t>
            </w:r>
            <w:r w:rsidRPr="000A7793">
              <w:rPr>
                <w:rFonts w:ascii="Times New Roman" w:eastAsia="宋体" w:hAnsi="Times New Roman" w:cs="Times New Roman"/>
                <w:sz w:val="18"/>
                <w:szCs w:val="18"/>
              </w:rPr>
              <w:t>]</w:t>
            </w:r>
          </w:p>
        </w:tc>
      </w:tr>
      <w:tr w:rsidR="008D176E" w:rsidRPr="000A7793" w14:paraId="6FFFCDB0" w14:textId="77777777" w:rsidTr="00A71807">
        <w:trPr>
          <w:trHeight w:val="414"/>
          <w:jc w:val="center"/>
        </w:trPr>
        <w:tc>
          <w:tcPr>
            <w:tcW w:w="1567" w:type="dxa"/>
            <w:vAlign w:val="center"/>
          </w:tcPr>
          <w:p w14:paraId="1A76A105"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 xml:space="preserve">Cat, Res / </w:t>
            </w:r>
            <w:proofErr w:type="spellStart"/>
            <w:r w:rsidRPr="000A7793">
              <w:rPr>
                <w:rFonts w:ascii="Times New Roman" w:eastAsia="宋体" w:hAnsi="Times New Roman" w:cs="Times New Roman"/>
                <w:kern w:val="0"/>
                <w:sz w:val="18"/>
                <w:szCs w:val="18"/>
              </w:rPr>
              <w:t>PhOH</w:t>
            </w:r>
            <w:proofErr w:type="spellEnd"/>
          </w:p>
        </w:tc>
        <w:tc>
          <w:tcPr>
            <w:tcW w:w="710" w:type="dxa"/>
            <w:vAlign w:val="center"/>
          </w:tcPr>
          <w:p w14:paraId="540BFEE7"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3:1</w:t>
            </w:r>
          </w:p>
        </w:tc>
        <w:tc>
          <w:tcPr>
            <w:tcW w:w="1709" w:type="dxa"/>
            <w:vAlign w:val="center"/>
          </w:tcPr>
          <w:p w14:paraId="6B3EC5B2"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313.15 K, 0.1Mpa</w:t>
            </w:r>
          </w:p>
        </w:tc>
        <w:tc>
          <w:tcPr>
            <w:tcW w:w="712" w:type="dxa"/>
            <w:vAlign w:val="center"/>
          </w:tcPr>
          <w:p w14:paraId="62333F70"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5</w:t>
            </w:r>
          </w:p>
        </w:tc>
        <w:tc>
          <w:tcPr>
            <w:tcW w:w="1398" w:type="dxa"/>
            <w:vAlign w:val="center"/>
          </w:tcPr>
          <w:p w14:paraId="63159C9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11.862 mol/kg</w:t>
            </w:r>
          </w:p>
        </w:tc>
        <w:tc>
          <w:tcPr>
            <w:tcW w:w="982" w:type="dxa"/>
            <w:vAlign w:val="center"/>
          </w:tcPr>
          <w:p w14:paraId="4F25B5E2"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0-20</w:t>
            </w:r>
          </w:p>
        </w:tc>
        <w:tc>
          <w:tcPr>
            <w:tcW w:w="752" w:type="dxa"/>
            <w:vAlign w:val="center"/>
          </w:tcPr>
          <w:p w14:paraId="74BF7531" w14:textId="1339ABD8"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kern w:val="0"/>
                <w:sz w:val="18"/>
                <w:szCs w:val="18"/>
              </w:rPr>
              <w:t>5</w:t>
            </w:r>
            <w:r w:rsidR="00415EEB" w:rsidRPr="000A7793">
              <w:rPr>
                <w:rFonts w:ascii="Times New Roman" w:eastAsia="宋体" w:hAnsi="Times New Roman" w:cs="Times New Roman"/>
                <w:kern w:val="0"/>
                <w:sz w:val="18"/>
                <w:szCs w:val="18"/>
              </w:rPr>
              <w:t>6</w:t>
            </w:r>
            <w:r w:rsidRPr="000A7793">
              <w:rPr>
                <w:rFonts w:ascii="Times New Roman" w:eastAsia="宋体" w:hAnsi="Times New Roman" w:cs="Times New Roman"/>
                <w:sz w:val="18"/>
                <w:szCs w:val="18"/>
              </w:rPr>
              <w:t>]</w:t>
            </w:r>
          </w:p>
        </w:tc>
      </w:tr>
      <w:tr w:rsidR="008D176E" w:rsidRPr="000A7793" w14:paraId="69B02AAE" w14:textId="77777777" w:rsidTr="00A71807">
        <w:trPr>
          <w:trHeight w:val="414"/>
          <w:jc w:val="center"/>
        </w:trPr>
        <w:tc>
          <w:tcPr>
            <w:tcW w:w="1567" w:type="dxa"/>
            <w:vAlign w:val="center"/>
          </w:tcPr>
          <w:p w14:paraId="4382C090"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 xml:space="preserve">MAA / </w:t>
            </w:r>
            <w:proofErr w:type="spellStart"/>
            <w:r w:rsidRPr="000A7793">
              <w:rPr>
                <w:rFonts w:ascii="Times New Roman" w:eastAsia="宋体" w:hAnsi="Times New Roman" w:cs="Times New Roman"/>
                <w:kern w:val="0"/>
                <w:sz w:val="18"/>
                <w:szCs w:val="18"/>
              </w:rPr>
              <w:t>TetrZ</w:t>
            </w:r>
            <w:proofErr w:type="spellEnd"/>
          </w:p>
        </w:tc>
        <w:tc>
          <w:tcPr>
            <w:tcW w:w="710" w:type="dxa"/>
            <w:vAlign w:val="center"/>
          </w:tcPr>
          <w:p w14:paraId="0A22363F"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2:1</w:t>
            </w:r>
          </w:p>
        </w:tc>
        <w:tc>
          <w:tcPr>
            <w:tcW w:w="1709" w:type="dxa"/>
            <w:vAlign w:val="center"/>
          </w:tcPr>
          <w:p w14:paraId="5D87D1D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313.15K, 0.1Mpa</w:t>
            </w:r>
          </w:p>
        </w:tc>
        <w:tc>
          <w:tcPr>
            <w:tcW w:w="712" w:type="dxa"/>
            <w:vAlign w:val="center"/>
          </w:tcPr>
          <w:p w14:paraId="3E8B40B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w:t>
            </w:r>
          </w:p>
        </w:tc>
        <w:tc>
          <w:tcPr>
            <w:tcW w:w="1398" w:type="dxa"/>
            <w:vAlign w:val="center"/>
          </w:tcPr>
          <w:p w14:paraId="7F3D7042"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 xml:space="preserve">0.136 </w:t>
            </w:r>
            <w:r w:rsidRPr="000A7793">
              <w:rPr>
                <w:rFonts w:ascii="Times New Roman" w:eastAsia="宋体" w:hAnsi="Times New Roman" w:cs="Times New Roman"/>
                <w:sz w:val="18"/>
                <w:szCs w:val="18"/>
              </w:rPr>
              <w:t>g/g</w:t>
            </w:r>
          </w:p>
        </w:tc>
        <w:tc>
          <w:tcPr>
            <w:tcW w:w="982" w:type="dxa"/>
            <w:vAlign w:val="center"/>
          </w:tcPr>
          <w:p w14:paraId="73088963"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32-34</w:t>
            </w:r>
          </w:p>
        </w:tc>
        <w:tc>
          <w:tcPr>
            <w:tcW w:w="752" w:type="dxa"/>
            <w:vAlign w:val="center"/>
          </w:tcPr>
          <w:p w14:paraId="298B8D15" w14:textId="6A7472E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5</w:t>
            </w:r>
            <w:r w:rsidR="00415EEB" w:rsidRPr="000A7793">
              <w:rPr>
                <w:rFonts w:ascii="Times New Roman" w:eastAsia="宋体" w:hAnsi="Times New Roman" w:cs="Times New Roman"/>
                <w:sz w:val="18"/>
                <w:szCs w:val="18"/>
              </w:rPr>
              <w:t>7</w:t>
            </w:r>
            <w:r w:rsidRPr="000A7793">
              <w:rPr>
                <w:rFonts w:ascii="Times New Roman" w:eastAsia="宋体" w:hAnsi="Times New Roman" w:cs="Times New Roman"/>
                <w:sz w:val="18"/>
                <w:szCs w:val="18"/>
              </w:rPr>
              <w:t>]</w:t>
            </w:r>
          </w:p>
        </w:tc>
      </w:tr>
      <w:tr w:rsidR="008D176E" w:rsidRPr="000A7793" w14:paraId="3C793CF7" w14:textId="77777777" w:rsidTr="00A71807">
        <w:trPr>
          <w:trHeight w:val="414"/>
          <w:jc w:val="center"/>
        </w:trPr>
        <w:tc>
          <w:tcPr>
            <w:tcW w:w="1567" w:type="dxa"/>
            <w:vAlign w:val="center"/>
          </w:tcPr>
          <w:p w14:paraId="26623D10"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NH</w:t>
            </w:r>
            <w:r w:rsidRPr="000A7793">
              <w:rPr>
                <w:rFonts w:ascii="Times New Roman" w:eastAsia="宋体" w:hAnsi="Times New Roman" w:cs="Times New Roman"/>
                <w:kern w:val="0"/>
                <w:sz w:val="18"/>
                <w:szCs w:val="18"/>
                <w:vertAlign w:val="subscript"/>
              </w:rPr>
              <w:t>4</w:t>
            </w:r>
            <w:r w:rsidRPr="000A7793">
              <w:rPr>
                <w:rFonts w:ascii="Times New Roman" w:eastAsia="宋体" w:hAnsi="Times New Roman" w:cs="Times New Roman"/>
                <w:kern w:val="0"/>
                <w:sz w:val="18"/>
                <w:szCs w:val="18"/>
              </w:rPr>
              <w:t>SCN / Gly</w:t>
            </w:r>
          </w:p>
        </w:tc>
        <w:tc>
          <w:tcPr>
            <w:tcW w:w="710" w:type="dxa"/>
            <w:vAlign w:val="center"/>
          </w:tcPr>
          <w:p w14:paraId="21CD5F36"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2:3</w:t>
            </w:r>
          </w:p>
        </w:tc>
        <w:tc>
          <w:tcPr>
            <w:tcW w:w="1709" w:type="dxa"/>
            <w:vAlign w:val="center"/>
          </w:tcPr>
          <w:p w14:paraId="5ECA70A2"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313.15K, 0.1MPa</w:t>
            </w:r>
          </w:p>
        </w:tc>
        <w:tc>
          <w:tcPr>
            <w:tcW w:w="712" w:type="dxa"/>
            <w:vAlign w:val="center"/>
          </w:tcPr>
          <w:p w14:paraId="174FE4C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25</w:t>
            </w:r>
          </w:p>
        </w:tc>
        <w:tc>
          <w:tcPr>
            <w:tcW w:w="1398" w:type="dxa"/>
            <w:vAlign w:val="center"/>
          </w:tcPr>
          <w:p w14:paraId="6F084550"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0.176</w:t>
            </w:r>
            <w:r w:rsidRPr="000A7793">
              <w:rPr>
                <w:rFonts w:ascii="Times New Roman" w:eastAsia="宋体" w:hAnsi="Times New Roman" w:cs="Times New Roman"/>
                <w:kern w:val="0"/>
                <w:sz w:val="18"/>
                <w:szCs w:val="18"/>
              </w:rPr>
              <w:tab/>
              <w:t xml:space="preserve"> </w:t>
            </w:r>
            <w:r w:rsidRPr="000A7793">
              <w:rPr>
                <w:rFonts w:ascii="Times New Roman" w:eastAsia="宋体" w:hAnsi="Times New Roman" w:cs="Times New Roman"/>
                <w:sz w:val="18"/>
                <w:szCs w:val="18"/>
              </w:rPr>
              <w:t>g/g</w:t>
            </w:r>
          </w:p>
        </w:tc>
        <w:tc>
          <w:tcPr>
            <w:tcW w:w="982" w:type="dxa"/>
            <w:vAlign w:val="center"/>
          </w:tcPr>
          <w:p w14:paraId="2B57EF8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w:t>
            </w:r>
          </w:p>
        </w:tc>
        <w:tc>
          <w:tcPr>
            <w:tcW w:w="752" w:type="dxa"/>
            <w:vAlign w:val="center"/>
          </w:tcPr>
          <w:p w14:paraId="678D8D79" w14:textId="28B6FB72"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5</w:t>
            </w:r>
            <w:r w:rsidR="00415EEB" w:rsidRPr="000A7793">
              <w:rPr>
                <w:rFonts w:ascii="Times New Roman" w:eastAsia="宋体" w:hAnsi="Times New Roman" w:cs="Times New Roman"/>
                <w:sz w:val="18"/>
                <w:szCs w:val="18"/>
              </w:rPr>
              <w:t>8</w:t>
            </w:r>
            <w:r w:rsidRPr="000A7793">
              <w:rPr>
                <w:rFonts w:ascii="Times New Roman" w:eastAsia="宋体" w:hAnsi="Times New Roman" w:cs="Times New Roman"/>
                <w:sz w:val="18"/>
                <w:szCs w:val="18"/>
              </w:rPr>
              <w:t>]</w:t>
            </w:r>
          </w:p>
        </w:tc>
      </w:tr>
      <w:tr w:rsidR="008D176E" w:rsidRPr="000A7793" w14:paraId="294AF0C3" w14:textId="77777777" w:rsidTr="00A71807">
        <w:trPr>
          <w:trHeight w:val="414"/>
          <w:jc w:val="center"/>
        </w:trPr>
        <w:tc>
          <w:tcPr>
            <w:tcW w:w="1567" w:type="dxa"/>
            <w:tcBorders>
              <w:bottom w:val="nil"/>
            </w:tcBorders>
            <w:vAlign w:val="center"/>
          </w:tcPr>
          <w:p w14:paraId="122499B0"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proofErr w:type="spellStart"/>
            <w:r w:rsidRPr="000A7793">
              <w:rPr>
                <w:rFonts w:ascii="Times New Roman" w:eastAsia="宋体" w:hAnsi="Times New Roman" w:cs="Times New Roman"/>
                <w:kern w:val="0"/>
                <w:sz w:val="18"/>
                <w:szCs w:val="18"/>
              </w:rPr>
              <w:t>Im</w:t>
            </w:r>
            <w:proofErr w:type="spellEnd"/>
            <w:r w:rsidRPr="000A7793">
              <w:rPr>
                <w:rFonts w:ascii="Times New Roman" w:eastAsia="宋体" w:hAnsi="Times New Roman" w:cs="Times New Roman"/>
                <w:kern w:val="0"/>
                <w:sz w:val="18"/>
                <w:szCs w:val="18"/>
              </w:rPr>
              <w:t>][NO</w:t>
            </w:r>
            <w:r w:rsidRPr="000A7793">
              <w:rPr>
                <w:rFonts w:ascii="Times New Roman" w:eastAsia="宋体" w:hAnsi="Times New Roman" w:cs="Times New Roman"/>
                <w:kern w:val="0"/>
                <w:sz w:val="18"/>
                <w:szCs w:val="18"/>
                <w:vertAlign w:val="subscript"/>
              </w:rPr>
              <w:t>3</w:t>
            </w:r>
            <w:r w:rsidRPr="000A7793">
              <w:rPr>
                <w:rFonts w:ascii="Times New Roman" w:eastAsia="宋体" w:hAnsi="Times New Roman" w:cs="Times New Roman"/>
                <w:kern w:val="0"/>
                <w:sz w:val="18"/>
                <w:szCs w:val="18"/>
              </w:rPr>
              <w:t>] / EG</w:t>
            </w:r>
          </w:p>
        </w:tc>
        <w:tc>
          <w:tcPr>
            <w:tcW w:w="710" w:type="dxa"/>
            <w:tcBorders>
              <w:bottom w:val="nil"/>
            </w:tcBorders>
            <w:vAlign w:val="center"/>
          </w:tcPr>
          <w:p w14:paraId="2128B321"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1:3</w:t>
            </w:r>
          </w:p>
        </w:tc>
        <w:tc>
          <w:tcPr>
            <w:tcW w:w="1709" w:type="dxa"/>
            <w:tcBorders>
              <w:bottom w:val="nil"/>
            </w:tcBorders>
            <w:vAlign w:val="center"/>
          </w:tcPr>
          <w:p w14:paraId="316CC9B0"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313.15K, 0.1Mpa</w:t>
            </w:r>
          </w:p>
        </w:tc>
        <w:tc>
          <w:tcPr>
            <w:tcW w:w="712" w:type="dxa"/>
            <w:tcBorders>
              <w:bottom w:val="nil"/>
            </w:tcBorders>
            <w:vAlign w:val="center"/>
          </w:tcPr>
          <w:p w14:paraId="35823077"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6</w:t>
            </w:r>
          </w:p>
        </w:tc>
        <w:tc>
          <w:tcPr>
            <w:tcW w:w="1398" w:type="dxa"/>
            <w:tcBorders>
              <w:bottom w:val="nil"/>
            </w:tcBorders>
            <w:vAlign w:val="center"/>
          </w:tcPr>
          <w:p w14:paraId="5E8A22A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0.172</w:t>
            </w:r>
            <w:r w:rsidRPr="000A7793">
              <w:rPr>
                <w:rFonts w:ascii="Times New Roman" w:eastAsia="宋体" w:hAnsi="Times New Roman" w:cs="Times New Roman"/>
                <w:kern w:val="0"/>
                <w:sz w:val="18"/>
                <w:szCs w:val="18"/>
              </w:rPr>
              <w:tab/>
              <w:t xml:space="preserve"> </w:t>
            </w:r>
            <w:r w:rsidRPr="000A7793">
              <w:rPr>
                <w:rFonts w:ascii="Times New Roman" w:eastAsia="宋体" w:hAnsi="Times New Roman" w:cs="Times New Roman"/>
                <w:sz w:val="18"/>
                <w:szCs w:val="18"/>
              </w:rPr>
              <w:t>g/g</w:t>
            </w:r>
          </w:p>
        </w:tc>
        <w:tc>
          <w:tcPr>
            <w:tcW w:w="982" w:type="dxa"/>
            <w:tcBorders>
              <w:bottom w:val="nil"/>
            </w:tcBorders>
            <w:vAlign w:val="center"/>
          </w:tcPr>
          <w:p w14:paraId="7460C10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8-10</w:t>
            </w:r>
          </w:p>
        </w:tc>
        <w:tc>
          <w:tcPr>
            <w:tcW w:w="752" w:type="dxa"/>
            <w:tcBorders>
              <w:bottom w:val="nil"/>
            </w:tcBorders>
            <w:vAlign w:val="center"/>
          </w:tcPr>
          <w:p w14:paraId="3ED916C2" w14:textId="376A4C2E"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t>
            </w:r>
            <w:r w:rsidR="00415EEB" w:rsidRPr="000A7793">
              <w:rPr>
                <w:rFonts w:ascii="Times New Roman" w:eastAsia="宋体" w:hAnsi="Times New Roman" w:cs="Times New Roman"/>
                <w:sz w:val="18"/>
                <w:szCs w:val="18"/>
              </w:rPr>
              <w:t>59</w:t>
            </w:r>
            <w:r w:rsidRPr="000A7793">
              <w:rPr>
                <w:rFonts w:ascii="Times New Roman" w:eastAsia="宋体" w:hAnsi="Times New Roman" w:cs="Times New Roman"/>
                <w:sz w:val="18"/>
                <w:szCs w:val="18"/>
              </w:rPr>
              <w:t>]</w:t>
            </w:r>
          </w:p>
        </w:tc>
      </w:tr>
      <w:tr w:rsidR="00754681" w:rsidRPr="000A7793" w14:paraId="103AABFB" w14:textId="77777777" w:rsidTr="00A71807">
        <w:trPr>
          <w:trHeight w:val="414"/>
          <w:jc w:val="center"/>
        </w:trPr>
        <w:tc>
          <w:tcPr>
            <w:tcW w:w="1567" w:type="dxa"/>
            <w:tcBorders>
              <w:top w:val="nil"/>
              <w:bottom w:val="single" w:sz="4" w:space="0" w:color="auto"/>
            </w:tcBorders>
            <w:vAlign w:val="center"/>
          </w:tcPr>
          <w:p w14:paraId="3B032BFA"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[APH]NO</w:t>
            </w:r>
            <w:r w:rsidRPr="000A7793">
              <w:rPr>
                <w:rFonts w:ascii="Times New Roman" w:eastAsia="宋体" w:hAnsi="Times New Roman" w:cs="Times New Roman"/>
                <w:kern w:val="0"/>
                <w:sz w:val="18"/>
                <w:szCs w:val="18"/>
                <w:vertAlign w:val="subscript"/>
              </w:rPr>
              <w:t>3</w:t>
            </w:r>
            <w:r w:rsidRPr="000A7793">
              <w:rPr>
                <w:rFonts w:ascii="Times New Roman" w:eastAsia="宋体" w:hAnsi="Times New Roman" w:cs="Times New Roman"/>
                <w:kern w:val="0"/>
                <w:sz w:val="18"/>
                <w:szCs w:val="18"/>
              </w:rPr>
              <w:t xml:space="preserve"> / Res</w:t>
            </w:r>
          </w:p>
        </w:tc>
        <w:tc>
          <w:tcPr>
            <w:tcW w:w="710" w:type="dxa"/>
            <w:tcBorders>
              <w:top w:val="nil"/>
              <w:bottom w:val="single" w:sz="4" w:space="0" w:color="auto"/>
            </w:tcBorders>
            <w:vAlign w:val="center"/>
          </w:tcPr>
          <w:p w14:paraId="03BAE613"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2:1</w:t>
            </w:r>
          </w:p>
        </w:tc>
        <w:tc>
          <w:tcPr>
            <w:tcW w:w="1709" w:type="dxa"/>
            <w:tcBorders>
              <w:top w:val="nil"/>
              <w:bottom w:val="single" w:sz="4" w:space="0" w:color="auto"/>
            </w:tcBorders>
            <w:vAlign w:val="center"/>
          </w:tcPr>
          <w:p w14:paraId="3419089F"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293 K and 1 bar</w:t>
            </w:r>
          </w:p>
        </w:tc>
        <w:tc>
          <w:tcPr>
            <w:tcW w:w="712" w:type="dxa"/>
            <w:tcBorders>
              <w:top w:val="nil"/>
              <w:bottom w:val="single" w:sz="4" w:space="0" w:color="auto"/>
            </w:tcBorders>
            <w:vAlign w:val="center"/>
          </w:tcPr>
          <w:p w14:paraId="3F6C8B9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w:t>
            </w:r>
          </w:p>
        </w:tc>
        <w:tc>
          <w:tcPr>
            <w:tcW w:w="1398" w:type="dxa"/>
            <w:tcBorders>
              <w:top w:val="nil"/>
              <w:bottom w:val="single" w:sz="4" w:space="0" w:color="auto"/>
            </w:tcBorders>
            <w:vAlign w:val="center"/>
          </w:tcPr>
          <w:p w14:paraId="4232D7F2"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 xml:space="preserve">0.253 </w:t>
            </w:r>
            <w:r w:rsidRPr="000A7793">
              <w:rPr>
                <w:rFonts w:ascii="Times New Roman" w:eastAsia="宋体" w:hAnsi="Times New Roman" w:cs="Times New Roman"/>
                <w:sz w:val="18"/>
                <w:szCs w:val="18"/>
              </w:rPr>
              <w:t>g/g</w:t>
            </w:r>
          </w:p>
        </w:tc>
        <w:tc>
          <w:tcPr>
            <w:tcW w:w="982" w:type="dxa"/>
            <w:tcBorders>
              <w:top w:val="nil"/>
              <w:bottom w:val="single" w:sz="4" w:space="0" w:color="auto"/>
            </w:tcBorders>
            <w:vAlign w:val="center"/>
          </w:tcPr>
          <w:p w14:paraId="33934771"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2250-2500</w:t>
            </w:r>
          </w:p>
        </w:tc>
        <w:tc>
          <w:tcPr>
            <w:tcW w:w="752" w:type="dxa"/>
            <w:tcBorders>
              <w:top w:val="nil"/>
              <w:bottom w:val="single" w:sz="4" w:space="0" w:color="auto"/>
            </w:tcBorders>
            <w:vAlign w:val="center"/>
          </w:tcPr>
          <w:p w14:paraId="34287C70" w14:textId="0D3985BF"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0</w:t>
            </w:r>
            <w:r w:rsidRPr="000A7793">
              <w:rPr>
                <w:rFonts w:ascii="Times New Roman" w:eastAsia="宋体" w:hAnsi="Times New Roman" w:cs="Times New Roman"/>
                <w:sz w:val="18"/>
                <w:szCs w:val="18"/>
              </w:rPr>
              <w:t>]</w:t>
            </w:r>
          </w:p>
        </w:tc>
      </w:tr>
    </w:tbl>
    <w:p w14:paraId="35E4871D" w14:textId="198DC2D2" w:rsidR="00754681" w:rsidRPr="000A7793" w:rsidRDefault="00754681" w:rsidP="00396CEF">
      <w:pPr>
        <w:spacing w:line="360" w:lineRule="auto"/>
        <w:ind w:firstLineChars="200" w:firstLine="422"/>
        <w:jc w:val="center"/>
        <w:rPr>
          <w:rFonts w:ascii="Times New Roman" w:eastAsia="宋体" w:hAnsi="Times New Roman" w:cs="Times New Roman"/>
          <w:b/>
          <w:bCs/>
          <w:i/>
          <w:iCs/>
        </w:rPr>
      </w:pPr>
    </w:p>
    <w:p w14:paraId="6E77A3AA" w14:textId="77777777" w:rsidR="00754681" w:rsidRPr="000A7793" w:rsidRDefault="00754681" w:rsidP="00396CEF">
      <w:pPr>
        <w:widowControl/>
        <w:spacing w:line="360" w:lineRule="auto"/>
        <w:jc w:val="center"/>
        <w:rPr>
          <w:rFonts w:ascii="Times New Roman" w:eastAsia="宋体" w:hAnsi="Times New Roman" w:cs="Times New Roman"/>
          <w:b/>
          <w:bCs/>
          <w:i/>
          <w:iCs/>
        </w:rPr>
      </w:pPr>
      <w:r w:rsidRPr="000A7793">
        <w:rPr>
          <w:rFonts w:ascii="Times New Roman" w:eastAsia="宋体" w:hAnsi="Times New Roman" w:cs="Times New Roman"/>
          <w:b/>
          <w:bCs/>
          <w:i/>
          <w:iCs/>
        </w:rPr>
        <w:br w:type="page"/>
      </w:r>
    </w:p>
    <w:p w14:paraId="1B202F97" w14:textId="6819C13E" w:rsidR="00754681" w:rsidRPr="000A7793" w:rsidRDefault="00754681" w:rsidP="00396CEF">
      <w:pPr>
        <w:spacing w:line="360" w:lineRule="auto"/>
        <w:jc w:val="center"/>
        <w:rPr>
          <w:rFonts w:ascii="Times New Roman" w:eastAsia="宋体" w:hAnsi="Times New Roman" w:cs="Times New Roman"/>
        </w:rPr>
      </w:pPr>
      <w:r w:rsidRPr="000A7793">
        <w:rPr>
          <w:rFonts w:ascii="Times New Roman" w:eastAsia="宋体" w:hAnsi="Times New Roman" w:cs="Times New Roman"/>
          <w:b/>
          <w:bCs/>
        </w:rPr>
        <w:t>Table S</w:t>
      </w:r>
      <w:r w:rsidR="00FF65B3" w:rsidRPr="000A7793">
        <w:rPr>
          <w:rFonts w:ascii="Times New Roman" w:eastAsia="宋体" w:hAnsi="Times New Roman" w:cs="Times New Roman"/>
          <w:b/>
          <w:bCs/>
        </w:rPr>
        <w:t>5</w:t>
      </w:r>
      <w:r w:rsidRPr="000A7793">
        <w:rPr>
          <w:rFonts w:ascii="Times New Roman" w:eastAsia="宋体" w:hAnsi="Times New Roman" w:cs="Times New Roman"/>
          <w:b/>
          <w:bCs/>
        </w:rPr>
        <w:t xml:space="preserve"> </w:t>
      </w:r>
      <w:r w:rsidRPr="000A7793">
        <w:rPr>
          <w:rFonts w:ascii="Times New Roman" w:eastAsia="宋体" w:hAnsi="Times New Roman" w:cs="Times New Roman"/>
        </w:rPr>
        <w:t>The effect of ILs in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absorption</w:t>
      </w:r>
    </w:p>
    <w:tbl>
      <w:tblPr>
        <w:tblW w:w="7871" w:type="dxa"/>
        <w:jc w:val="center"/>
        <w:tblBorders>
          <w:top w:val="single" w:sz="4" w:space="0" w:color="auto"/>
          <w:bottom w:val="single" w:sz="4" w:space="0" w:color="auto"/>
        </w:tblBorders>
        <w:tblLayout w:type="fixed"/>
        <w:tblLook w:val="01E0" w:firstRow="1" w:lastRow="1" w:firstColumn="1" w:lastColumn="1" w:noHBand="0" w:noVBand="0"/>
      </w:tblPr>
      <w:tblGrid>
        <w:gridCol w:w="2214"/>
        <w:gridCol w:w="2117"/>
        <w:gridCol w:w="1232"/>
        <w:gridCol w:w="1343"/>
        <w:gridCol w:w="965"/>
      </w:tblGrid>
      <w:tr w:rsidR="008D176E" w:rsidRPr="000A7793" w14:paraId="6FCCEA33" w14:textId="77777777" w:rsidTr="00A71807">
        <w:trPr>
          <w:trHeight w:val="363"/>
          <w:jc w:val="center"/>
        </w:trPr>
        <w:tc>
          <w:tcPr>
            <w:tcW w:w="2214" w:type="dxa"/>
            <w:tcBorders>
              <w:top w:val="single" w:sz="4" w:space="0" w:color="auto"/>
              <w:bottom w:val="single" w:sz="4" w:space="0" w:color="auto"/>
            </w:tcBorders>
            <w:vAlign w:val="center"/>
          </w:tcPr>
          <w:p w14:paraId="3CCE7558"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Composition of ILs</w:t>
            </w:r>
          </w:p>
        </w:tc>
        <w:tc>
          <w:tcPr>
            <w:tcW w:w="2117" w:type="dxa"/>
            <w:tcBorders>
              <w:top w:val="single" w:sz="4" w:space="0" w:color="auto"/>
              <w:bottom w:val="single" w:sz="4" w:space="0" w:color="auto"/>
            </w:tcBorders>
            <w:vAlign w:val="center"/>
          </w:tcPr>
          <w:p w14:paraId="5778815E"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Temperature, pressure</w:t>
            </w:r>
          </w:p>
        </w:tc>
        <w:tc>
          <w:tcPr>
            <w:tcW w:w="1232" w:type="dxa"/>
            <w:tcBorders>
              <w:top w:val="single" w:sz="4" w:space="0" w:color="auto"/>
              <w:bottom w:val="single" w:sz="4" w:space="0" w:color="auto"/>
            </w:tcBorders>
            <w:vAlign w:val="center"/>
          </w:tcPr>
          <w:p w14:paraId="4507C92B"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Saturation solubility</w:t>
            </w:r>
          </w:p>
        </w:tc>
        <w:tc>
          <w:tcPr>
            <w:tcW w:w="1343" w:type="dxa"/>
            <w:tcBorders>
              <w:top w:val="single" w:sz="4" w:space="0" w:color="auto"/>
              <w:bottom w:val="single" w:sz="4" w:space="0" w:color="auto"/>
            </w:tcBorders>
            <w:vAlign w:val="center"/>
          </w:tcPr>
          <w:p w14:paraId="56BD3E2D"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Viscosity</w:t>
            </w:r>
          </w:p>
        </w:tc>
        <w:tc>
          <w:tcPr>
            <w:tcW w:w="965" w:type="dxa"/>
            <w:tcBorders>
              <w:top w:val="single" w:sz="4" w:space="0" w:color="auto"/>
              <w:bottom w:val="single" w:sz="4" w:space="0" w:color="auto"/>
            </w:tcBorders>
            <w:vAlign w:val="center"/>
          </w:tcPr>
          <w:p w14:paraId="3507301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Reference</w:t>
            </w:r>
          </w:p>
        </w:tc>
      </w:tr>
      <w:tr w:rsidR="008D176E" w:rsidRPr="000A7793" w14:paraId="4178E7F7" w14:textId="77777777" w:rsidTr="00A71807">
        <w:trPr>
          <w:trHeight w:val="363"/>
          <w:jc w:val="center"/>
        </w:trPr>
        <w:tc>
          <w:tcPr>
            <w:tcW w:w="2214" w:type="dxa"/>
            <w:tcBorders>
              <w:top w:val="single" w:sz="4" w:space="0" w:color="auto"/>
            </w:tcBorders>
            <w:vAlign w:val="center"/>
          </w:tcPr>
          <w:p w14:paraId="23418C6F"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proofErr w:type="spellStart"/>
            <w:r w:rsidRPr="000A7793">
              <w:rPr>
                <w:rFonts w:ascii="Times New Roman" w:eastAsia="宋体" w:hAnsi="Times New Roman" w:cs="Times New Roman"/>
                <w:kern w:val="0"/>
                <w:sz w:val="18"/>
                <w:szCs w:val="18"/>
              </w:rPr>
              <w:t>EtOHmim</w:t>
            </w:r>
            <w:proofErr w:type="spellEnd"/>
            <w:r w:rsidRPr="000A7793">
              <w:rPr>
                <w:rFonts w:ascii="Times New Roman" w:eastAsia="宋体" w:hAnsi="Times New Roman" w:cs="Times New Roman"/>
                <w:kern w:val="0"/>
                <w:sz w:val="18"/>
                <w:szCs w:val="18"/>
              </w:rPr>
              <w:t>][DCA]</w:t>
            </w:r>
          </w:p>
        </w:tc>
        <w:tc>
          <w:tcPr>
            <w:tcW w:w="2117" w:type="dxa"/>
            <w:tcBorders>
              <w:top w:val="single" w:sz="4" w:space="0" w:color="auto"/>
            </w:tcBorders>
            <w:vAlign w:val="center"/>
          </w:tcPr>
          <w:p w14:paraId="24B5330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313.15K, 0.1</w:t>
            </w:r>
            <w:r w:rsidRPr="000A7793">
              <w:rPr>
                <w:rFonts w:ascii="Times New Roman" w:eastAsia="宋体" w:hAnsi="Times New Roman" w:cs="Times New Roman"/>
                <w:sz w:val="18"/>
                <w:szCs w:val="18"/>
              </w:rPr>
              <w:t xml:space="preserve"> MPa</w:t>
            </w:r>
          </w:p>
        </w:tc>
        <w:tc>
          <w:tcPr>
            <w:tcW w:w="1232" w:type="dxa"/>
            <w:tcBorders>
              <w:top w:val="single" w:sz="4" w:space="0" w:color="auto"/>
            </w:tcBorders>
            <w:vAlign w:val="center"/>
          </w:tcPr>
          <w:p w14:paraId="56725513"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0.058</w:t>
            </w:r>
            <w:r w:rsidRPr="000A7793">
              <w:rPr>
                <w:rFonts w:ascii="Times New Roman" w:eastAsia="宋体" w:hAnsi="Times New Roman" w:cs="Times New Roman"/>
                <w:kern w:val="0"/>
                <w:sz w:val="18"/>
                <w:szCs w:val="18"/>
              </w:rPr>
              <w:tab/>
            </w:r>
            <w:r w:rsidRPr="000A7793">
              <w:rPr>
                <w:rFonts w:ascii="Times New Roman" w:eastAsia="宋体" w:hAnsi="Times New Roman" w:cs="Times New Roman"/>
                <w:sz w:val="18"/>
                <w:szCs w:val="18"/>
              </w:rPr>
              <w:t>g/g</w:t>
            </w:r>
          </w:p>
        </w:tc>
        <w:tc>
          <w:tcPr>
            <w:tcW w:w="1343" w:type="dxa"/>
            <w:tcBorders>
              <w:top w:val="single" w:sz="4" w:space="0" w:color="auto"/>
            </w:tcBorders>
            <w:vAlign w:val="center"/>
          </w:tcPr>
          <w:p w14:paraId="7B369E14"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50-100</w:t>
            </w:r>
          </w:p>
        </w:tc>
        <w:tc>
          <w:tcPr>
            <w:tcW w:w="965" w:type="dxa"/>
            <w:tcBorders>
              <w:top w:val="single" w:sz="4" w:space="0" w:color="auto"/>
            </w:tcBorders>
            <w:vAlign w:val="center"/>
          </w:tcPr>
          <w:p w14:paraId="795B5FD8" w14:textId="314994DA"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1</w:t>
            </w:r>
            <w:r w:rsidRPr="000A7793">
              <w:rPr>
                <w:rFonts w:ascii="Times New Roman" w:eastAsia="宋体" w:hAnsi="Times New Roman" w:cs="Times New Roman"/>
                <w:sz w:val="18"/>
                <w:szCs w:val="18"/>
              </w:rPr>
              <w:t>]</w:t>
            </w:r>
          </w:p>
        </w:tc>
      </w:tr>
      <w:tr w:rsidR="008D176E" w:rsidRPr="000A7793" w14:paraId="418E21EC" w14:textId="77777777" w:rsidTr="00A71807">
        <w:trPr>
          <w:trHeight w:val="363"/>
          <w:jc w:val="center"/>
        </w:trPr>
        <w:tc>
          <w:tcPr>
            <w:tcW w:w="2214" w:type="dxa"/>
            <w:vAlign w:val="center"/>
          </w:tcPr>
          <w:p w14:paraId="5667CA5E"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[Bim][NTf</w:t>
            </w:r>
            <w:r w:rsidRPr="000A7793">
              <w:rPr>
                <w:rFonts w:ascii="Times New Roman" w:eastAsia="宋体" w:hAnsi="Times New Roman" w:cs="Times New Roman"/>
                <w:kern w:val="0"/>
                <w:sz w:val="18"/>
                <w:szCs w:val="18"/>
                <w:vertAlign w:val="subscript"/>
              </w:rPr>
              <w:t>2</w:t>
            </w:r>
            <w:r w:rsidRPr="000A7793">
              <w:rPr>
                <w:rFonts w:ascii="Times New Roman" w:eastAsia="宋体" w:hAnsi="Times New Roman" w:cs="Times New Roman"/>
                <w:kern w:val="0"/>
                <w:sz w:val="18"/>
                <w:szCs w:val="18"/>
              </w:rPr>
              <w:t>]</w:t>
            </w:r>
          </w:p>
        </w:tc>
        <w:tc>
          <w:tcPr>
            <w:tcW w:w="2117" w:type="dxa"/>
            <w:vAlign w:val="center"/>
          </w:tcPr>
          <w:p w14:paraId="66CB579B"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313.15K, 0.1</w:t>
            </w:r>
            <w:r w:rsidRPr="000A7793">
              <w:rPr>
                <w:rFonts w:ascii="Times New Roman" w:eastAsia="宋体" w:hAnsi="Times New Roman" w:cs="Times New Roman"/>
                <w:sz w:val="18"/>
                <w:szCs w:val="18"/>
              </w:rPr>
              <w:t xml:space="preserve"> MPa</w:t>
            </w:r>
          </w:p>
        </w:tc>
        <w:tc>
          <w:tcPr>
            <w:tcW w:w="1232" w:type="dxa"/>
            <w:vAlign w:val="center"/>
          </w:tcPr>
          <w:p w14:paraId="21ECBEE2"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0.113 g/g</w:t>
            </w:r>
          </w:p>
        </w:tc>
        <w:tc>
          <w:tcPr>
            <w:tcW w:w="1343" w:type="dxa"/>
            <w:vAlign w:val="center"/>
          </w:tcPr>
          <w:p w14:paraId="1263BB52"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250-500</w:t>
            </w:r>
          </w:p>
        </w:tc>
        <w:tc>
          <w:tcPr>
            <w:tcW w:w="965" w:type="dxa"/>
            <w:vAlign w:val="center"/>
          </w:tcPr>
          <w:p w14:paraId="1715FCC0" w14:textId="2D19B30C"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2</w:t>
            </w:r>
            <w:r w:rsidRPr="000A7793">
              <w:rPr>
                <w:rFonts w:ascii="Times New Roman" w:eastAsia="宋体" w:hAnsi="Times New Roman" w:cs="Times New Roman"/>
                <w:sz w:val="18"/>
                <w:szCs w:val="18"/>
              </w:rPr>
              <w:t>]</w:t>
            </w:r>
          </w:p>
        </w:tc>
      </w:tr>
      <w:tr w:rsidR="008D176E" w:rsidRPr="000A7793" w14:paraId="0A1E2612" w14:textId="77777777" w:rsidTr="00A71807">
        <w:trPr>
          <w:trHeight w:val="363"/>
          <w:jc w:val="center"/>
        </w:trPr>
        <w:tc>
          <w:tcPr>
            <w:tcW w:w="2214" w:type="dxa"/>
            <w:vAlign w:val="center"/>
          </w:tcPr>
          <w:p w14:paraId="04B84237"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proofErr w:type="spellStart"/>
            <w:r w:rsidRPr="000A7793">
              <w:rPr>
                <w:rFonts w:ascii="Times New Roman" w:eastAsia="宋体" w:hAnsi="Times New Roman" w:cs="Times New Roman"/>
                <w:kern w:val="0"/>
                <w:sz w:val="18"/>
                <w:szCs w:val="18"/>
              </w:rPr>
              <w:t>Bmim</w:t>
            </w:r>
            <w:proofErr w:type="spellEnd"/>
            <w:r w:rsidRPr="000A7793">
              <w:rPr>
                <w:rFonts w:ascii="Times New Roman" w:eastAsia="宋体" w:hAnsi="Times New Roman" w:cs="Times New Roman"/>
                <w:kern w:val="0"/>
                <w:sz w:val="18"/>
                <w:szCs w:val="18"/>
              </w:rPr>
              <w:t>]</w:t>
            </w:r>
            <w:r w:rsidRPr="000A7793">
              <w:rPr>
                <w:rFonts w:ascii="Times New Roman" w:eastAsia="宋体" w:hAnsi="Times New Roman" w:cs="Times New Roman"/>
                <w:kern w:val="0"/>
                <w:sz w:val="18"/>
                <w:szCs w:val="18"/>
                <w:vertAlign w:val="subscript"/>
              </w:rPr>
              <w:t>2</w:t>
            </w:r>
            <w:r w:rsidRPr="000A7793">
              <w:rPr>
                <w:rFonts w:ascii="Times New Roman" w:eastAsia="宋体" w:hAnsi="Times New Roman" w:cs="Times New Roman"/>
                <w:kern w:val="0"/>
                <w:sz w:val="18"/>
                <w:szCs w:val="18"/>
              </w:rPr>
              <w:t>[CuCl</w:t>
            </w:r>
            <w:r w:rsidRPr="000A7793">
              <w:rPr>
                <w:rFonts w:ascii="Times New Roman" w:eastAsia="宋体" w:hAnsi="Times New Roman" w:cs="Times New Roman"/>
                <w:kern w:val="0"/>
                <w:sz w:val="18"/>
                <w:szCs w:val="18"/>
                <w:vertAlign w:val="subscript"/>
              </w:rPr>
              <w:t>4</w:t>
            </w:r>
            <w:r w:rsidRPr="000A7793">
              <w:rPr>
                <w:rFonts w:ascii="Times New Roman" w:eastAsia="宋体" w:hAnsi="Times New Roman" w:cs="Times New Roman"/>
                <w:kern w:val="0"/>
                <w:sz w:val="18"/>
                <w:szCs w:val="18"/>
              </w:rPr>
              <w:t>]</w:t>
            </w:r>
          </w:p>
        </w:tc>
        <w:tc>
          <w:tcPr>
            <w:tcW w:w="2117" w:type="dxa"/>
            <w:vAlign w:val="center"/>
          </w:tcPr>
          <w:p w14:paraId="2BD0E58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303.15K, 0.1Mpa</w:t>
            </w:r>
          </w:p>
        </w:tc>
        <w:tc>
          <w:tcPr>
            <w:tcW w:w="1232" w:type="dxa"/>
            <w:vAlign w:val="center"/>
          </w:tcPr>
          <w:p w14:paraId="0802A365"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0.172 g/g</w:t>
            </w:r>
          </w:p>
        </w:tc>
        <w:tc>
          <w:tcPr>
            <w:tcW w:w="1343" w:type="dxa"/>
            <w:vAlign w:val="center"/>
          </w:tcPr>
          <w:p w14:paraId="68431F5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2000-2500</w:t>
            </w:r>
          </w:p>
        </w:tc>
        <w:tc>
          <w:tcPr>
            <w:tcW w:w="965" w:type="dxa"/>
            <w:vAlign w:val="center"/>
          </w:tcPr>
          <w:p w14:paraId="72177CDD" w14:textId="08E6EBA8"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3</w:t>
            </w:r>
            <w:r w:rsidRPr="000A7793">
              <w:rPr>
                <w:rFonts w:ascii="Times New Roman" w:eastAsia="宋体" w:hAnsi="Times New Roman" w:cs="Times New Roman"/>
                <w:sz w:val="18"/>
                <w:szCs w:val="18"/>
              </w:rPr>
              <w:t>]</w:t>
            </w:r>
          </w:p>
        </w:tc>
      </w:tr>
      <w:tr w:rsidR="008D176E" w:rsidRPr="000A7793" w14:paraId="7C737556" w14:textId="77777777" w:rsidTr="00A71807">
        <w:trPr>
          <w:trHeight w:val="363"/>
          <w:jc w:val="center"/>
        </w:trPr>
        <w:tc>
          <w:tcPr>
            <w:tcW w:w="2214" w:type="dxa"/>
            <w:vAlign w:val="center"/>
          </w:tcPr>
          <w:p w14:paraId="41A736B6"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eastAsia="宋体" w:hAnsi="Times New Roman" w:cs="Times New Roman"/>
                <w:kern w:val="0"/>
                <w:sz w:val="18"/>
                <w:szCs w:val="18"/>
              </w:rPr>
              <w:t>[</w:t>
            </w:r>
            <w:proofErr w:type="spellStart"/>
            <w:r w:rsidRPr="000A7793">
              <w:rPr>
                <w:rFonts w:ascii="Times New Roman" w:eastAsia="宋体" w:hAnsi="Times New Roman" w:cs="Times New Roman"/>
                <w:kern w:val="0"/>
                <w:sz w:val="18"/>
                <w:szCs w:val="18"/>
              </w:rPr>
              <w:t>Emim</w:t>
            </w:r>
            <w:proofErr w:type="spellEnd"/>
            <w:r w:rsidRPr="000A7793">
              <w:rPr>
                <w:rFonts w:ascii="Times New Roman" w:eastAsia="宋体" w:hAnsi="Times New Roman" w:cs="Times New Roman"/>
                <w:kern w:val="0"/>
                <w:sz w:val="18"/>
                <w:szCs w:val="18"/>
              </w:rPr>
              <w:t>]</w:t>
            </w:r>
            <w:r w:rsidRPr="000A7793">
              <w:rPr>
                <w:rFonts w:ascii="Times New Roman" w:eastAsia="宋体" w:hAnsi="Times New Roman" w:cs="Times New Roman"/>
                <w:kern w:val="0"/>
                <w:sz w:val="18"/>
                <w:szCs w:val="18"/>
                <w:vertAlign w:val="subscript"/>
              </w:rPr>
              <w:t>2</w:t>
            </w:r>
            <w:r w:rsidRPr="000A7793">
              <w:rPr>
                <w:rFonts w:ascii="Times New Roman" w:eastAsia="宋体" w:hAnsi="Times New Roman" w:cs="Times New Roman"/>
                <w:kern w:val="0"/>
                <w:sz w:val="18"/>
                <w:szCs w:val="18"/>
              </w:rPr>
              <w:t>[Co(NCS)</w:t>
            </w:r>
            <w:r w:rsidRPr="000A7793">
              <w:rPr>
                <w:rFonts w:ascii="Times New Roman" w:eastAsia="宋体" w:hAnsi="Times New Roman" w:cs="Times New Roman"/>
                <w:kern w:val="0"/>
                <w:sz w:val="18"/>
                <w:szCs w:val="18"/>
                <w:vertAlign w:val="subscript"/>
              </w:rPr>
              <w:t>4</w:t>
            </w:r>
            <w:r w:rsidRPr="000A7793">
              <w:rPr>
                <w:rFonts w:ascii="Times New Roman" w:eastAsia="宋体" w:hAnsi="Times New Roman" w:cs="Times New Roman"/>
                <w:kern w:val="0"/>
                <w:sz w:val="18"/>
                <w:szCs w:val="18"/>
              </w:rPr>
              <w:t>]</w:t>
            </w:r>
          </w:p>
        </w:tc>
        <w:tc>
          <w:tcPr>
            <w:tcW w:w="2117" w:type="dxa"/>
            <w:vAlign w:val="center"/>
          </w:tcPr>
          <w:p w14:paraId="46EACA7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303.15K, 0.1MPa</w:t>
            </w:r>
          </w:p>
        </w:tc>
        <w:tc>
          <w:tcPr>
            <w:tcW w:w="1232" w:type="dxa"/>
            <w:vAlign w:val="center"/>
          </w:tcPr>
          <w:p w14:paraId="38663C14"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0.198 g/g</w:t>
            </w:r>
          </w:p>
        </w:tc>
        <w:tc>
          <w:tcPr>
            <w:tcW w:w="1343" w:type="dxa"/>
            <w:vAlign w:val="center"/>
          </w:tcPr>
          <w:p w14:paraId="451BA6F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300-350</w:t>
            </w:r>
          </w:p>
        </w:tc>
        <w:tc>
          <w:tcPr>
            <w:tcW w:w="965" w:type="dxa"/>
            <w:vAlign w:val="center"/>
          </w:tcPr>
          <w:p w14:paraId="50E1AB3F" w14:textId="62C288FC" w:rsidR="00754681" w:rsidRPr="000A7793" w:rsidRDefault="00E03CE6"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4</w:t>
            </w:r>
            <w:r w:rsidR="00754681" w:rsidRPr="000A7793">
              <w:rPr>
                <w:rFonts w:ascii="Times New Roman" w:eastAsia="宋体" w:hAnsi="Times New Roman" w:cs="Times New Roman"/>
                <w:sz w:val="18"/>
                <w:szCs w:val="18"/>
              </w:rPr>
              <w:t>]</w:t>
            </w:r>
          </w:p>
        </w:tc>
      </w:tr>
      <w:tr w:rsidR="00754681" w:rsidRPr="000A7793" w14:paraId="4E1EFAEC" w14:textId="77777777" w:rsidTr="00A71807">
        <w:trPr>
          <w:trHeight w:val="363"/>
          <w:jc w:val="center"/>
        </w:trPr>
        <w:tc>
          <w:tcPr>
            <w:tcW w:w="2214" w:type="dxa"/>
            <w:vAlign w:val="center"/>
          </w:tcPr>
          <w:p w14:paraId="74696232" w14:textId="77777777" w:rsidR="00754681" w:rsidRPr="000A7793" w:rsidRDefault="00754681" w:rsidP="00396CEF">
            <w:pPr>
              <w:widowControl/>
              <w:spacing w:line="360" w:lineRule="auto"/>
              <w:jc w:val="center"/>
              <w:rPr>
                <w:rFonts w:ascii="Times New Roman" w:eastAsia="宋体" w:hAnsi="Times New Roman" w:cs="Times New Roman"/>
                <w:kern w:val="0"/>
                <w:sz w:val="18"/>
                <w:szCs w:val="18"/>
              </w:rPr>
            </w:pPr>
            <w:r w:rsidRPr="000A7793">
              <w:rPr>
                <w:rFonts w:ascii="Times New Roman" w:hAnsi="Times New Roman" w:cs="Times New Roman"/>
                <w:sz w:val="18"/>
                <w:szCs w:val="18"/>
              </w:rPr>
              <w:t>[1,2,4-TrizH</w:t>
            </w:r>
            <w:r w:rsidRPr="000A7793">
              <w:rPr>
                <w:rFonts w:ascii="Times New Roman" w:hAnsi="Times New Roman" w:cs="Times New Roman"/>
                <w:sz w:val="13"/>
                <w:szCs w:val="13"/>
                <w:vertAlign w:val="subscript"/>
              </w:rPr>
              <w:t>2</w:t>
            </w:r>
            <w:r w:rsidRPr="000A7793">
              <w:rPr>
                <w:rFonts w:ascii="Times New Roman" w:hAnsi="Times New Roman" w:cs="Times New Roman"/>
                <w:sz w:val="18"/>
                <w:szCs w:val="18"/>
              </w:rPr>
              <w:t>][CF</w:t>
            </w:r>
            <w:r w:rsidRPr="000A7793">
              <w:rPr>
                <w:rFonts w:ascii="Times New Roman" w:hAnsi="Times New Roman" w:cs="Times New Roman"/>
                <w:sz w:val="13"/>
                <w:szCs w:val="13"/>
                <w:vertAlign w:val="subscript"/>
              </w:rPr>
              <w:t>3</w:t>
            </w:r>
            <w:r w:rsidRPr="000A7793">
              <w:rPr>
                <w:rFonts w:ascii="Times New Roman" w:hAnsi="Times New Roman" w:cs="Times New Roman"/>
                <w:sz w:val="18"/>
                <w:szCs w:val="18"/>
              </w:rPr>
              <w:t>SO</w:t>
            </w:r>
            <w:r w:rsidRPr="000A7793">
              <w:rPr>
                <w:rFonts w:ascii="Times New Roman" w:hAnsi="Times New Roman" w:cs="Times New Roman"/>
                <w:sz w:val="13"/>
                <w:szCs w:val="13"/>
                <w:vertAlign w:val="subscript"/>
              </w:rPr>
              <w:t>3</w:t>
            </w:r>
            <w:r w:rsidRPr="000A7793">
              <w:rPr>
                <w:rFonts w:ascii="Times New Roman" w:hAnsi="Times New Roman" w:cs="Times New Roman"/>
                <w:sz w:val="18"/>
                <w:szCs w:val="18"/>
              </w:rPr>
              <w:t>]</w:t>
            </w:r>
            <w:r w:rsidRPr="000A7793">
              <w:rPr>
                <w:rFonts w:ascii="Times New Roman" w:hAnsi="Times New Roman" w:cs="Times New Roman"/>
                <w:sz w:val="13"/>
                <w:szCs w:val="13"/>
                <w:vertAlign w:val="subscript"/>
              </w:rPr>
              <w:t>2</w:t>
            </w:r>
          </w:p>
        </w:tc>
        <w:tc>
          <w:tcPr>
            <w:tcW w:w="2117" w:type="dxa"/>
            <w:vAlign w:val="center"/>
          </w:tcPr>
          <w:p w14:paraId="09E8FF0B"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kern w:val="0"/>
                <w:sz w:val="18"/>
                <w:szCs w:val="18"/>
              </w:rPr>
              <w:t>313.15K, 0.1</w:t>
            </w:r>
            <w:r w:rsidRPr="000A7793">
              <w:rPr>
                <w:rFonts w:ascii="Times New Roman" w:eastAsia="宋体" w:hAnsi="Times New Roman" w:cs="Times New Roman"/>
                <w:sz w:val="18"/>
                <w:szCs w:val="18"/>
              </w:rPr>
              <w:t xml:space="preserve"> MPa</w:t>
            </w:r>
          </w:p>
        </w:tc>
        <w:tc>
          <w:tcPr>
            <w:tcW w:w="1232" w:type="dxa"/>
            <w:vAlign w:val="center"/>
          </w:tcPr>
          <w:p w14:paraId="4A8D0B9B"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5.21mol/mol</w:t>
            </w:r>
          </w:p>
        </w:tc>
        <w:tc>
          <w:tcPr>
            <w:tcW w:w="1343" w:type="dxa"/>
            <w:vAlign w:val="center"/>
          </w:tcPr>
          <w:p w14:paraId="20032582"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p>
        </w:tc>
        <w:tc>
          <w:tcPr>
            <w:tcW w:w="965" w:type="dxa"/>
            <w:vAlign w:val="center"/>
          </w:tcPr>
          <w:p w14:paraId="33C2AACB" w14:textId="25B441CE"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5</w:t>
            </w:r>
            <w:r w:rsidR="0040640D" w:rsidRPr="000A7793">
              <w:rPr>
                <w:rFonts w:ascii="Times New Roman" w:eastAsia="宋体" w:hAnsi="Times New Roman" w:cs="Times New Roman"/>
                <w:sz w:val="18"/>
                <w:szCs w:val="18"/>
              </w:rPr>
              <w:t>]</w:t>
            </w:r>
          </w:p>
        </w:tc>
      </w:tr>
    </w:tbl>
    <w:p w14:paraId="61FB8D1F" w14:textId="6C6A73C1" w:rsidR="003909E3" w:rsidRPr="000A7793" w:rsidRDefault="003909E3" w:rsidP="00396CEF">
      <w:pPr>
        <w:spacing w:line="360" w:lineRule="auto"/>
        <w:jc w:val="center"/>
        <w:rPr>
          <w:rFonts w:ascii="Times New Roman" w:eastAsia="宋体" w:hAnsi="Times New Roman" w:cs="Times New Roman"/>
        </w:rPr>
      </w:pPr>
    </w:p>
    <w:p w14:paraId="4D161CC6" w14:textId="77777777" w:rsidR="00754681" w:rsidRPr="000A7793" w:rsidRDefault="00754681" w:rsidP="00396CEF">
      <w:pPr>
        <w:widowControl/>
        <w:spacing w:line="360" w:lineRule="auto"/>
        <w:jc w:val="center"/>
        <w:rPr>
          <w:rFonts w:ascii="Times New Roman" w:eastAsia="宋体" w:hAnsi="Times New Roman" w:cs="Times New Roman"/>
        </w:rPr>
      </w:pPr>
      <w:r w:rsidRPr="000A7793">
        <w:rPr>
          <w:rFonts w:ascii="Times New Roman" w:eastAsia="宋体" w:hAnsi="Times New Roman" w:cs="Times New Roman"/>
        </w:rPr>
        <w:br w:type="page"/>
      </w:r>
    </w:p>
    <w:p w14:paraId="645AAB8C" w14:textId="7E946C04" w:rsidR="00754681" w:rsidRPr="000A7793" w:rsidRDefault="00754681" w:rsidP="00396CEF">
      <w:pPr>
        <w:widowControl/>
        <w:spacing w:line="360" w:lineRule="auto"/>
        <w:jc w:val="center"/>
        <w:rPr>
          <w:rFonts w:ascii="Times New Roman" w:eastAsia="宋体" w:hAnsi="Times New Roman" w:cs="Times New Roman"/>
        </w:rPr>
      </w:pPr>
      <w:r w:rsidRPr="000A7793">
        <w:rPr>
          <w:rFonts w:ascii="Times New Roman" w:eastAsia="宋体" w:hAnsi="Times New Roman" w:cs="Times New Roman"/>
          <w:b/>
          <w:bCs/>
        </w:rPr>
        <w:t>Table S</w:t>
      </w:r>
      <w:r w:rsidR="00FF65B3" w:rsidRPr="000A7793">
        <w:rPr>
          <w:rFonts w:ascii="Times New Roman" w:eastAsia="宋体" w:hAnsi="Times New Roman" w:cs="Times New Roman"/>
          <w:b/>
          <w:bCs/>
        </w:rPr>
        <w:t>6</w:t>
      </w:r>
      <w:r w:rsidRPr="000A7793">
        <w:rPr>
          <w:rFonts w:ascii="Times New Roman" w:eastAsia="宋体" w:hAnsi="Times New Roman" w:cs="Times New Roman"/>
          <w:b/>
          <w:bCs/>
        </w:rPr>
        <w:t xml:space="preserve"> </w:t>
      </w:r>
      <w:r w:rsidRPr="000A7793">
        <w:rPr>
          <w:rFonts w:ascii="Times New Roman" w:eastAsia="宋体" w:hAnsi="Times New Roman" w:cs="Times New Roman"/>
        </w:rPr>
        <w:t xml:space="preserve"> The effect of various additives on absorption/inhibition of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escape</w:t>
      </w:r>
    </w:p>
    <w:tbl>
      <w:tblPr>
        <w:tblStyle w:val="a4"/>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1236"/>
        <w:gridCol w:w="1755"/>
        <w:gridCol w:w="2068"/>
        <w:gridCol w:w="946"/>
      </w:tblGrid>
      <w:tr w:rsidR="008D176E" w:rsidRPr="000A7793" w14:paraId="18BD27BE" w14:textId="77777777" w:rsidTr="00A71807">
        <w:trPr>
          <w:trHeight w:val="273"/>
          <w:jc w:val="center"/>
        </w:trPr>
        <w:tc>
          <w:tcPr>
            <w:tcW w:w="1617" w:type="dxa"/>
            <w:tcBorders>
              <w:top w:val="single" w:sz="4" w:space="0" w:color="auto"/>
              <w:bottom w:val="single" w:sz="4" w:space="0" w:color="auto"/>
            </w:tcBorders>
            <w:noWrap/>
            <w:vAlign w:val="center"/>
          </w:tcPr>
          <w:p w14:paraId="05740EF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Additive type and concentration</w:t>
            </w:r>
          </w:p>
        </w:tc>
        <w:tc>
          <w:tcPr>
            <w:tcW w:w="1236" w:type="dxa"/>
            <w:tcBorders>
              <w:top w:val="single" w:sz="4" w:space="0" w:color="auto"/>
              <w:bottom w:val="single" w:sz="4" w:space="0" w:color="auto"/>
            </w:tcBorders>
            <w:noWrap/>
            <w:vAlign w:val="center"/>
          </w:tcPr>
          <w:p w14:paraId="506F3CA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Measuring method</w:t>
            </w:r>
          </w:p>
        </w:tc>
        <w:tc>
          <w:tcPr>
            <w:tcW w:w="1755" w:type="dxa"/>
            <w:tcBorders>
              <w:top w:val="single" w:sz="4" w:space="0" w:color="auto"/>
              <w:bottom w:val="single" w:sz="4" w:space="0" w:color="auto"/>
            </w:tcBorders>
            <w:noWrap/>
            <w:vAlign w:val="center"/>
          </w:tcPr>
          <w:p w14:paraId="56759B9E"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Effect of absorption/inhibition of NH</w:t>
            </w:r>
            <w:r w:rsidRPr="000A7793">
              <w:rPr>
                <w:rFonts w:ascii="Times New Roman" w:eastAsia="宋体" w:hAnsi="Times New Roman" w:cs="Times New Roman"/>
                <w:sz w:val="18"/>
                <w:szCs w:val="18"/>
                <w:vertAlign w:val="subscript"/>
              </w:rPr>
              <w:t>3</w:t>
            </w:r>
            <w:r w:rsidRPr="000A7793">
              <w:rPr>
                <w:rFonts w:ascii="Times New Roman" w:eastAsia="宋体" w:hAnsi="Times New Roman" w:cs="Times New Roman"/>
                <w:sz w:val="18"/>
                <w:szCs w:val="18"/>
              </w:rPr>
              <w:t xml:space="preserve"> escape</w:t>
            </w:r>
          </w:p>
        </w:tc>
        <w:tc>
          <w:tcPr>
            <w:tcW w:w="2068" w:type="dxa"/>
            <w:tcBorders>
              <w:top w:val="single" w:sz="4" w:space="0" w:color="auto"/>
              <w:bottom w:val="single" w:sz="4" w:space="0" w:color="auto"/>
            </w:tcBorders>
            <w:noWrap/>
            <w:vAlign w:val="center"/>
          </w:tcPr>
          <w:p w14:paraId="78DFDFE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Solution composition</w:t>
            </w:r>
          </w:p>
        </w:tc>
        <w:tc>
          <w:tcPr>
            <w:tcW w:w="946" w:type="dxa"/>
            <w:tcBorders>
              <w:top w:val="single" w:sz="4" w:space="0" w:color="auto"/>
              <w:bottom w:val="single" w:sz="4" w:space="0" w:color="auto"/>
            </w:tcBorders>
            <w:vAlign w:val="center"/>
          </w:tcPr>
          <w:p w14:paraId="3F9D832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Reference</w:t>
            </w:r>
          </w:p>
        </w:tc>
      </w:tr>
      <w:tr w:rsidR="008D176E" w:rsidRPr="000A7793" w14:paraId="6FAD84DC" w14:textId="77777777" w:rsidTr="00A71807">
        <w:trPr>
          <w:trHeight w:val="273"/>
          <w:jc w:val="center"/>
        </w:trPr>
        <w:tc>
          <w:tcPr>
            <w:tcW w:w="1617" w:type="dxa"/>
            <w:tcBorders>
              <w:top w:val="single" w:sz="4" w:space="0" w:color="auto"/>
            </w:tcBorders>
            <w:noWrap/>
            <w:vAlign w:val="center"/>
            <w:hideMark/>
          </w:tcPr>
          <w:p w14:paraId="2BAA5CD2"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0.005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 xml:space="preserve">-1 </w:t>
            </w:r>
            <w:r w:rsidRPr="000A7793">
              <w:rPr>
                <w:rFonts w:ascii="Times New Roman" w:eastAsia="宋体" w:hAnsi="Times New Roman" w:cs="Times New Roman"/>
                <w:sz w:val="18"/>
                <w:szCs w:val="18"/>
              </w:rPr>
              <w:t>Co</w:t>
            </w:r>
            <w:r w:rsidRPr="000A7793">
              <w:rPr>
                <w:rFonts w:ascii="Times New Roman" w:eastAsia="宋体" w:hAnsi="Times New Roman" w:cs="Times New Roman"/>
                <w:sz w:val="18"/>
                <w:szCs w:val="18"/>
                <w:vertAlign w:val="superscript"/>
              </w:rPr>
              <w:t>2+</w:t>
            </w:r>
          </w:p>
        </w:tc>
        <w:tc>
          <w:tcPr>
            <w:tcW w:w="1236" w:type="dxa"/>
            <w:tcBorders>
              <w:top w:val="single" w:sz="4" w:space="0" w:color="auto"/>
            </w:tcBorders>
            <w:noWrap/>
            <w:vAlign w:val="center"/>
            <w:hideMark/>
          </w:tcPr>
          <w:p w14:paraId="41B7B1FD"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Instantaneous value</w:t>
            </w:r>
          </w:p>
        </w:tc>
        <w:tc>
          <w:tcPr>
            <w:tcW w:w="1755" w:type="dxa"/>
            <w:tcBorders>
              <w:top w:val="single" w:sz="4" w:space="0" w:color="auto"/>
            </w:tcBorders>
            <w:noWrap/>
            <w:vAlign w:val="center"/>
            <w:hideMark/>
          </w:tcPr>
          <w:p w14:paraId="3F341E9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60%</w:t>
            </w:r>
          </w:p>
        </w:tc>
        <w:tc>
          <w:tcPr>
            <w:tcW w:w="2068" w:type="dxa"/>
            <w:tcBorders>
              <w:top w:val="single" w:sz="4" w:space="0" w:color="auto"/>
            </w:tcBorders>
            <w:noWrap/>
            <w:vAlign w:val="center"/>
            <w:hideMark/>
          </w:tcPr>
          <w:p w14:paraId="4D872F7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8% NH</w:t>
            </w:r>
            <w:r w:rsidRPr="000A7793">
              <w:rPr>
                <w:rFonts w:ascii="Times New Roman" w:eastAsia="宋体" w:hAnsi="Times New Roman" w:cs="Times New Roman"/>
                <w:sz w:val="18"/>
                <w:szCs w:val="18"/>
                <w:vertAlign w:val="subscript"/>
              </w:rPr>
              <w:t>3</w:t>
            </w:r>
            <w:r w:rsidRPr="000A7793">
              <w:rPr>
                <w:rFonts w:ascii="Times New Roman" w:eastAsia="宋体" w:hAnsi="Times New Roman" w:cs="Times New Roman"/>
                <w:sz w:val="18"/>
                <w:szCs w:val="18"/>
              </w:rPr>
              <w:t>(</w:t>
            </w:r>
            <w:proofErr w:type="spellStart"/>
            <w:r w:rsidRPr="000A7793">
              <w:rPr>
                <w:rFonts w:ascii="Times New Roman" w:eastAsia="宋体" w:hAnsi="Times New Roman" w:cs="Times New Roman"/>
                <w:sz w:val="18"/>
                <w:szCs w:val="18"/>
              </w:rPr>
              <w:t>aq</w:t>
            </w:r>
            <w:proofErr w:type="spellEnd"/>
            <w:r w:rsidRPr="000A7793">
              <w:rPr>
                <w:rFonts w:ascii="Times New Roman" w:eastAsia="宋体" w:hAnsi="Times New Roman" w:cs="Times New Roman"/>
                <w:sz w:val="18"/>
                <w:szCs w:val="18"/>
              </w:rPr>
              <w:t>)</w:t>
            </w:r>
          </w:p>
        </w:tc>
        <w:tc>
          <w:tcPr>
            <w:tcW w:w="946" w:type="dxa"/>
            <w:tcBorders>
              <w:top w:val="single" w:sz="4" w:space="0" w:color="auto"/>
            </w:tcBorders>
            <w:vAlign w:val="center"/>
            <w:hideMark/>
          </w:tcPr>
          <w:p w14:paraId="5635F965" w14:textId="21A68482"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6</w:t>
            </w:r>
            <w:r w:rsidRPr="000A7793">
              <w:rPr>
                <w:rFonts w:ascii="Times New Roman" w:eastAsia="宋体" w:hAnsi="Times New Roman" w:cs="Times New Roman"/>
                <w:sz w:val="18"/>
                <w:szCs w:val="18"/>
              </w:rPr>
              <w:t>]</w:t>
            </w:r>
          </w:p>
        </w:tc>
      </w:tr>
      <w:tr w:rsidR="008D176E" w:rsidRPr="000A7793" w14:paraId="69DF96A7" w14:textId="77777777" w:rsidTr="00A71807">
        <w:trPr>
          <w:trHeight w:val="273"/>
          <w:jc w:val="center"/>
        </w:trPr>
        <w:tc>
          <w:tcPr>
            <w:tcW w:w="1617" w:type="dxa"/>
            <w:noWrap/>
            <w:vAlign w:val="center"/>
            <w:hideMark/>
          </w:tcPr>
          <w:p w14:paraId="6ECEDEB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0.006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 xml:space="preserve">-1 </w:t>
            </w:r>
            <w:r w:rsidRPr="000A7793">
              <w:rPr>
                <w:rFonts w:ascii="Times New Roman" w:eastAsia="宋体" w:hAnsi="Times New Roman" w:cs="Times New Roman"/>
                <w:sz w:val="18"/>
                <w:szCs w:val="18"/>
              </w:rPr>
              <w:t>Ni</w:t>
            </w:r>
            <w:r w:rsidRPr="000A7793">
              <w:rPr>
                <w:rFonts w:ascii="Times New Roman" w:eastAsia="宋体" w:hAnsi="Times New Roman" w:cs="Times New Roman"/>
                <w:sz w:val="18"/>
                <w:szCs w:val="18"/>
                <w:vertAlign w:val="superscript"/>
              </w:rPr>
              <w:t>2+</w:t>
            </w:r>
          </w:p>
        </w:tc>
        <w:tc>
          <w:tcPr>
            <w:tcW w:w="1236" w:type="dxa"/>
            <w:noWrap/>
            <w:vAlign w:val="center"/>
            <w:hideMark/>
          </w:tcPr>
          <w:p w14:paraId="1142D073"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Accumulation</w:t>
            </w:r>
          </w:p>
        </w:tc>
        <w:tc>
          <w:tcPr>
            <w:tcW w:w="1755" w:type="dxa"/>
            <w:noWrap/>
            <w:vAlign w:val="center"/>
            <w:hideMark/>
          </w:tcPr>
          <w:p w14:paraId="4B4387A5"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33%</w:t>
            </w:r>
          </w:p>
        </w:tc>
        <w:tc>
          <w:tcPr>
            <w:tcW w:w="2068" w:type="dxa"/>
            <w:noWrap/>
            <w:vAlign w:val="center"/>
            <w:hideMark/>
          </w:tcPr>
          <w:p w14:paraId="78B7A3C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2% NH</w:t>
            </w:r>
            <w:r w:rsidRPr="000A7793">
              <w:rPr>
                <w:rFonts w:ascii="Times New Roman" w:eastAsia="宋体" w:hAnsi="Times New Roman" w:cs="Times New Roman"/>
                <w:sz w:val="18"/>
                <w:szCs w:val="18"/>
                <w:vertAlign w:val="subscript"/>
              </w:rPr>
              <w:t>3</w:t>
            </w:r>
            <w:r w:rsidRPr="000A7793">
              <w:rPr>
                <w:rFonts w:ascii="Times New Roman" w:eastAsia="宋体" w:hAnsi="Times New Roman" w:cs="Times New Roman"/>
                <w:sz w:val="18"/>
                <w:szCs w:val="18"/>
              </w:rPr>
              <w:t>(</w:t>
            </w:r>
            <w:proofErr w:type="spellStart"/>
            <w:r w:rsidRPr="000A7793">
              <w:rPr>
                <w:rFonts w:ascii="Times New Roman" w:eastAsia="宋体" w:hAnsi="Times New Roman" w:cs="Times New Roman"/>
                <w:sz w:val="18"/>
                <w:szCs w:val="18"/>
              </w:rPr>
              <w:t>aq</w:t>
            </w:r>
            <w:proofErr w:type="spellEnd"/>
            <w:r w:rsidRPr="000A7793">
              <w:rPr>
                <w:rFonts w:ascii="Times New Roman" w:eastAsia="宋体" w:hAnsi="Times New Roman" w:cs="Times New Roman"/>
                <w:sz w:val="18"/>
                <w:szCs w:val="18"/>
              </w:rPr>
              <w:t>)</w:t>
            </w:r>
          </w:p>
        </w:tc>
        <w:tc>
          <w:tcPr>
            <w:tcW w:w="946" w:type="dxa"/>
            <w:vAlign w:val="center"/>
            <w:hideMark/>
          </w:tcPr>
          <w:p w14:paraId="3813C7AA" w14:textId="17F475FE"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7</w:t>
            </w:r>
            <w:r w:rsidRPr="000A7793">
              <w:rPr>
                <w:rFonts w:ascii="Times New Roman" w:eastAsia="宋体" w:hAnsi="Times New Roman" w:cs="Times New Roman"/>
                <w:sz w:val="18"/>
                <w:szCs w:val="18"/>
              </w:rPr>
              <w:t>]</w:t>
            </w:r>
          </w:p>
        </w:tc>
      </w:tr>
      <w:tr w:rsidR="008D176E" w:rsidRPr="000A7793" w14:paraId="0E6B44D1" w14:textId="77777777" w:rsidTr="00A71807">
        <w:trPr>
          <w:trHeight w:val="273"/>
          <w:jc w:val="center"/>
        </w:trPr>
        <w:tc>
          <w:tcPr>
            <w:tcW w:w="1617" w:type="dxa"/>
            <w:noWrap/>
            <w:vAlign w:val="center"/>
            <w:hideMark/>
          </w:tcPr>
          <w:p w14:paraId="41A372F6"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0.09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 xml:space="preserve">-1 </w:t>
            </w:r>
            <w:r w:rsidRPr="000A7793">
              <w:rPr>
                <w:rFonts w:ascii="Times New Roman" w:eastAsia="宋体" w:hAnsi="Times New Roman" w:cs="Times New Roman"/>
                <w:sz w:val="18"/>
                <w:szCs w:val="18"/>
              </w:rPr>
              <w:t>Cu</w:t>
            </w:r>
            <w:r w:rsidRPr="000A7793">
              <w:rPr>
                <w:rFonts w:ascii="Times New Roman" w:eastAsia="宋体" w:hAnsi="Times New Roman" w:cs="Times New Roman"/>
                <w:sz w:val="18"/>
                <w:szCs w:val="18"/>
                <w:vertAlign w:val="superscript"/>
              </w:rPr>
              <w:t>2+</w:t>
            </w:r>
          </w:p>
        </w:tc>
        <w:tc>
          <w:tcPr>
            <w:tcW w:w="1236" w:type="dxa"/>
            <w:noWrap/>
            <w:vAlign w:val="center"/>
            <w:hideMark/>
          </w:tcPr>
          <w:p w14:paraId="367E2F9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Accumulation</w:t>
            </w:r>
          </w:p>
        </w:tc>
        <w:tc>
          <w:tcPr>
            <w:tcW w:w="1755" w:type="dxa"/>
            <w:noWrap/>
            <w:vAlign w:val="center"/>
            <w:hideMark/>
          </w:tcPr>
          <w:p w14:paraId="21F4A719"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32%</w:t>
            </w:r>
          </w:p>
        </w:tc>
        <w:tc>
          <w:tcPr>
            <w:tcW w:w="2068" w:type="dxa"/>
            <w:noWrap/>
            <w:vAlign w:val="center"/>
            <w:hideMark/>
          </w:tcPr>
          <w:p w14:paraId="41BB2B7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12% aqueous NH</w:t>
            </w:r>
            <w:r w:rsidRPr="000A7793">
              <w:rPr>
                <w:rFonts w:ascii="Times New Roman" w:eastAsia="宋体" w:hAnsi="Times New Roman" w:cs="Times New Roman"/>
                <w:sz w:val="18"/>
                <w:szCs w:val="18"/>
                <w:vertAlign w:val="subscript"/>
              </w:rPr>
              <w:t>3</w:t>
            </w:r>
          </w:p>
        </w:tc>
        <w:tc>
          <w:tcPr>
            <w:tcW w:w="946" w:type="dxa"/>
            <w:vAlign w:val="center"/>
            <w:hideMark/>
          </w:tcPr>
          <w:p w14:paraId="44807091" w14:textId="193692ED"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6</w:t>
            </w:r>
            <w:r w:rsidR="00415EEB" w:rsidRPr="000A7793">
              <w:rPr>
                <w:rFonts w:ascii="Times New Roman" w:eastAsia="宋体" w:hAnsi="Times New Roman" w:cs="Times New Roman"/>
                <w:sz w:val="18"/>
                <w:szCs w:val="18"/>
              </w:rPr>
              <w:t>8</w:t>
            </w:r>
            <w:r w:rsidRPr="000A7793">
              <w:rPr>
                <w:rFonts w:ascii="Times New Roman" w:eastAsia="宋体" w:hAnsi="Times New Roman" w:cs="Times New Roman"/>
                <w:sz w:val="18"/>
                <w:szCs w:val="18"/>
              </w:rPr>
              <w:t>]</w:t>
            </w:r>
          </w:p>
        </w:tc>
      </w:tr>
      <w:tr w:rsidR="008D176E" w:rsidRPr="000A7793" w14:paraId="70DEF9C0" w14:textId="77777777" w:rsidTr="00A71807">
        <w:trPr>
          <w:trHeight w:val="273"/>
          <w:jc w:val="center"/>
        </w:trPr>
        <w:tc>
          <w:tcPr>
            <w:tcW w:w="1617" w:type="dxa"/>
            <w:noWrap/>
            <w:vAlign w:val="center"/>
            <w:hideMark/>
          </w:tcPr>
          <w:p w14:paraId="443BCD1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0.2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-1</w:t>
            </w:r>
            <w:r w:rsidRPr="000A7793">
              <w:rPr>
                <w:rFonts w:ascii="Times New Roman" w:eastAsia="宋体" w:hAnsi="Times New Roman" w:cs="Times New Roman"/>
                <w:sz w:val="18"/>
                <w:szCs w:val="18"/>
              </w:rPr>
              <w:t xml:space="preserve"> Ni</w:t>
            </w:r>
            <w:r w:rsidRPr="000A7793">
              <w:rPr>
                <w:rFonts w:ascii="Times New Roman" w:eastAsia="宋体" w:hAnsi="Times New Roman" w:cs="Times New Roman"/>
                <w:sz w:val="18"/>
                <w:szCs w:val="18"/>
                <w:vertAlign w:val="superscript"/>
              </w:rPr>
              <w:t>2+</w:t>
            </w:r>
          </w:p>
        </w:tc>
        <w:tc>
          <w:tcPr>
            <w:tcW w:w="1236" w:type="dxa"/>
            <w:noWrap/>
            <w:vAlign w:val="center"/>
            <w:hideMark/>
          </w:tcPr>
          <w:p w14:paraId="45387414"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Accumulation</w:t>
            </w:r>
          </w:p>
        </w:tc>
        <w:tc>
          <w:tcPr>
            <w:tcW w:w="1755" w:type="dxa"/>
            <w:noWrap/>
            <w:vAlign w:val="center"/>
            <w:hideMark/>
          </w:tcPr>
          <w:p w14:paraId="21C9F2FE"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26.20%</w:t>
            </w:r>
          </w:p>
        </w:tc>
        <w:tc>
          <w:tcPr>
            <w:tcW w:w="2068" w:type="dxa"/>
            <w:noWrap/>
            <w:vAlign w:val="center"/>
            <w:hideMark/>
          </w:tcPr>
          <w:p w14:paraId="5B7BB7F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0.2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 xml:space="preserve">-1 </w:t>
            </w:r>
            <w:r w:rsidRPr="000A7793">
              <w:rPr>
                <w:rFonts w:ascii="Times New Roman" w:eastAsia="宋体" w:hAnsi="Times New Roman" w:cs="Times New Roman"/>
                <w:sz w:val="18"/>
                <w:szCs w:val="18"/>
              </w:rPr>
              <w:t>NH</w:t>
            </w:r>
            <w:r w:rsidRPr="000A7793">
              <w:rPr>
                <w:rFonts w:ascii="Times New Roman" w:eastAsia="宋体" w:hAnsi="Times New Roman" w:cs="Times New Roman"/>
                <w:sz w:val="18"/>
                <w:szCs w:val="18"/>
                <w:vertAlign w:val="subscript"/>
              </w:rPr>
              <w:t>3</w:t>
            </w:r>
          </w:p>
        </w:tc>
        <w:tc>
          <w:tcPr>
            <w:tcW w:w="946" w:type="dxa"/>
            <w:vAlign w:val="center"/>
            <w:hideMark/>
          </w:tcPr>
          <w:p w14:paraId="344C5ED6" w14:textId="382EFCBE"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415EEB" w:rsidRPr="000A7793">
              <w:rPr>
                <w:rFonts w:ascii="Times New Roman" w:eastAsia="宋体" w:hAnsi="Times New Roman" w:cs="Times New Roman"/>
                <w:sz w:val="18"/>
                <w:szCs w:val="18"/>
              </w:rPr>
              <w:t>69</w:t>
            </w:r>
            <w:r w:rsidRPr="000A7793">
              <w:rPr>
                <w:rFonts w:ascii="Times New Roman" w:eastAsia="宋体" w:hAnsi="Times New Roman" w:cs="Times New Roman"/>
                <w:sz w:val="18"/>
                <w:szCs w:val="18"/>
              </w:rPr>
              <w:t>]</w:t>
            </w:r>
          </w:p>
        </w:tc>
      </w:tr>
      <w:tr w:rsidR="008D176E" w:rsidRPr="000A7793" w14:paraId="280EB0BA" w14:textId="77777777" w:rsidTr="00A71807">
        <w:trPr>
          <w:trHeight w:val="273"/>
          <w:jc w:val="center"/>
        </w:trPr>
        <w:tc>
          <w:tcPr>
            <w:tcW w:w="1617" w:type="dxa"/>
            <w:vMerge w:val="restart"/>
            <w:noWrap/>
            <w:vAlign w:val="center"/>
            <w:hideMark/>
          </w:tcPr>
          <w:p w14:paraId="2FC96627"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0.1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-1</w:t>
            </w:r>
            <w:r w:rsidRPr="000A7793">
              <w:rPr>
                <w:rFonts w:ascii="Times New Roman" w:eastAsia="宋体" w:hAnsi="Times New Roman" w:cs="Times New Roman"/>
                <w:sz w:val="18"/>
                <w:szCs w:val="18"/>
              </w:rPr>
              <w:t xml:space="preserve"> Mg</w:t>
            </w:r>
            <w:r w:rsidRPr="000A7793">
              <w:rPr>
                <w:rFonts w:ascii="Times New Roman" w:eastAsia="宋体" w:hAnsi="Times New Roman" w:cs="Times New Roman"/>
                <w:sz w:val="18"/>
                <w:szCs w:val="18"/>
                <w:vertAlign w:val="superscript"/>
              </w:rPr>
              <w:t>2+</w:t>
            </w:r>
          </w:p>
        </w:tc>
        <w:tc>
          <w:tcPr>
            <w:tcW w:w="1236" w:type="dxa"/>
            <w:noWrap/>
            <w:vAlign w:val="center"/>
            <w:hideMark/>
          </w:tcPr>
          <w:p w14:paraId="5C60AE9F"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Accumulation</w:t>
            </w:r>
          </w:p>
        </w:tc>
        <w:tc>
          <w:tcPr>
            <w:tcW w:w="1755" w:type="dxa"/>
            <w:noWrap/>
            <w:vAlign w:val="center"/>
            <w:hideMark/>
          </w:tcPr>
          <w:p w14:paraId="0417FC68"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87.02%</w:t>
            </w:r>
          </w:p>
        </w:tc>
        <w:tc>
          <w:tcPr>
            <w:tcW w:w="2068" w:type="dxa"/>
            <w:noWrap/>
            <w:vAlign w:val="center"/>
            <w:hideMark/>
          </w:tcPr>
          <w:p w14:paraId="273AD1D0"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0.1901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-1</w:t>
            </w:r>
            <w:r w:rsidRPr="000A7793">
              <w:rPr>
                <w:rFonts w:ascii="Times New Roman" w:eastAsia="宋体" w:hAnsi="Times New Roman" w:cs="Times New Roman"/>
                <w:sz w:val="18"/>
                <w:szCs w:val="18"/>
              </w:rPr>
              <w:t xml:space="preserve"> NH</w:t>
            </w:r>
            <w:r w:rsidRPr="000A7793">
              <w:rPr>
                <w:rFonts w:ascii="Times New Roman" w:eastAsia="宋体" w:hAnsi="Times New Roman" w:cs="Times New Roman"/>
                <w:sz w:val="18"/>
                <w:szCs w:val="18"/>
                <w:vertAlign w:val="subscript"/>
              </w:rPr>
              <w:t>3</w:t>
            </w:r>
          </w:p>
        </w:tc>
        <w:tc>
          <w:tcPr>
            <w:tcW w:w="946" w:type="dxa"/>
            <w:vMerge w:val="restart"/>
            <w:noWrap/>
            <w:vAlign w:val="center"/>
          </w:tcPr>
          <w:p w14:paraId="168FDC9A" w14:textId="6CFBEE11"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w:t>
            </w:r>
            <w:r w:rsidR="00DB079E" w:rsidRPr="000A7793">
              <w:rPr>
                <w:rFonts w:ascii="Times New Roman" w:eastAsia="宋体" w:hAnsi="Times New Roman" w:cs="Times New Roman"/>
                <w:sz w:val="18"/>
                <w:szCs w:val="18"/>
              </w:rPr>
              <w:t>7</w:t>
            </w:r>
            <w:r w:rsidR="00415EEB" w:rsidRPr="000A7793">
              <w:rPr>
                <w:rFonts w:ascii="Times New Roman" w:eastAsia="宋体" w:hAnsi="Times New Roman" w:cs="Times New Roman"/>
                <w:sz w:val="18"/>
                <w:szCs w:val="18"/>
              </w:rPr>
              <w:t>0</w:t>
            </w:r>
            <w:r w:rsidRPr="000A7793">
              <w:rPr>
                <w:rFonts w:ascii="Times New Roman" w:eastAsia="宋体" w:hAnsi="Times New Roman" w:cs="Times New Roman"/>
                <w:sz w:val="18"/>
                <w:szCs w:val="18"/>
              </w:rPr>
              <w:t>]</w:t>
            </w:r>
          </w:p>
        </w:tc>
      </w:tr>
      <w:tr w:rsidR="00754681" w:rsidRPr="000A7793" w14:paraId="7F3B483A" w14:textId="77777777" w:rsidTr="00A71807">
        <w:trPr>
          <w:trHeight w:val="273"/>
          <w:jc w:val="center"/>
        </w:trPr>
        <w:tc>
          <w:tcPr>
            <w:tcW w:w="1617" w:type="dxa"/>
            <w:vMerge/>
            <w:vAlign w:val="center"/>
            <w:hideMark/>
          </w:tcPr>
          <w:p w14:paraId="569E8C90" w14:textId="77777777" w:rsidR="00754681" w:rsidRPr="000A7793" w:rsidRDefault="00754681" w:rsidP="00396CEF">
            <w:pPr>
              <w:widowControl/>
              <w:spacing w:line="360" w:lineRule="auto"/>
              <w:ind w:firstLineChars="300" w:firstLine="540"/>
              <w:jc w:val="center"/>
              <w:rPr>
                <w:rFonts w:ascii="Times New Roman" w:eastAsia="宋体" w:hAnsi="Times New Roman" w:cs="Times New Roman"/>
                <w:sz w:val="18"/>
                <w:szCs w:val="18"/>
              </w:rPr>
            </w:pPr>
          </w:p>
        </w:tc>
        <w:tc>
          <w:tcPr>
            <w:tcW w:w="1236" w:type="dxa"/>
            <w:noWrap/>
            <w:vAlign w:val="center"/>
            <w:hideMark/>
          </w:tcPr>
          <w:p w14:paraId="1B83449C"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Instantaneous value</w:t>
            </w:r>
          </w:p>
        </w:tc>
        <w:tc>
          <w:tcPr>
            <w:tcW w:w="1755" w:type="dxa"/>
            <w:noWrap/>
            <w:vAlign w:val="center"/>
            <w:hideMark/>
          </w:tcPr>
          <w:p w14:paraId="15EBD56A"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86.40%</w:t>
            </w:r>
          </w:p>
        </w:tc>
        <w:tc>
          <w:tcPr>
            <w:tcW w:w="2068" w:type="dxa"/>
            <w:noWrap/>
            <w:vAlign w:val="center"/>
            <w:hideMark/>
          </w:tcPr>
          <w:p w14:paraId="1366F497" w14:textId="77777777" w:rsidR="00754681" w:rsidRPr="000A7793" w:rsidRDefault="00754681" w:rsidP="00396CEF">
            <w:pPr>
              <w:widowControl/>
              <w:spacing w:line="360" w:lineRule="auto"/>
              <w:jc w:val="center"/>
              <w:rPr>
                <w:rFonts w:ascii="Times New Roman" w:eastAsia="宋体" w:hAnsi="Times New Roman" w:cs="Times New Roman"/>
                <w:sz w:val="18"/>
                <w:szCs w:val="18"/>
              </w:rPr>
            </w:pPr>
            <w:r w:rsidRPr="000A7793">
              <w:rPr>
                <w:rFonts w:ascii="Times New Roman" w:eastAsia="宋体" w:hAnsi="Times New Roman" w:cs="Times New Roman"/>
                <w:sz w:val="18"/>
                <w:szCs w:val="18"/>
              </w:rPr>
              <w:t>0.1901 mol</w:t>
            </w:r>
            <w:r w:rsidRPr="000A7793">
              <w:rPr>
                <w:rFonts w:ascii="Times New Roman" w:eastAsia="等线" w:hAnsi="Times New Roman" w:cs="Times New Roman"/>
                <w:sz w:val="18"/>
                <w:szCs w:val="18"/>
              </w:rPr>
              <w:t>·</w:t>
            </w:r>
            <w:r w:rsidRPr="000A7793">
              <w:rPr>
                <w:rFonts w:ascii="Times New Roman" w:eastAsia="宋体" w:hAnsi="Times New Roman" w:cs="Times New Roman"/>
                <w:sz w:val="18"/>
                <w:szCs w:val="18"/>
              </w:rPr>
              <w:t>L</w:t>
            </w:r>
            <w:r w:rsidRPr="000A7793">
              <w:rPr>
                <w:rFonts w:ascii="Times New Roman" w:eastAsia="宋体" w:hAnsi="Times New Roman" w:cs="Times New Roman"/>
                <w:sz w:val="18"/>
                <w:szCs w:val="18"/>
                <w:vertAlign w:val="superscript"/>
              </w:rPr>
              <w:t>-1</w:t>
            </w:r>
            <w:r w:rsidRPr="000A7793">
              <w:rPr>
                <w:rFonts w:ascii="Times New Roman" w:eastAsia="宋体" w:hAnsi="Times New Roman" w:cs="Times New Roman"/>
                <w:sz w:val="18"/>
                <w:szCs w:val="18"/>
              </w:rPr>
              <w:t xml:space="preserve"> NH</w:t>
            </w:r>
            <w:r w:rsidRPr="000A7793">
              <w:rPr>
                <w:rFonts w:ascii="Times New Roman" w:eastAsia="宋体" w:hAnsi="Times New Roman" w:cs="Times New Roman"/>
                <w:sz w:val="18"/>
                <w:szCs w:val="18"/>
                <w:vertAlign w:val="subscript"/>
              </w:rPr>
              <w:t>3</w:t>
            </w:r>
          </w:p>
        </w:tc>
        <w:tc>
          <w:tcPr>
            <w:tcW w:w="946" w:type="dxa"/>
            <w:vMerge/>
            <w:vAlign w:val="center"/>
          </w:tcPr>
          <w:p w14:paraId="6FC1F75B" w14:textId="77777777" w:rsidR="00754681" w:rsidRPr="000A7793" w:rsidRDefault="00754681" w:rsidP="00396CEF">
            <w:pPr>
              <w:widowControl/>
              <w:spacing w:line="360" w:lineRule="auto"/>
              <w:ind w:firstLineChars="300" w:firstLine="540"/>
              <w:jc w:val="center"/>
              <w:rPr>
                <w:rFonts w:ascii="Times New Roman" w:eastAsia="宋体" w:hAnsi="Times New Roman" w:cs="Times New Roman"/>
                <w:sz w:val="18"/>
                <w:szCs w:val="18"/>
              </w:rPr>
            </w:pPr>
          </w:p>
        </w:tc>
      </w:tr>
    </w:tbl>
    <w:p w14:paraId="1200D4F8" w14:textId="239E3399" w:rsidR="00D50E92" w:rsidRPr="000A7793" w:rsidRDefault="00D50E92" w:rsidP="00396CEF">
      <w:pPr>
        <w:widowControl/>
        <w:spacing w:afterLines="50" w:after="120" w:line="360" w:lineRule="auto"/>
        <w:jc w:val="center"/>
        <w:rPr>
          <w:rFonts w:ascii="Times New Roman" w:eastAsia="宋体" w:hAnsi="Times New Roman" w:cs="Times New Roman"/>
        </w:rPr>
      </w:pPr>
    </w:p>
    <w:p w14:paraId="072E4D00" w14:textId="77777777" w:rsidR="00D50E92" w:rsidRPr="000A7793" w:rsidRDefault="00D50E92" w:rsidP="00396CEF">
      <w:pPr>
        <w:widowControl/>
        <w:spacing w:line="360" w:lineRule="auto"/>
        <w:jc w:val="center"/>
        <w:rPr>
          <w:rFonts w:ascii="Times New Roman" w:eastAsia="宋体" w:hAnsi="Times New Roman" w:cs="Times New Roman"/>
        </w:rPr>
      </w:pPr>
      <w:r w:rsidRPr="000A7793">
        <w:rPr>
          <w:rFonts w:ascii="Times New Roman" w:eastAsia="宋体" w:hAnsi="Times New Roman" w:cs="Times New Roman"/>
        </w:rPr>
        <w:br w:type="page"/>
      </w:r>
    </w:p>
    <w:p w14:paraId="0064B095" w14:textId="0A3223C6" w:rsidR="00193F1A" w:rsidRPr="000A7793" w:rsidRDefault="00787D34" w:rsidP="00396CEF">
      <w:pPr>
        <w:spacing w:line="360" w:lineRule="auto"/>
        <w:jc w:val="left"/>
        <w:rPr>
          <w:rFonts w:ascii="Times New Roman" w:eastAsia="宋体" w:hAnsi="Times New Roman" w:cs="Times New Roman"/>
          <w:b/>
          <w:bCs/>
        </w:rPr>
      </w:pPr>
      <w:bookmarkStart w:id="7" w:name="OLE_LINK85"/>
      <w:r w:rsidRPr="000A7793">
        <w:rPr>
          <w:rFonts w:ascii="Times New Roman" w:eastAsia="宋体" w:hAnsi="Times New Roman" w:cs="Times New Roman"/>
          <w:b/>
          <w:bCs/>
          <w:kern w:val="0"/>
          <w:sz w:val="24"/>
          <w:szCs w:val="28"/>
        </w:rPr>
        <w:t>Ref</w:t>
      </w:r>
      <w:r w:rsidRPr="000A7793">
        <w:rPr>
          <w:rFonts w:ascii="Times New Roman" w:eastAsia="宋体" w:hAnsi="Times New Roman" w:cs="Times New Roman"/>
          <w:b/>
          <w:bCs/>
        </w:rPr>
        <w:t>erences:</w:t>
      </w:r>
    </w:p>
    <w:bookmarkEnd w:id="7"/>
    <w:p w14:paraId="6E373C96"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[1] Galdo M I L, García J D R, Lorenzo J M R. Numerical model to analyze the physicochemical mechanisms involved in CO₂ absorption by an aqueous ammonia droplet. International Journal of Environmental Research and Public Health, 2021, 18(8): 4119.</w:t>
      </w:r>
    </w:p>
    <w:p w14:paraId="4FAB8E2B"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[2] </w:t>
      </w:r>
      <w:proofErr w:type="spellStart"/>
      <w:r w:rsidRPr="000A7793">
        <w:rPr>
          <w:rFonts w:ascii="Times New Roman" w:eastAsia="宋体" w:hAnsi="Times New Roman" w:cs="Times New Roman"/>
        </w:rPr>
        <w:t>Roziaedy</w:t>
      </w:r>
      <w:proofErr w:type="spellEnd"/>
      <w:r w:rsidRPr="000A7793">
        <w:rPr>
          <w:rFonts w:ascii="Times New Roman" w:eastAsia="宋体" w:hAnsi="Times New Roman" w:cs="Times New Roman"/>
        </w:rPr>
        <w:t xml:space="preserve"> S F. Kinetic Modelling and Simulation of Carbon Dioxide Absorption into Aqueous Ammonia Solution. Dissertation for the Doctoral Degree. Perak: </w:t>
      </w:r>
      <w:proofErr w:type="spellStart"/>
      <w:r w:rsidRPr="000A7793">
        <w:rPr>
          <w:rFonts w:ascii="Times New Roman" w:eastAsia="宋体" w:hAnsi="Times New Roman" w:cs="Times New Roman"/>
        </w:rPr>
        <w:t>Universiti</w:t>
      </w:r>
      <w:proofErr w:type="spellEnd"/>
      <w:r w:rsidRPr="000A7793">
        <w:rPr>
          <w:rFonts w:ascii="Times New Roman" w:eastAsia="宋体" w:hAnsi="Times New Roman" w:cs="Times New Roman"/>
        </w:rPr>
        <w:t xml:space="preserve"> </w:t>
      </w:r>
      <w:proofErr w:type="spellStart"/>
      <w:r w:rsidRPr="000A7793">
        <w:rPr>
          <w:rFonts w:ascii="Times New Roman" w:eastAsia="宋体" w:hAnsi="Times New Roman" w:cs="Times New Roman"/>
        </w:rPr>
        <w:t>Teknologi</w:t>
      </w:r>
      <w:proofErr w:type="spellEnd"/>
      <w:r w:rsidRPr="000A7793">
        <w:rPr>
          <w:rFonts w:ascii="Times New Roman" w:eastAsia="宋体" w:hAnsi="Times New Roman" w:cs="Times New Roman"/>
        </w:rPr>
        <w:t xml:space="preserve"> PETRONAS, 2014.</w:t>
      </w:r>
    </w:p>
    <w:p w14:paraId="74586E38" w14:textId="3252E9A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[3] Chu F, Yang L, Yang Y. Mass transfer and energy consumption for CO2 absorption by ammonia solution in bubble column. Applied Energy, 2017, 190: 1068–1080.</w:t>
      </w:r>
    </w:p>
    <w:p w14:paraId="528068BF" w14:textId="42F11E6D"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[4] Sun Z, Fan M, Argyle M. Desorption kinetics of the </w:t>
      </w:r>
      <w:proofErr w:type="spellStart"/>
      <w:r w:rsidRPr="000A7793">
        <w:rPr>
          <w:rFonts w:ascii="Times New Roman" w:eastAsia="宋体" w:hAnsi="Times New Roman" w:cs="Times New Roman"/>
        </w:rPr>
        <w:t>monoethanolamine</w:t>
      </w:r>
      <w:proofErr w:type="spellEnd"/>
      <w:r w:rsidRPr="000A7793">
        <w:rPr>
          <w:rFonts w:ascii="Times New Roman" w:eastAsia="宋体" w:hAnsi="Times New Roman" w:cs="Times New Roman"/>
        </w:rPr>
        <w:t>/</w:t>
      </w:r>
      <w:proofErr w:type="spellStart"/>
      <w:r w:rsidRPr="000A7793">
        <w:rPr>
          <w:rFonts w:ascii="Times New Roman" w:eastAsia="宋体" w:hAnsi="Times New Roman" w:cs="Times New Roman"/>
        </w:rPr>
        <w:t>macroporous</w:t>
      </w:r>
      <w:proofErr w:type="spellEnd"/>
      <w:r w:rsidRPr="000A7793">
        <w:rPr>
          <w:rFonts w:ascii="Times New Roman" w:eastAsia="宋体" w:hAnsi="Times New Roman" w:cs="Times New Roman"/>
        </w:rPr>
        <w:t xml:space="preserve"> TiO2-based CO₂ separation process. Energy &amp; Fuels, 2011, 25(7): 2988–2996.</w:t>
      </w:r>
    </w:p>
    <w:p w14:paraId="4F738030"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 Liu G B, Yu K T, Yuan X G, Liu C J, Guo Q C. Simulations of chemical absorption in pilot-scale and industrial-scale packed columns by computational mass transfer. Chemical Engineering Science, 2006, 61(19): 6511–6529.</w:t>
      </w:r>
    </w:p>
    <w:p w14:paraId="10E94336"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 Chu F, Liu Y, Yang L, Du X, Yang Y. Ammonia escape mass transfer and heat transfer characteristics of CO₂ absorption in packed absorbing column. Applied Energy, 2017, 205: 1596–1604.</w:t>
      </w:r>
    </w:p>
    <w:p w14:paraId="03B5B4E0"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[7] Xu Y, Jin B, Zhao Y, Hu E J, Chen X, Li X. Numerical simulation of aqueous ammonia-based CO₂ absorption in a sprayer tower: An integrated model combining gas-liquid hydrodynamics and chemistry. Applied Energy, 2018, 211: 318–333.</w:t>
      </w:r>
    </w:p>
    <w:p w14:paraId="35323E67"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[8] Rinker E B, Ashour S </w:t>
      </w:r>
      <w:proofErr w:type="spellStart"/>
      <w:r w:rsidRPr="000A7793">
        <w:rPr>
          <w:rFonts w:ascii="Times New Roman" w:eastAsia="宋体" w:hAnsi="Times New Roman" w:cs="Times New Roman"/>
        </w:rPr>
        <w:t>S</w:t>
      </w:r>
      <w:proofErr w:type="spellEnd"/>
      <w:r w:rsidRPr="000A7793">
        <w:rPr>
          <w:rFonts w:ascii="Times New Roman" w:eastAsia="宋体" w:hAnsi="Times New Roman" w:cs="Times New Roman"/>
        </w:rPr>
        <w:t>, Sandall O C. Kinetics and modeling of carbon dioxide absorption into aqueous solutions of diethanolamine. Industrial &amp; Engineering Chemistry Research, 1996, 35(4): 1107–1114.</w:t>
      </w:r>
      <w:bookmarkStart w:id="8" w:name="OLE_LINK89"/>
    </w:p>
    <w:p w14:paraId="433881FF" w14:textId="62262E2E"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[9] Li L, </w:t>
      </w:r>
      <w:proofErr w:type="spellStart"/>
      <w:r w:rsidRPr="000A7793">
        <w:rPr>
          <w:rFonts w:ascii="Times New Roman" w:eastAsia="宋体" w:hAnsi="Times New Roman" w:cs="Times New Roman"/>
        </w:rPr>
        <w:t>Puxty</w:t>
      </w:r>
      <w:proofErr w:type="spellEnd"/>
      <w:r w:rsidRPr="000A7793">
        <w:rPr>
          <w:rFonts w:ascii="Times New Roman" w:eastAsia="宋体" w:hAnsi="Times New Roman" w:cs="Times New Roman"/>
        </w:rPr>
        <w:t xml:space="preserve"> G, Maeder M, Burns R, Yu H, Conway W. Kinetic Absorption of CO</w:t>
      </w:r>
      <w:r w:rsidRPr="000A7793">
        <w:rPr>
          <w:rFonts w:ascii="Times New Roman" w:eastAsia="宋体" w:hAnsi="Times New Roman" w:cs="Times New Roman"/>
          <w:vertAlign w:val="subscript"/>
        </w:rPr>
        <w:t>2</w:t>
      </w:r>
      <w:bookmarkEnd w:id="8"/>
      <w:r w:rsidRPr="000A7793">
        <w:rPr>
          <w:rFonts w:ascii="Times New Roman" w:eastAsia="宋体" w:hAnsi="Times New Roman" w:cs="Times New Roman"/>
        </w:rPr>
        <w:t xml:space="preserve"> into Blended Ammonia (NH</w:t>
      </w:r>
      <w:r w:rsidRPr="000A7793">
        <w:rPr>
          <w:rFonts w:ascii="Times New Roman" w:eastAsia="宋体" w:hAnsi="Times New Roman" w:cs="Times New Roman"/>
          <w:vertAlign w:val="subscript"/>
        </w:rPr>
        <w:t>3</w:t>
      </w:r>
      <w:r w:rsidRPr="000A7793">
        <w:rPr>
          <w:rFonts w:ascii="Times New Roman" w:eastAsia="宋体" w:hAnsi="Times New Roman" w:cs="Times New Roman"/>
        </w:rPr>
        <w:t>) Solutions with a New Cyclic Amine 4-Aminomethyltetrahydropyran (4-AMTHP). Energy &amp; Fuels, 2019, 33(6): 5377–5383.</w:t>
      </w:r>
    </w:p>
    <w:p w14:paraId="4EE57025"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[10] Li L, Conway W, </w:t>
      </w:r>
      <w:proofErr w:type="spellStart"/>
      <w:r w:rsidRPr="000A7793">
        <w:rPr>
          <w:rFonts w:ascii="Times New Roman" w:eastAsia="宋体" w:hAnsi="Times New Roman" w:cs="Times New Roman"/>
        </w:rPr>
        <w:t>Puxty</w:t>
      </w:r>
      <w:proofErr w:type="spellEnd"/>
      <w:r w:rsidRPr="000A7793">
        <w:rPr>
          <w:rFonts w:ascii="Times New Roman" w:eastAsia="宋体" w:hAnsi="Times New Roman" w:cs="Times New Roman"/>
        </w:rPr>
        <w:t xml:space="preserve"> G, Burns R, Clifford S, Maeder M, Yu H. The effect of piperazine (PZ) on CO₂ absorption kinetics into aqueous ammonia solutions at 25.0 °C. International Journal of Greenhouse Gas Control, 2015, 36: 135–143.</w:t>
      </w:r>
    </w:p>
    <w:p w14:paraId="15311372" w14:textId="5B08065A"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[11] Xiang Q, Fang M, Maeder M, Yu H. Effect of </w:t>
      </w:r>
      <w:proofErr w:type="spellStart"/>
      <w:r w:rsidRPr="000A7793">
        <w:rPr>
          <w:rFonts w:ascii="Times New Roman" w:eastAsia="宋体" w:hAnsi="Times New Roman" w:cs="Times New Roman"/>
        </w:rPr>
        <w:t>Sarcosinate</w:t>
      </w:r>
      <w:proofErr w:type="spellEnd"/>
      <w:r w:rsidRPr="000A7793">
        <w:rPr>
          <w:rFonts w:ascii="Times New Roman" w:eastAsia="宋体" w:hAnsi="Times New Roman" w:cs="Times New Roman"/>
        </w:rPr>
        <w:t xml:space="preserve"> on the Absorption Kinetics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into Aqueous Ammonia Solution. Industrial &amp; Engineering Chemistry Research, 2013, 52(19): 6382–6389.</w:t>
      </w:r>
    </w:p>
    <w:p w14:paraId="6FC626E4" w14:textId="7E7DCFB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[12] Wang X, Conway W, Fernandes D, Lawrance G, Burns R, </w:t>
      </w:r>
      <w:proofErr w:type="spellStart"/>
      <w:r w:rsidRPr="000A7793">
        <w:rPr>
          <w:rFonts w:ascii="Times New Roman" w:eastAsia="宋体" w:hAnsi="Times New Roman" w:cs="Times New Roman"/>
        </w:rPr>
        <w:t>Puxty</w:t>
      </w:r>
      <w:proofErr w:type="spellEnd"/>
      <w:r w:rsidRPr="000A7793">
        <w:rPr>
          <w:rFonts w:ascii="Times New Roman" w:eastAsia="宋体" w:hAnsi="Times New Roman" w:cs="Times New Roman"/>
        </w:rPr>
        <w:t xml:space="preserve"> G, Maeder M. Kinetics of the reversible reaction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w:t>
      </w:r>
      <w:proofErr w:type="spellStart"/>
      <w:r w:rsidRPr="000A7793">
        <w:rPr>
          <w:rFonts w:ascii="Times New Roman" w:eastAsia="宋体" w:hAnsi="Times New Roman" w:cs="Times New Roman"/>
        </w:rPr>
        <w:t>aq</w:t>
      </w:r>
      <w:proofErr w:type="spellEnd"/>
      <w:r w:rsidRPr="000A7793">
        <w:rPr>
          <w:rFonts w:ascii="Times New Roman" w:eastAsia="宋体" w:hAnsi="Times New Roman" w:cs="Times New Roman"/>
        </w:rPr>
        <w:t>) with ammonia in aqueous solution. The Journal of Physical Chemistry A, 2011, 115(24): 6405–6412.</w:t>
      </w:r>
    </w:p>
    <w:p w14:paraId="5DF02ACC" w14:textId="7C40C16C"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[13] Kim Y, Lim S, Park J M. The effects of Cu(II) ion as an additive on NH3 loss and CO2absorption in ammonia-based </w:t>
      </w:r>
      <w:bookmarkStart w:id="9" w:name="OLE_LINK90"/>
      <w:bookmarkStart w:id="10" w:name="OLE_LINK91"/>
      <w:bookmarkStart w:id="11" w:name="OLE_LINK92"/>
      <w:r w:rsidRPr="000A7793">
        <w:rPr>
          <w:rFonts w:ascii="Times New Roman" w:eastAsia="宋体" w:hAnsi="Times New Roman" w:cs="Times New Roman"/>
        </w:rPr>
        <w:t>CO</w:t>
      </w:r>
      <w:bookmarkEnd w:id="9"/>
      <w:r w:rsidRPr="000A7793">
        <w:rPr>
          <w:rFonts w:ascii="Times New Roman" w:eastAsia="宋体" w:hAnsi="Times New Roman" w:cs="Times New Roman"/>
          <w:vertAlign w:val="subscript"/>
        </w:rPr>
        <w:t>2</w:t>
      </w:r>
      <w:bookmarkEnd w:id="10"/>
      <w:r w:rsidRPr="000A7793">
        <w:rPr>
          <w:rFonts w:ascii="Times New Roman" w:eastAsia="宋体" w:hAnsi="Times New Roman" w:cs="Times New Roman"/>
        </w:rPr>
        <w:t xml:space="preserve"> </w:t>
      </w:r>
      <w:bookmarkEnd w:id="11"/>
      <w:r w:rsidRPr="000A7793">
        <w:rPr>
          <w:rFonts w:ascii="Times New Roman" w:eastAsia="宋体" w:hAnsi="Times New Roman" w:cs="Times New Roman"/>
        </w:rPr>
        <w:t>capture processes. Chemical Engineering Journal, 2012, 211–212: 327–335.</w:t>
      </w:r>
    </w:p>
    <w:p w14:paraId="525DB598" w14:textId="715291EA"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[14] Holmes P E, Naaz M, Poling B E. Ion concentrations in the CO</w:t>
      </w:r>
      <w:r w:rsidRPr="000A7793">
        <w:rPr>
          <w:rFonts w:ascii="Times New Roman" w:eastAsia="宋体" w:hAnsi="Times New Roman" w:cs="Times New Roman"/>
          <w:vertAlign w:val="subscript"/>
        </w:rPr>
        <w:t>2</w:t>
      </w:r>
      <w:r w:rsidRPr="000A7793">
        <w:rPr>
          <w:rFonts w:ascii="Times New Roman" w:eastAsia="宋体" w:hAnsi="Times New Roman" w:cs="Times New Roman"/>
        </w:rPr>
        <w:t>–NH</w:t>
      </w:r>
      <w:r w:rsidRPr="000A7793">
        <w:rPr>
          <w:rFonts w:ascii="Times New Roman" w:eastAsia="宋体" w:hAnsi="Times New Roman" w:cs="Times New Roman"/>
          <w:vertAlign w:val="subscript"/>
        </w:rPr>
        <w:t>3</w:t>
      </w:r>
      <w:r w:rsidRPr="000A7793">
        <w:rPr>
          <w:rFonts w:ascii="Times New Roman" w:eastAsia="宋体" w:hAnsi="Times New Roman" w:cs="Times New Roman"/>
        </w:rPr>
        <w:t>–H</w:t>
      </w:r>
      <w:r w:rsidRPr="000A7793">
        <w:rPr>
          <w:rFonts w:ascii="Times New Roman" w:eastAsia="宋体" w:hAnsi="Times New Roman" w:cs="Times New Roman"/>
          <w:vertAlign w:val="subscript"/>
        </w:rPr>
        <w:t>2</w:t>
      </w:r>
      <w:r w:rsidRPr="000A7793">
        <w:rPr>
          <w:rFonts w:ascii="Times New Roman" w:eastAsia="宋体" w:hAnsi="Times New Roman" w:cs="Times New Roman"/>
        </w:rPr>
        <w:t>O system from ¹³C NMR spectroscopy. Industrial &amp; Engineering Chemistry Research, 1998, 37(8): 3281–3287.</w:t>
      </w:r>
    </w:p>
    <w:p w14:paraId="291FE856"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[15] Yeh J T, Resnik K P, </w:t>
      </w:r>
      <w:proofErr w:type="spellStart"/>
      <w:r w:rsidRPr="000A7793">
        <w:rPr>
          <w:rFonts w:ascii="Times New Roman" w:eastAsia="宋体" w:hAnsi="Times New Roman" w:cs="Times New Roman"/>
        </w:rPr>
        <w:t>Rygle</w:t>
      </w:r>
      <w:proofErr w:type="spellEnd"/>
      <w:r w:rsidRPr="000A7793">
        <w:rPr>
          <w:rFonts w:ascii="Times New Roman" w:eastAsia="宋体" w:hAnsi="Times New Roman" w:cs="Times New Roman"/>
        </w:rPr>
        <w:t xml:space="preserve"> K, </w:t>
      </w:r>
      <w:proofErr w:type="spellStart"/>
      <w:r w:rsidRPr="000A7793">
        <w:rPr>
          <w:rFonts w:ascii="Times New Roman" w:eastAsia="宋体" w:hAnsi="Times New Roman" w:cs="Times New Roman"/>
        </w:rPr>
        <w:t>Pennline</w:t>
      </w:r>
      <w:proofErr w:type="spellEnd"/>
      <w:r w:rsidRPr="000A7793">
        <w:rPr>
          <w:rFonts w:ascii="Times New Roman" w:eastAsia="宋体" w:hAnsi="Times New Roman" w:cs="Times New Roman"/>
        </w:rPr>
        <w:t xml:space="preserve"> H W. Semibatch absorption and regeneration studies for CO₂ capture by aqueous ammonia. Fuel Processing Technology, 2005, 86(14–15): 1533–1546.</w:t>
      </w:r>
    </w:p>
    <w:p w14:paraId="3097044F" w14:textId="48FA94F0"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[16] Fabrizio M, </w:t>
      </w:r>
      <w:proofErr w:type="spellStart"/>
      <w:r w:rsidRPr="000A7793">
        <w:rPr>
          <w:rFonts w:ascii="Times New Roman" w:eastAsia="宋体" w:hAnsi="Times New Roman" w:cs="Times New Roman"/>
        </w:rPr>
        <w:t>Peruzzini</w:t>
      </w:r>
      <w:proofErr w:type="spellEnd"/>
      <w:r w:rsidRPr="000A7793">
        <w:rPr>
          <w:rFonts w:ascii="Times New Roman" w:eastAsia="宋体" w:hAnsi="Times New Roman" w:cs="Times New Roman"/>
        </w:rPr>
        <w:t xml:space="preserve"> M, </w:t>
      </w:r>
      <w:proofErr w:type="spellStart"/>
      <w:r w:rsidRPr="000A7793">
        <w:rPr>
          <w:rFonts w:ascii="Times New Roman" w:eastAsia="宋体" w:hAnsi="Times New Roman" w:cs="Times New Roman"/>
        </w:rPr>
        <w:t>Stoppioni</w:t>
      </w:r>
      <w:proofErr w:type="spellEnd"/>
      <w:r w:rsidRPr="000A7793">
        <w:rPr>
          <w:rFonts w:ascii="Times New Roman" w:eastAsia="宋体" w:hAnsi="Times New Roman" w:cs="Times New Roman"/>
        </w:rPr>
        <w:t xml:space="preserve"> P. CO₂ absorption by aqueous NH₃ solutions: speciation of ammonium carbonate, bicarbonate and carbonate by a 13C NMR study. Green Chemistry, 2006, 8(11): 995–1000.</w:t>
      </w:r>
    </w:p>
    <w:p w14:paraId="3CC85EED" w14:textId="6182DA91"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[17] Choi M, Choi M, Lee J W. Empirical formula for the mass flux in chemical absorption of CO</w:t>
      </w:r>
      <w:r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with ammonia droplets. Applied Energy, 2016, 164: 1–9.</w:t>
      </w:r>
    </w:p>
    <w:p w14:paraId="7395D0DB"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[18] </w:t>
      </w:r>
      <w:proofErr w:type="spellStart"/>
      <w:r w:rsidRPr="000A7793">
        <w:rPr>
          <w:rFonts w:ascii="Times New Roman" w:eastAsia="宋体" w:hAnsi="Times New Roman" w:cs="Times New Roman"/>
        </w:rPr>
        <w:t>Milella</w:t>
      </w:r>
      <w:proofErr w:type="spellEnd"/>
      <w:r w:rsidRPr="000A7793">
        <w:rPr>
          <w:rFonts w:ascii="Times New Roman" w:eastAsia="宋体" w:hAnsi="Times New Roman" w:cs="Times New Roman"/>
        </w:rPr>
        <w:t xml:space="preserve"> F, Mazzotti M. Estimating speciation of aqueous ammonia solutions of ammonium bicarbonate: application of least squares methods to infrared spectra. Reaction Chemistry &amp; Engineering, 2019, 4(7): 1284–1302.</w:t>
      </w:r>
    </w:p>
    <w:p w14:paraId="505366A0" w14:textId="4028DE83"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[19] Atzori F, Barzagli F, Varone A, Cao G, </w:t>
      </w:r>
      <w:proofErr w:type="spellStart"/>
      <w:r w:rsidRPr="000A7793">
        <w:rPr>
          <w:rFonts w:ascii="Times New Roman" w:eastAsia="宋体" w:hAnsi="Times New Roman" w:cs="Times New Roman"/>
        </w:rPr>
        <w:t>Concas</w:t>
      </w:r>
      <w:proofErr w:type="spellEnd"/>
      <w:r w:rsidRPr="000A7793">
        <w:rPr>
          <w:rFonts w:ascii="Times New Roman" w:eastAsia="宋体" w:hAnsi="Times New Roman" w:cs="Times New Roman"/>
        </w:rPr>
        <w:t xml:space="preserve"> A.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in aqueous NH</w:t>
      </w:r>
      <w:r w:rsidR="000A7793" w:rsidRPr="000A7793">
        <w:rPr>
          <w:rFonts w:ascii="Times New Roman" w:eastAsia="宋体" w:hAnsi="Times New Roman" w:cs="Times New Roman"/>
          <w:vertAlign w:val="subscript"/>
        </w:rPr>
        <w:t>3</w:t>
      </w:r>
      <w:r w:rsidRPr="000A7793">
        <w:rPr>
          <w:rFonts w:ascii="Times New Roman" w:eastAsia="宋体" w:hAnsi="Times New Roman" w:cs="Times New Roman"/>
        </w:rPr>
        <w:t xml:space="preserve"> solutions: Novel dynamic modeling of experimental outcomes. Chemical Engineering Journal, 2023, 451: 138999.</w:t>
      </w:r>
    </w:p>
    <w:p w14:paraId="2C65B5A3" w14:textId="79117DE1"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[20] Sanchez L M G, </w:t>
      </w:r>
      <w:proofErr w:type="spellStart"/>
      <w:r w:rsidRPr="000A7793">
        <w:rPr>
          <w:rFonts w:ascii="Times New Roman" w:eastAsia="宋体" w:hAnsi="Times New Roman" w:cs="Times New Roman"/>
        </w:rPr>
        <w:t>Meindersma</w:t>
      </w:r>
      <w:proofErr w:type="spellEnd"/>
      <w:r w:rsidRPr="000A7793">
        <w:rPr>
          <w:rFonts w:ascii="Times New Roman" w:eastAsia="宋体" w:hAnsi="Times New Roman" w:cs="Times New Roman"/>
        </w:rPr>
        <w:t xml:space="preserve"> G W, de Haan A B. Kinetics of absorption of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in amino-functionalized ionic liquids. Chemical Engineering Journal, 2011, 166(3): 1104–1115.</w:t>
      </w:r>
    </w:p>
    <w:p w14:paraId="7BBFC85A"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[21] Cao F, Gao H, Ling H, Huang Y, Liang Z. Theoretical modeling of the mass transfer performance of CO₂ absorption into DEAB solution in hollow fiber membrane contactor. Journal of Membrane Science, 2020, 593: 117439.</w:t>
      </w:r>
    </w:p>
    <w:p w14:paraId="5A080229"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[22] DeCoursey W J. Absorption with chemical reaction: development of a new relation for the </w:t>
      </w:r>
      <w:proofErr w:type="spellStart"/>
      <w:r w:rsidRPr="000A7793">
        <w:rPr>
          <w:rFonts w:ascii="Times New Roman" w:eastAsia="宋体" w:hAnsi="Times New Roman" w:cs="Times New Roman"/>
        </w:rPr>
        <w:t>Danckwerts</w:t>
      </w:r>
      <w:proofErr w:type="spellEnd"/>
      <w:r w:rsidRPr="000A7793">
        <w:rPr>
          <w:rFonts w:ascii="Times New Roman" w:eastAsia="宋体" w:hAnsi="Times New Roman" w:cs="Times New Roman"/>
        </w:rPr>
        <w:t xml:space="preserve"> model. Chemical Engineering Science, 1974, 29(9): 1867–1872.</w:t>
      </w:r>
    </w:p>
    <w:p w14:paraId="5C66E05F" w14:textId="5F417514"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[23] Li K, Yu H, Tade M, Feron P. Theoretical and experimental study of NH₃ suppression by addition of Me(II) ions (Ni, Cu and Zn) in an ammonia-based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capture process. International Journal of Greenhouse Gas Control, 2014, 24: 54–63.</w:t>
      </w:r>
    </w:p>
    <w:p w14:paraId="19A31786" w14:textId="232F06EA"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[24] Sun Z, Fan M, Argyle M. Desorption kinetics of the </w:t>
      </w:r>
      <w:proofErr w:type="spellStart"/>
      <w:r w:rsidRPr="000A7793">
        <w:rPr>
          <w:rFonts w:ascii="Times New Roman" w:eastAsia="宋体" w:hAnsi="Times New Roman" w:cs="Times New Roman"/>
        </w:rPr>
        <w:t>monoethanolamine</w:t>
      </w:r>
      <w:proofErr w:type="spellEnd"/>
      <w:r w:rsidRPr="000A7793">
        <w:rPr>
          <w:rFonts w:ascii="Times New Roman" w:eastAsia="宋体" w:hAnsi="Times New Roman" w:cs="Times New Roman"/>
        </w:rPr>
        <w:t>/</w:t>
      </w:r>
      <w:proofErr w:type="spellStart"/>
      <w:r w:rsidRPr="000A7793">
        <w:rPr>
          <w:rFonts w:ascii="Times New Roman" w:eastAsia="宋体" w:hAnsi="Times New Roman" w:cs="Times New Roman"/>
        </w:rPr>
        <w:t>macroporous</w:t>
      </w:r>
      <w:proofErr w:type="spellEnd"/>
      <w:r w:rsidRPr="000A7793">
        <w:rPr>
          <w:rFonts w:ascii="Times New Roman" w:eastAsia="宋体" w:hAnsi="Times New Roman" w:cs="Times New Roman"/>
        </w:rPr>
        <w:t xml:space="preserve"> TiO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-based CO₂ separation process. Energy &amp; Fuels, 2011, 25(7): 2988–2996.</w:t>
      </w:r>
    </w:p>
    <w:p w14:paraId="06BBFB4F" w14:textId="1550B361"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[25] Zhu D, Fang M, Zhong L, Zhang C, Luo Z. Semi-batch experimental study on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characteristic of aqueous ammonia. Energy Procedia, 2011, 4: 156–163.</w:t>
      </w:r>
    </w:p>
    <w:p w14:paraId="6EFBFE09"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[26] Liu J, Wang S, Zhao B, Qi G, Chen C. Study on mass transfer and kinetics of CO₂ absorption into aqueous ammonia and piperazine blended solutions. Chemical Engineering Science, 2012, 75: 298–308.</w:t>
      </w:r>
    </w:p>
    <w:p w14:paraId="3C3FEC81" w14:textId="1797F50B"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[27] Yu H, Xiang Q, Fang M, Yang Q, Feron P. Promoted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in aqueous ammonia. Greenhouse Gases: Science and Technology, 2012, 2(3): 200–208.</w:t>
      </w:r>
    </w:p>
    <w:p w14:paraId="4F46F681" w14:textId="262965C9"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[28] Yang N, Xu D, Yu H, Conway W, Maeder M, Feron P. Potassium </w:t>
      </w:r>
      <w:proofErr w:type="spellStart"/>
      <w:r w:rsidRPr="000A7793">
        <w:rPr>
          <w:rFonts w:ascii="Times New Roman" w:eastAsia="宋体" w:hAnsi="Times New Roman" w:cs="Times New Roman"/>
        </w:rPr>
        <w:t>sarcosinate</w:t>
      </w:r>
      <w:proofErr w:type="spellEnd"/>
      <w:r w:rsidRPr="000A7793">
        <w:rPr>
          <w:rFonts w:ascii="Times New Roman" w:eastAsia="宋体" w:hAnsi="Times New Roman" w:cs="Times New Roman"/>
        </w:rPr>
        <w:t xml:space="preserve"> promoted aqueous ammonia solution for post-combustion capture of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Greenhouse Gases: Science and Technology, 2014, 4(4): 555–567.</w:t>
      </w:r>
    </w:p>
    <w:p w14:paraId="680A722F" w14:textId="1BFAE0C6"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[29] Ma S, Chen G, Zhu S, Wen J, Gao R, Ma L, Chai J. Experimental study of mixed additive of Ni(II) and piperazine on ammonia escape in CO</w:t>
      </w:r>
      <w:r w:rsidR="000A7793" w:rsidRPr="000A7793">
        <w:rPr>
          <w:rFonts w:ascii="Times New Roman" w:eastAsia="宋体" w:hAnsi="Times New Roman" w:cs="Times New Roman"/>
          <w:vertAlign w:val="subscript"/>
        </w:rPr>
        <w:t>2</w:t>
      </w:r>
      <w:r w:rsidR="000A7793" w:rsidRPr="000A7793">
        <w:rPr>
          <w:rFonts w:ascii="Times New Roman" w:eastAsia="宋体" w:hAnsi="Times New Roman" w:cs="Times New Roman"/>
        </w:rPr>
        <w:t xml:space="preserve"> </w:t>
      </w:r>
      <w:r w:rsidRPr="000A7793">
        <w:rPr>
          <w:rFonts w:ascii="Times New Roman" w:eastAsia="宋体" w:hAnsi="Times New Roman" w:cs="Times New Roman"/>
        </w:rPr>
        <w:t>capture using ammonia solution. Applied Energy, 2016, 169: 597–606.</w:t>
      </w:r>
    </w:p>
    <w:p w14:paraId="5AECA9AD"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[30] Jeon S, Seo J B, Lee H, Kang S, Oh K. Absorption kinetics of carbon dioxide into aqueous ammonia solution: Addition of hydroxyl groups for suppression of vaporization. Korean Journal of Chemical Engineering, 2013, 30(9): 1790–1796.</w:t>
      </w:r>
    </w:p>
    <w:p w14:paraId="7044AD6E"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[31] Rashidi H, Azimi H, Rasouli P. Carbon dioxide absorption by ammonia-promoted aqueous triethanolamine solution in a packed bed. Korean Journal of Chemical Engineering, 2023, 40(9): 2282–2292.</w:t>
      </w:r>
    </w:p>
    <w:p w14:paraId="4082CD44" w14:textId="47B4D57B"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[32] Liang Y, Yang L, Liu S, Xu R, Jiang W, Wu P. Study on the process intensification of </w:t>
      </w:r>
      <w:proofErr w:type="spellStart"/>
      <w:r w:rsidRPr="000A7793">
        <w:rPr>
          <w:rFonts w:ascii="Times New Roman" w:eastAsia="宋体" w:hAnsi="Times New Roman" w:cs="Times New Roman"/>
        </w:rPr>
        <w:t>superaerophobic</w:t>
      </w:r>
      <w:proofErr w:type="spellEnd"/>
      <w:r w:rsidRPr="000A7793">
        <w:rPr>
          <w:rFonts w:ascii="Times New Roman" w:eastAsia="宋体" w:hAnsi="Times New Roman" w:cs="Times New Roman"/>
        </w:rPr>
        <w:t xml:space="preserve"> materials to improve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mass transfer efficiency. Chemical Engineering and Processing - Process Intensification, 2023, 183: 109213.</w:t>
      </w:r>
    </w:p>
    <w:p w14:paraId="08252763" w14:textId="43E75ABA"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[33] Ma S, Fan S, Chen L, Yang P, Chen G, Ma J. Absorption Kinetics of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in Aqueous Ammonia with High Load and Salinity. Industrial &amp; Engineering Chemistry Research, 2023, 62(18): 7384–7396.</w:t>
      </w:r>
    </w:p>
    <w:p w14:paraId="7928852A" w14:textId="79DAF3BF"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[34] </w:t>
      </w:r>
      <w:proofErr w:type="spellStart"/>
      <w:r w:rsidRPr="000A7793">
        <w:rPr>
          <w:rFonts w:ascii="Times New Roman" w:eastAsia="宋体" w:hAnsi="Times New Roman" w:cs="Times New Roman"/>
        </w:rPr>
        <w:t>Palitsakun</w:t>
      </w:r>
      <w:proofErr w:type="spellEnd"/>
      <w:r w:rsidRPr="000A7793">
        <w:rPr>
          <w:rFonts w:ascii="Times New Roman" w:eastAsia="宋体" w:hAnsi="Times New Roman" w:cs="Times New Roman"/>
        </w:rPr>
        <w:t xml:space="preserve"> S, </w:t>
      </w:r>
      <w:proofErr w:type="spellStart"/>
      <w:r w:rsidRPr="000A7793">
        <w:rPr>
          <w:rFonts w:ascii="Times New Roman" w:eastAsia="宋体" w:hAnsi="Times New Roman" w:cs="Times New Roman"/>
        </w:rPr>
        <w:t>Seubsai</w:t>
      </w:r>
      <w:proofErr w:type="spellEnd"/>
      <w:r w:rsidRPr="000A7793">
        <w:rPr>
          <w:rFonts w:ascii="Times New Roman" w:eastAsia="宋体" w:hAnsi="Times New Roman" w:cs="Times New Roman"/>
        </w:rPr>
        <w:t xml:space="preserve"> A, </w:t>
      </w:r>
      <w:proofErr w:type="spellStart"/>
      <w:r w:rsidRPr="000A7793">
        <w:rPr>
          <w:rFonts w:ascii="Times New Roman" w:eastAsia="宋体" w:hAnsi="Times New Roman" w:cs="Times New Roman"/>
        </w:rPr>
        <w:t>Sudsakorn</w:t>
      </w:r>
      <w:proofErr w:type="spellEnd"/>
      <w:r w:rsidRPr="000A7793">
        <w:rPr>
          <w:rFonts w:ascii="Times New Roman" w:eastAsia="宋体" w:hAnsi="Times New Roman" w:cs="Times New Roman"/>
        </w:rPr>
        <w:t xml:space="preserve"> K.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capture in the form of thermally stable solid compounds using ammoniated brine. </w:t>
      </w:r>
      <w:proofErr w:type="spellStart"/>
      <w:r w:rsidRPr="000A7793">
        <w:rPr>
          <w:rFonts w:ascii="Times New Roman" w:eastAsia="宋体" w:hAnsi="Times New Roman" w:cs="Times New Roman"/>
        </w:rPr>
        <w:t>Songklanakarin</w:t>
      </w:r>
      <w:proofErr w:type="spellEnd"/>
      <w:r w:rsidRPr="000A7793">
        <w:rPr>
          <w:rFonts w:ascii="Times New Roman" w:eastAsia="宋体" w:hAnsi="Times New Roman" w:cs="Times New Roman"/>
        </w:rPr>
        <w:t xml:space="preserve"> Journal of Science and Technology, 2019, 41(1): 219–226.</w:t>
      </w:r>
    </w:p>
    <w:p w14:paraId="12FC7B5C" w14:textId="0656272C"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[35] Qi G, Wang S. Experimental study and rate-based modeling on combined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and SO</w:t>
      </w:r>
      <w:r w:rsidR="000A7793" w:rsidRPr="000A7793">
        <w:rPr>
          <w:rFonts w:ascii="Times New Roman" w:eastAsia="宋体" w:hAnsi="Times New Roman" w:cs="Times New Roman"/>
          <w:vertAlign w:val="subscript"/>
        </w:rPr>
        <w:t>2</w:t>
      </w:r>
      <w:r w:rsidR="000A7793" w:rsidRPr="000A7793">
        <w:rPr>
          <w:rFonts w:ascii="Times New Roman" w:eastAsia="宋体" w:hAnsi="Times New Roman" w:cs="Times New Roman"/>
        </w:rPr>
        <w:t xml:space="preserve">  </w:t>
      </w:r>
      <w:r w:rsidRPr="000A7793">
        <w:rPr>
          <w:rFonts w:ascii="Times New Roman" w:eastAsia="宋体" w:hAnsi="Times New Roman" w:cs="Times New Roman"/>
        </w:rPr>
        <w:t>absorption using aqueous NH₃ in packed column. Applied Energy, 2017, 206: 1532–1543.</w:t>
      </w:r>
    </w:p>
    <w:p w14:paraId="78A62CAD" w14:textId="3319C3FB"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[36] </w:t>
      </w:r>
      <w:proofErr w:type="spellStart"/>
      <w:r w:rsidRPr="000A7793">
        <w:rPr>
          <w:rFonts w:ascii="Times New Roman" w:eastAsia="宋体" w:hAnsi="Times New Roman" w:cs="Times New Roman"/>
        </w:rPr>
        <w:t>Puxty</w:t>
      </w:r>
      <w:proofErr w:type="spellEnd"/>
      <w:r w:rsidRPr="000A7793">
        <w:rPr>
          <w:rFonts w:ascii="Times New Roman" w:eastAsia="宋体" w:hAnsi="Times New Roman" w:cs="Times New Roman"/>
        </w:rPr>
        <w:t xml:space="preserve"> G, Rowland R, Attalla M. Comparison of the rate of CO</w:t>
      </w:r>
      <w:r w:rsidR="000A7793" w:rsidRPr="000A7793">
        <w:rPr>
          <w:rFonts w:ascii="Times New Roman" w:eastAsia="宋体" w:hAnsi="Times New Roman" w:cs="Times New Roman"/>
        </w:rPr>
        <w:t>2</w:t>
      </w:r>
      <w:r w:rsidRPr="000A7793">
        <w:rPr>
          <w:rFonts w:ascii="Times New Roman" w:eastAsia="宋体" w:hAnsi="Times New Roman" w:cs="Times New Roman"/>
        </w:rPr>
        <w:t xml:space="preserve"> absorption into aqueous ammonia and </w:t>
      </w:r>
      <w:proofErr w:type="spellStart"/>
      <w:r w:rsidRPr="000A7793">
        <w:rPr>
          <w:rFonts w:ascii="Times New Roman" w:eastAsia="宋体" w:hAnsi="Times New Roman" w:cs="Times New Roman"/>
        </w:rPr>
        <w:t>monoethanolamine</w:t>
      </w:r>
      <w:proofErr w:type="spellEnd"/>
      <w:r w:rsidRPr="000A7793">
        <w:rPr>
          <w:rFonts w:ascii="Times New Roman" w:eastAsia="宋体" w:hAnsi="Times New Roman" w:cs="Times New Roman"/>
        </w:rPr>
        <w:t>. Chemical Engineering Science, 2010, 65(2): 915–922.</w:t>
      </w:r>
    </w:p>
    <w:p w14:paraId="7CF66239"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[37] Atzori F, Barzagli F, Varone A, Cao G, </w:t>
      </w:r>
      <w:proofErr w:type="spellStart"/>
      <w:r w:rsidRPr="000A7793">
        <w:rPr>
          <w:rFonts w:ascii="Times New Roman" w:eastAsia="宋体" w:hAnsi="Times New Roman" w:cs="Times New Roman"/>
        </w:rPr>
        <w:t>Concas</w:t>
      </w:r>
      <w:proofErr w:type="spellEnd"/>
      <w:r w:rsidRPr="000A7793">
        <w:rPr>
          <w:rFonts w:ascii="Times New Roman" w:eastAsia="宋体" w:hAnsi="Times New Roman" w:cs="Times New Roman"/>
        </w:rPr>
        <w:t xml:space="preserve"> A. CO₂ absorption in aqueous NH₃ solutions: Novel dynamic modeling of experimental outcomes. Chemical Engineering Journal, 2023, 451: 138999.</w:t>
      </w:r>
    </w:p>
    <w:p w14:paraId="472EE640"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[38] Hu X, Yu Q, Barzagli F, Li C, Fan M, Gasem K A M, Zhang X, Shiko E, Tian M, Luo X, Zeng Z, Liu Y, Zhang R. NMR Techniques and Prediction Models for the Analysis of Species Formed in CO₂ Capture Processes with Amine-Based Sorbents: A Critical Review. ACS Sustainable Chemistry &amp; Engineering, 2020, 8(16): 6173–6193.</w:t>
      </w:r>
    </w:p>
    <w:p w14:paraId="63D78FF3" w14:textId="755D5E63"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[39] Li L, Conway W, </w:t>
      </w:r>
      <w:proofErr w:type="spellStart"/>
      <w:r w:rsidRPr="000A7793">
        <w:rPr>
          <w:rFonts w:ascii="Times New Roman" w:eastAsia="宋体" w:hAnsi="Times New Roman" w:cs="Times New Roman"/>
        </w:rPr>
        <w:t>Puxty</w:t>
      </w:r>
      <w:proofErr w:type="spellEnd"/>
      <w:r w:rsidRPr="000A7793">
        <w:rPr>
          <w:rFonts w:ascii="Times New Roman" w:eastAsia="宋体" w:hAnsi="Times New Roman" w:cs="Times New Roman"/>
        </w:rPr>
        <w:t xml:space="preserve"> G, Burns R, Clifford S, Maeder M, Yu H. The effect of piperazine (PZ) on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kinetics into aqueous ammonia solutions at 25.0 °C. International Journal of Greenhouse Gas Control, 2015, 36: 135–143.</w:t>
      </w:r>
    </w:p>
    <w:p w14:paraId="083170EF"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[40] Choi B G, Kim G H, Yi K B, Kim J N, Hong W H. Influence of operating temperature on CO₂–NH₃ reaction in an aqueous solution. Korean Journal of Chemical Engineering, 2012, 29(4): 478–482.</w:t>
      </w:r>
    </w:p>
    <w:p w14:paraId="2D0248F5" w14:textId="0633CE72"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[41] Halstensen M, </w:t>
      </w:r>
      <w:proofErr w:type="spellStart"/>
      <w:r w:rsidRPr="000A7793">
        <w:rPr>
          <w:rFonts w:ascii="Times New Roman" w:eastAsia="宋体" w:hAnsi="Times New Roman" w:cs="Times New Roman"/>
        </w:rPr>
        <w:t>Jilvero</w:t>
      </w:r>
      <w:proofErr w:type="spellEnd"/>
      <w:r w:rsidRPr="000A7793">
        <w:rPr>
          <w:rFonts w:ascii="Times New Roman" w:eastAsia="宋体" w:hAnsi="Times New Roman" w:cs="Times New Roman"/>
        </w:rPr>
        <w:t xml:space="preserve"> H, </w:t>
      </w:r>
      <w:proofErr w:type="spellStart"/>
      <w:r w:rsidRPr="000A7793">
        <w:rPr>
          <w:rFonts w:ascii="Times New Roman" w:eastAsia="宋体" w:hAnsi="Times New Roman" w:cs="Times New Roman"/>
        </w:rPr>
        <w:t>Jinadasa</w:t>
      </w:r>
      <w:proofErr w:type="spellEnd"/>
      <w:r w:rsidRPr="000A7793">
        <w:rPr>
          <w:rFonts w:ascii="Times New Roman" w:eastAsia="宋体" w:hAnsi="Times New Roman" w:cs="Times New Roman"/>
        </w:rPr>
        <w:t xml:space="preserve"> W N, Jens K J. Equilibrium Measurements of the NH</w:t>
      </w:r>
      <w:r w:rsidR="000A7793" w:rsidRPr="000A7793">
        <w:rPr>
          <w:rFonts w:ascii="Times New Roman" w:eastAsia="宋体" w:hAnsi="Times New Roman" w:cs="Times New Roman"/>
          <w:vertAlign w:val="subscript"/>
        </w:rPr>
        <w:t>3</w:t>
      </w:r>
      <w:r w:rsidRPr="000A7793">
        <w:rPr>
          <w:rFonts w:ascii="Times New Roman" w:eastAsia="宋体" w:hAnsi="Times New Roman" w:cs="Times New Roman"/>
        </w:rPr>
        <w:t>–CO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–H</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O System: Speciation Based on Raman Spectroscopy and Multivariate Modeling. Journal of Chemistry, 2017, 2017: 7590506.</w:t>
      </w:r>
    </w:p>
    <w:p w14:paraId="13EE9A40" w14:textId="3BC6D1DD"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[42] Qin F, Wang S, Hartono A, Svendsen H F, Chen C. Kinetics of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in aqueous ammonia solution. International Journal of Greenhouse Gas Control, 2010, 4(5): 729–738.</w:t>
      </w:r>
    </w:p>
    <w:p w14:paraId="756EBB6E" w14:textId="2FE975FB"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[43] </w:t>
      </w:r>
      <w:proofErr w:type="spellStart"/>
      <w:r w:rsidRPr="000A7793">
        <w:rPr>
          <w:rFonts w:ascii="Times New Roman" w:eastAsia="宋体" w:hAnsi="Times New Roman" w:cs="Times New Roman"/>
        </w:rPr>
        <w:t>Puxty</w:t>
      </w:r>
      <w:proofErr w:type="spellEnd"/>
      <w:r w:rsidRPr="000A7793">
        <w:rPr>
          <w:rFonts w:ascii="Times New Roman" w:eastAsia="宋体" w:hAnsi="Times New Roman" w:cs="Times New Roman"/>
        </w:rPr>
        <w:t xml:space="preserve"> G, Rowland R, Attalla M. Comparison of the rate of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into aqueous ammonia and </w:t>
      </w:r>
      <w:proofErr w:type="spellStart"/>
      <w:r w:rsidRPr="000A7793">
        <w:rPr>
          <w:rFonts w:ascii="Times New Roman" w:eastAsia="宋体" w:hAnsi="Times New Roman" w:cs="Times New Roman"/>
        </w:rPr>
        <w:t>monoethanolamine</w:t>
      </w:r>
      <w:proofErr w:type="spellEnd"/>
      <w:r w:rsidRPr="000A7793">
        <w:rPr>
          <w:rFonts w:ascii="Times New Roman" w:eastAsia="宋体" w:hAnsi="Times New Roman" w:cs="Times New Roman"/>
        </w:rPr>
        <w:t>. Chemical Engineering Science, 2010, 65(2): 915–922.</w:t>
      </w:r>
    </w:p>
    <w:p w14:paraId="4B3A1E25"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[44] </w:t>
      </w:r>
      <w:proofErr w:type="spellStart"/>
      <w:r w:rsidRPr="000A7793">
        <w:rPr>
          <w:rFonts w:ascii="Times New Roman" w:eastAsia="宋体" w:hAnsi="Times New Roman" w:cs="Times New Roman"/>
        </w:rPr>
        <w:t>Mehdipour</w:t>
      </w:r>
      <w:proofErr w:type="spellEnd"/>
      <w:r w:rsidRPr="000A7793">
        <w:rPr>
          <w:rFonts w:ascii="Times New Roman" w:eastAsia="宋体" w:hAnsi="Times New Roman" w:cs="Times New Roman"/>
        </w:rPr>
        <w:t xml:space="preserve"> M, Keshavarz P, </w:t>
      </w:r>
      <w:proofErr w:type="spellStart"/>
      <w:r w:rsidRPr="000A7793">
        <w:rPr>
          <w:rFonts w:ascii="Times New Roman" w:eastAsia="宋体" w:hAnsi="Times New Roman" w:cs="Times New Roman"/>
        </w:rPr>
        <w:t>Seraji</w:t>
      </w:r>
      <w:proofErr w:type="spellEnd"/>
      <w:r w:rsidRPr="000A7793">
        <w:rPr>
          <w:rFonts w:ascii="Times New Roman" w:eastAsia="宋体" w:hAnsi="Times New Roman" w:cs="Times New Roman"/>
        </w:rPr>
        <w:t xml:space="preserve"> A, Masoumi S. Performance analysis of ammonia solution for CO₂ capture using microporous membrane contactors. International Journal of Greenhouse Gas Control, 2014, 31: 16–24.</w:t>
      </w:r>
    </w:p>
    <w:p w14:paraId="0996D7C9" w14:textId="02811BC6"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[45] Zeng Q, Guo Y, Niu Z, Lin W. Mass transfer coefficients for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into aqueous ammonia solution using a packed column. Industrial &amp; Engineering Chemistry Research, 2011, 50(17): 10168–10175.</w:t>
      </w:r>
    </w:p>
    <w:p w14:paraId="214EDAF5"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[46] Ghosh U, Hong C, </w:t>
      </w:r>
      <w:proofErr w:type="spellStart"/>
      <w:r w:rsidRPr="000A7793">
        <w:rPr>
          <w:rFonts w:ascii="Times New Roman" w:eastAsia="宋体" w:hAnsi="Times New Roman" w:cs="Times New Roman"/>
        </w:rPr>
        <w:t>Nandong</w:t>
      </w:r>
      <w:proofErr w:type="spellEnd"/>
      <w:r w:rsidRPr="000A7793">
        <w:rPr>
          <w:rFonts w:ascii="Times New Roman" w:eastAsia="宋体" w:hAnsi="Times New Roman" w:cs="Times New Roman"/>
        </w:rPr>
        <w:t xml:space="preserve"> J, Shen S. Modelling of carbon dioxide absorption into aqueous ammonia solution in a wetted wall column. </w:t>
      </w:r>
      <w:proofErr w:type="spellStart"/>
      <w:r w:rsidRPr="000A7793">
        <w:rPr>
          <w:rFonts w:ascii="Times New Roman" w:eastAsia="宋体" w:hAnsi="Times New Roman" w:cs="Times New Roman"/>
        </w:rPr>
        <w:t>Pertanika</w:t>
      </w:r>
      <w:proofErr w:type="spellEnd"/>
      <w:r w:rsidRPr="000A7793">
        <w:rPr>
          <w:rFonts w:ascii="Times New Roman" w:eastAsia="宋体" w:hAnsi="Times New Roman" w:cs="Times New Roman"/>
        </w:rPr>
        <w:t xml:space="preserve"> Journal of Science &amp; Technology, 2015, 23(1): 89–104.</w:t>
      </w:r>
    </w:p>
    <w:p w14:paraId="5A053A2D" w14:textId="3163B7E5"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[47] Liu J, Wang S, Zhao B, Qi G, Chen C. Study on mass transfer and kinetics of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into aqueous ammonia and piperazine blended solutions. Chemical Engineering Science, 2012, 75: 298–308.</w:t>
      </w:r>
    </w:p>
    <w:p w14:paraId="2B74F0AD" w14:textId="57195BE8"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[48] Yu H, Xiang Q, Fang M, Yang Q, Feron P. Promoted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in aqueous ammonia. Greenhouse Gases: Science and Technology, 2012, 2(3): 200–208.</w:t>
      </w:r>
    </w:p>
    <w:p w14:paraId="3DB88E93" w14:textId="2B93B684"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[49] Kim G H, Park S Y, You J K, Hong W H, Kim J, Kim J.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absorption kinetics in a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-free and partially loaded aqueous ammonia solution. Chemical Engineering Journal, 2014, 250: 83–90.</w:t>
      </w:r>
    </w:p>
    <w:p w14:paraId="4DA30EA9"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[50] Chen P C, Yu S. CO₂ Capture and Crystallization of Ammonia Bicarbonate in a Lab-Scale Scrubber. Crystals, 2018, 8(1): 39.</w:t>
      </w:r>
    </w:p>
    <w:p w14:paraId="6A68AD31" w14:textId="0F39754C"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[51] Diao Y, Zheng X, He B, Chen C, Xu X. Experimental study on capturing CO</w:t>
      </w:r>
      <w:r w:rsidR="000A7793" w:rsidRPr="000A7793">
        <w:rPr>
          <w:rFonts w:ascii="Times New Roman" w:eastAsia="宋体" w:hAnsi="Times New Roman" w:cs="Times New Roman"/>
          <w:vertAlign w:val="subscript"/>
        </w:rPr>
        <w:t>2</w:t>
      </w:r>
      <w:r w:rsidRPr="000A7793">
        <w:rPr>
          <w:rFonts w:ascii="Times New Roman" w:eastAsia="宋体" w:hAnsi="Times New Roman" w:cs="Times New Roman"/>
        </w:rPr>
        <w:t xml:space="preserve"> greenhouse gas by ammonia scrubbing. Energy Conversion and Management, 2004, 45(13–14): 2283–2296.</w:t>
      </w:r>
    </w:p>
    <w:p w14:paraId="5AF7213A"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[52] Yuan L, Gao H, Jiang H, Zeng S, Zhang X. Experimental and thermodynamic analysis of NH₃ absorption in dual-functionalized pyridinium-based ionic liquids. Journal of Molecular Liquids, 2020, 323: 114601.</w:t>
      </w:r>
    </w:p>
    <w:p w14:paraId="253AAC6B"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[53] Zheng M, Hu X, Tu Z, Wu Y. Deep eutectic solvents with N–H hydrogen bond network structure for highly efficient ammonia capture. Separation and Purification Technology, 2023, 324: 124538.</w:t>
      </w:r>
    </w:p>
    <w:p w14:paraId="1C341554" w14:textId="71621EC0"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[54] Luo Q, Wang Q, Sun X, Wu H, Hao J, Wei L, Zhai S, Xiao Z, An Q. Dual-active-sites deep eutectic solvents based on imidazole and resorcinol for efficient capture of NH</w:t>
      </w:r>
      <w:r w:rsidR="000A7793" w:rsidRPr="000A7793">
        <w:rPr>
          <w:rFonts w:ascii="Times New Roman" w:eastAsia="宋体" w:hAnsi="Times New Roman" w:cs="Times New Roman"/>
          <w:vertAlign w:val="subscript"/>
        </w:rPr>
        <w:t>3</w:t>
      </w:r>
      <w:r w:rsidRPr="000A7793">
        <w:rPr>
          <w:rFonts w:ascii="Times New Roman" w:eastAsia="宋体" w:hAnsi="Times New Roman" w:cs="Times New Roman"/>
        </w:rPr>
        <w:t>. Chemical Engineering Journal, 2021, 416: 129114.</w:t>
      </w:r>
    </w:p>
    <w:p w14:paraId="7AB74040"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[55] Deng D, Duan X, Gao B, Zhang C, Deng X, Gong L. Efficient and reversible absorption of NH₃ by functional azole–glycerol deep eutectic solvents. New Journal of Chemistry, 2019, 43(29): 11636–11642.</w:t>
      </w:r>
    </w:p>
    <w:p w14:paraId="2D12BA9A" w14:textId="5EFCF88C"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[56] Zhou Z, Cao Y, Zong K, Deng D. Efficient absorption of low pressure NH</w:t>
      </w:r>
      <w:r w:rsidR="000A7793" w:rsidRPr="000A7793">
        <w:rPr>
          <w:rFonts w:ascii="Times New Roman" w:eastAsia="宋体" w:hAnsi="Times New Roman" w:cs="Times New Roman" w:hint="eastAsia"/>
          <w:vertAlign w:val="subscript"/>
        </w:rPr>
        <w:t>3</w:t>
      </w:r>
      <w:r w:rsidRPr="000A7793">
        <w:rPr>
          <w:rFonts w:ascii="Times New Roman" w:eastAsia="宋体" w:hAnsi="Times New Roman" w:cs="Times New Roman"/>
        </w:rPr>
        <w:t xml:space="preserve"> by non-ionic phenol-based deep eutectic solvents with multiple acidic sites. Journal of Molecular Liquids, 2023, 389: 122874.</w:t>
      </w:r>
    </w:p>
    <w:p w14:paraId="466C9639"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[57] Li Z, Zhong F, Zhou L, Tian Z, Huang K. Deep Eutectic Solvents Formed by N-</w:t>
      </w:r>
      <w:proofErr w:type="spellStart"/>
      <w:r w:rsidRPr="000A7793">
        <w:rPr>
          <w:rFonts w:ascii="Times New Roman" w:eastAsia="宋体" w:hAnsi="Times New Roman" w:cs="Times New Roman"/>
        </w:rPr>
        <w:t>Methylacetamide</w:t>
      </w:r>
      <w:proofErr w:type="spellEnd"/>
      <w:r w:rsidRPr="000A7793">
        <w:rPr>
          <w:rFonts w:ascii="Times New Roman" w:eastAsia="宋体" w:hAnsi="Times New Roman" w:cs="Times New Roman"/>
        </w:rPr>
        <w:t xml:space="preserve"> and Heterocyclic Weak Acids for Highly Efficient and Reversible Chemical Absorption of Ammonia. Industrial &amp; Engineering Chemistry Research, 2020, 59(5): 2060–2067.</w:t>
      </w:r>
    </w:p>
    <w:p w14:paraId="7CD91C62" w14:textId="5CC2B3A3"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[58] Deng D, Gao B, Zhang C, Duan X, Cui Y, Ning J. Investigation of protic NH₄SCN-based deep eutectic solvents as highly efficient and reversible NH</w:t>
      </w:r>
      <w:r w:rsidR="000A7793" w:rsidRPr="000A7793">
        <w:rPr>
          <w:rFonts w:ascii="Times New Roman" w:eastAsia="宋体" w:hAnsi="Times New Roman" w:cs="Times New Roman" w:hint="eastAsia"/>
          <w:vertAlign w:val="subscript"/>
        </w:rPr>
        <w:t>3</w:t>
      </w:r>
      <w:r w:rsidRPr="000A7793">
        <w:rPr>
          <w:rFonts w:ascii="Times New Roman" w:eastAsia="宋体" w:hAnsi="Times New Roman" w:cs="Times New Roman"/>
        </w:rPr>
        <w:t xml:space="preserve"> absorbents. Chemical Engineering Journal, 2019, 358: 936–943.</w:t>
      </w:r>
    </w:p>
    <w:p w14:paraId="45291611" w14:textId="15314BB8"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[59] Cao Y, Zhang X, Zeng S, Liu Y, Dong H, Deng C. Protic ionic liquid-based deep eutectic solvents with multiple hydrogen bonding sites for efficient absorption of NH</w:t>
      </w:r>
      <w:r w:rsidR="000A7793" w:rsidRPr="000A7793">
        <w:rPr>
          <w:rFonts w:ascii="Times New Roman" w:eastAsia="宋体" w:hAnsi="Times New Roman" w:cs="Times New Roman"/>
          <w:vertAlign w:val="subscript"/>
        </w:rPr>
        <w:t>3</w:t>
      </w:r>
      <w:r w:rsidRPr="000A7793">
        <w:rPr>
          <w:rFonts w:ascii="Times New Roman" w:eastAsia="宋体" w:hAnsi="Times New Roman" w:cs="Times New Roman"/>
        </w:rPr>
        <w:t>. AIChE Journal, 2020, 66(3): e16253.</w:t>
      </w:r>
    </w:p>
    <w:p w14:paraId="4621556D"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[60] Shao P, Xiong W, Chen P, Liu F, Chen T, Zhao T. Halogen-free deep eutectic solvents with multiple active sites for efficient absorption of ammonia. Separation and Purification Technology, 2024, 330: 125390.</w:t>
      </w:r>
    </w:p>
    <w:p w14:paraId="6039CEE2"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[61] Li Z, Zhang X, Dong H, Zhang X, Gao H, Zhang S, Li J, Wang C. Efficient absorption of ammonia with hydroxyl-functionalized ionic liquids. RSC Advances, 2015, 5(100): 81362–81370.</w:t>
      </w:r>
    </w:p>
    <w:p w14:paraId="5B1916B1"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[62] Shang D, Zhang X, Zeng S, Jiang K, Gao H, Dong H, Yang Q, Zhang S. Protic ionic liquid [Bim][</w:t>
      </w:r>
      <w:proofErr w:type="spellStart"/>
      <w:r w:rsidRPr="000A7793">
        <w:rPr>
          <w:rFonts w:ascii="Times New Roman" w:eastAsia="宋体" w:hAnsi="Times New Roman" w:cs="Times New Roman"/>
        </w:rPr>
        <w:t>NTf</w:t>
      </w:r>
      <w:proofErr w:type="spellEnd"/>
      <w:r w:rsidRPr="000A7793">
        <w:rPr>
          <w:rFonts w:ascii="Times New Roman" w:eastAsia="宋体" w:hAnsi="Times New Roman" w:cs="Times New Roman"/>
        </w:rPr>
        <w:t>₂] with strong hydrogen bond donating ability for highly efficient ammonia absorption. Green Chemistry, 2017, 19(4): 937–945.</w:t>
      </w:r>
    </w:p>
    <w:p w14:paraId="45AD46F7"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[63] Wang J, Zeng S, Huo F, Shang D, He H, Bai L, Zhang X, Li J. Metal chloride anion-based ionic liquids for efficient separation of NH₃. Journal of Cleaner Production, 2019, 206: 661–669.</w:t>
      </w:r>
    </w:p>
    <w:p w14:paraId="41855228"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[64] Zeng S, Liu L, Shang D, Feng J, Dong H, Xu Q, Zhang X, Zhang S. Efficient and reversible absorption of ammonia by cobalt ionic liquids through Lewis acid–base and cooperative hydrogen bond interactions. Green Chemistry, 2018, 20(9): 2075–2083.</w:t>
      </w:r>
    </w:p>
    <w:p w14:paraId="48F336ED"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[65] Sun X, Li G, Zeng S, Yuan L, Bai L, Zhang X. Ultra-high NH₃ absorption by triazole cation-functionalized ionic liquids through multiple hydrogen bonding. Separation and Purification Technology, 2023, 307: 122825.</w:t>
      </w:r>
    </w:p>
    <w:p w14:paraId="4ABCE857"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[66] Ma S, Song H, Zang B, Chen G, Zhu S. Experimental study of Co(II) additive on ammonia escape in carbon capture using renewable ammonia. Chemical Engineering Journal, 2013, 234: 430–436.</w:t>
      </w:r>
    </w:p>
    <w:p w14:paraId="09613FA0"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[67] Ma S, Chen G, Han T, Zhu S, Yu W. Experimental study on the effect of Ni(II) additive on ammonia escape in CO₂ capture using ammonia solution. International Journal of Greenhouse Gas Control, 2015, 37: 249–255.</w:t>
      </w:r>
    </w:p>
    <w:p w14:paraId="10CECEF8"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[68] </w:t>
      </w:r>
      <w:proofErr w:type="spellStart"/>
      <w:r w:rsidRPr="000A7793">
        <w:rPr>
          <w:rFonts w:ascii="Times New Roman" w:eastAsia="宋体" w:hAnsi="Times New Roman" w:cs="Times New Roman"/>
        </w:rPr>
        <w:t>Lv</w:t>
      </w:r>
      <w:proofErr w:type="spellEnd"/>
      <w:r w:rsidRPr="000A7793">
        <w:rPr>
          <w:rFonts w:ascii="Times New Roman" w:eastAsia="宋体" w:hAnsi="Times New Roman" w:cs="Times New Roman"/>
        </w:rPr>
        <w:t xml:space="preserve"> Z, Wang T, Qiao K, Yang L, Du X. Experimental study on carbon dioxide absorption by aqueous ammonia with nickel and chromium ions in bubbling tower at low temperatures. Chemical Engineering Research and Design, 2022, 179: 298–307.</w:t>
      </w:r>
    </w:p>
    <w:p w14:paraId="75C8B69B" w14:textId="77777777" w:rsidR="00F4645E"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 xml:space="preserve">[69] </w:t>
      </w:r>
      <w:proofErr w:type="spellStart"/>
      <w:r w:rsidRPr="000A7793">
        <w:rPr>
          <w:rFonts w:ascii="Times New Roman" w:eastAsia="宋体" w:hAnsi="Times New Roman" w:cs="Times New Roman"/>
        </w:rPr>
        <w:t>Lv</w:t>
      </w:r>
      <w:proofErr w:type="spellEnd"/>
      <w:r w:rsidRPr="000A7793">
        <w:rPr>
          <w:rFonts w:ascii="Times New Roman" w:eastAsia="宋体" w:hAnsi="Times New Roman" w:cs="Times New Roman"/>
        </w:rPr>
        <w:t xml:space="preserve"> Z, Qiao K, Chu F, Yang L, Du X. Experimental study of divalent metal ion effects on ammonia escape and carbon dioxide desorption in regeneration process of ammonia decarbonization. Chemical Engineering Journal, 2022, 435: 134841.</w:t>
      </w:r>
    </w:p>
    <w:p w14:paraId="69AD8E71" w14:textId="20F55794" w:rsidR="00556B60" w:rsidRPr="000A7793" w:rsidRDefault="00F4645E" w:rsidP="00F4645E">
      <w:pPr>
        <w:spacing w:line="360" w:lineRule="auto"/>
        <w:rPr>
          <w:rFonts w:ascii="Times New Roman" w:eastAsia="宋体" w:hAnsi="Times New Roman" w:cs="Times New Roman"/>
        </w:rPr>
      </w:pPr>
      <w:r w:rsidRPr="000A7793">
        <w:rPr>
          <w:rFonts w:ascii="Times New Roman" w:eastAsia="宋体" w:hAnsi="Times New Roman" w:cs="Times New Roman"/>
        </w:rPr>
        <w:t>[70] Ma S, Fan S, Chen L, Li Y, Liang B, Chen G, Zhu H, Yang L. High-performance of Mg</w:t>
      </w:r>
      <w:r w:rsidR="000A7793" w:rsidRPr="000A7793">
        <w:rPr>
          <w:rFonts w:ascii="Times New Roman" w:eastAsia="宋体" w:hAnsi="Times New Roman" w:cs="Times New Roman"/>
          <w:vertAlign w:val="superscript"/>
        </w:rPr>
        <w:t>2+</w:t>
      </w:r>
      <w:r w:rsidRPr="000A7793">
        <w:rPr>
          <w:rFonts w:ascii="Times New Roman" w:eastAsia="宋体" w:hAnsi="Times New Roman" w:cs="Times New Roman"/>
        </w:rPr>
        <w:t xml:space="preserve"> additive for addressing NH</w:t>
      </w:r>
      <w:r w:rsidR="000A7793" w:rsidRPr="000A7793">
        <w:rPr>
          <w:rFonts w:ascii="Times New Roman" w:eastAsia="宋体" w:hAnsi="Times New Roman" w:cs="Times New Roman" w:hint="eastAsia"/>
          <w:vertAlign w:val="subscript"/>
        </w:rPr>
        <w:t>3</w:t>
      </w:r>
      <w:r w:rsidRPr="000A7793">
        <w:rPr>
          <w:rFonts w:ascii="Times New Roman" w:eastAsia="宋体" w:hAnsi="Times New Roman" w:cs="Times New Roman"/>
        </w:rPr>
        <w:t xml:space="preserve"> escape in inorganic ammonia carbon capture. Separation and Purification Technology, 2024, 342: 126883.</w:t>
      </w:r>
    </w:p>
    <w:sectPr w:rsidR="00556B60" w:rsidRPr="000A7793" w:rsidSect="00194D5F">
      <w:pgSz w:w="11906" w:h="16838" w:code="9"/>
      <w:pgMar w:top="1440" w:right="1800" w:bottom="1440" w:left="180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2B78D" w14:textId="77777777" w:rsidR="009251EF" w:rsidRDefault="009251EF">
      <w:pPr>
        <w:rPr>
          <w:rFonts w:hint="eastAsia"/>
        </w:rPr>
      </w:pPr>
      <w:r>
        <w:separator/>
      </w:r>
    </w:p>
  </w:endnote>
  <w:endnote w:type="continuationSeparator" w:id="0">
    <w:p w14:paraId="06DAE29F" w14:textId="77777777" w:rsidR="009251EF" w:rsidRDefault="009251E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DejaVu Math TeX Gyre">
    <w:altName w:val="Calibri"/>
    <w:charset w:val="00"/>
    <w:family w:val="auto"/>
    <w:pitch w:val="variable"/>
    <w:sig w:usb0="A10000EF" w:usb1="4201F9EE" w:usb2="02000000" w:usb3="00000000" w:csb0="00000193"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A84D" w14:textId="77777777" w:rsidR="00AC682E" w:rsidRDefault="00AC682E">
    <w:pPr>
      <w:pStyle w:val="a5"/>
      <w:jc w:val="center"/>
    </w:pPr>
  </w:p>
  <w:p w14:paraId="63FC5721" w14:textId="77777777" w:rsidR="00AC682E" w:rsidRDefault="00AC682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9FBB9" w14:textId="77777777" w:rsidR="009251EF" w:rsidRDefault="009251EF">
      <w:pPr>
        <w:rPr>
          <w:rFonts w:hint="eastAsia"/>
        </w:rPr>
      </w:pPr>
      <w:r>
        <w:separator/>
      </w:r>
    </w:p>
  </w:footnote>
  <w:footnote w:type="continuationSeparator" w:id="0">
    <w:p w14:paraId="1B2A742C" w14:textId="77777777" w:rsidR="009251EF" w:rsidRDefault="009251E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86A3DA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15:restartNumberingAfterBreak="0">
    <w:nsid w:val="07810DB8"/>
    <w:multiLevelType w:val="hybridMultilevel"/>
    <w:tmpl w:val="F2EE4716"/>
    <w:lvl w:ilvl="0" w:tplc="822A2970">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26B71A5"/>
    <w:multiLevelType w:val="hybridMultilevel"/>
    <w:tmpl w:val="DB025D04"/>
    <w:lvl w:ilvl="0" w:tplc="78D4FCFC">
      <w:numFmt w:val="ideographLegalTradition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D667AD8"/>
    <w:multiLevelType w:val="hybridMultilevel"/>
    <w:tmpl w:val="23AA80AC"/>
    <w:lvl w:ilvl="0" w:tplc="0A54AAC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1B71FE6"/>
    <w:multiLevelType w:val="hybridMultilevel"/>
    <w:tmpl w:val="D61C86BE"/>
    <w:lvl w:ilvl="0" w:tplc="FC06036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63210DD"/>
    <w:multiLevelType w:val="hybridMultilevel"/>
    <w:tmpl w:val="2AA8D0D2"/>
    <w:lvl w:ilvl="0" w:tplc="BE8A262E">
      <w:start w:val="1"/>
      <w:numFmt w:val="decimal"/>
      <w:lvlText w:val="%1."/>
      <w:lvlJc w:val="left"/>
      <w:pPr>
        <w:ind w:left="360" w:hanging="360"/>
      </w:pPr>
      <w:rPr>
        <w:rFonts w:hint="default"/>
        <w:b/>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8D81F29"/>
    <w:multiLevelType w:val="hybridMultilevel"/>
    <w:tmpl w:val="F440CC00"/>
    <w:lvl w:ilvl="0" w:tplc="896C5DA4">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5CFB61AC"/>
    <w:multiLevelType w:val="hybridMultilevel"/>
    <w:tmpl w:val="E2AEAE82"/>
    <w:lvl w:ilvl="0" w:tplc="FC060FF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D314E74"/>
    <w:multiLevelType w:val="hybridMultilevel"/>
    <w:tmpl w:val="BE684F1E"/>
    <w:lvl w:ilvl="0" w:tplc="DD6ADF64">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F5A2073"/>
    <w:multiLevelType w:val="hybridMultilevel"/>
    <w:tmpl w:val="09F42638"/>
    <w:lvl w:ilvl="0" w:tplc="F56829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75CE4222"/>
    <w:multiLevelType w:val="multilevel"/>
    <w:tmpl w:val="B4C8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6203558">
    <w:abstractNumId w:val="2"/>
  </w:num>
  <w:num w:numId="2" w16cid:durableId="339046774">
    <w:abstractNumId w:val="3"/>
  </w:num>
  <w:num w:numId="3" w16cid:durableId="1958023207">
    <w:abstractNumId w:val="0"/>
  </w:num>
  <w:num w:numId="4" w16cid:durableId="126165527">
    <w:abstractNumId w:val="10"/>
  </w:num>
  <w:num w:numId="5" w16cid:durableId="2019960518">
    <w:abstractNumId w:val="6"/>
  </w:num>
  <w:num w:numId="6" w16cid:durableId="1188713625">
    <w:abstractNumId w:val="1"/>
  </w:num>
  <w:num w:numId="7" w16cid:durableId="1910114850">
    <w:abstractNumId w:val="8"/>
  </w:num>
  <w:num w:numId="8" w16cid:durableId="1998218473">
    <w:abstractNumId w:val="7"/>
  </w:num>
  <w:num w:numId="9" w16cid:durableId="2035694475">
    <w:abstractNumId w:val="4"/>
  </w:num>
  <w:num w:numId="10" w16cid:durableId="1851142917">
    <w:abstractNumId w:val="9"/>
  </w:num>
  <w:num w:numId="11" w16cid:durableId="6914987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bordersDoNotSurroundHeader/>
  <w:bordersDoNotSurroundFooter/>
  <w:proofState w:spelling="clean"/>
  <w:defaultTabStop w:val="420"/>
  <w:drawingGridHorizontalSpacing w:val="105"/>
  <w:drawingGridVerticalSpacing w:val="156"/>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F79B3"/>
    <w:rsid w:val="000157CB"/>
    <w:rsid w:val="0002540D"/>
    <w:rsid w:val="000369B2"/>
    <w:rsid w:val="00045C38"/>
    <w:rsid w:val="00047FEE"/>
    <w:rsid w:val="00053095"/>
    <w:rsid w:val="00056BCA"/>
    <w:rsid w:val="000606F1"/>
    <w:rsid w:val="00071C02"/>
    <w:rsid w:val="000A4274"/>
    <w:rsid w:val="000A7793"/>
    <w:rsid w:val="000B244A"/>
    <w:rsid w:val="000B6CB6"/>
    <w:rsid w:val="000B6EA7"/>
    <w:rsid w:val="000C4541"/>
    <w:rsid w:val="000E4E32"/>
    <w:rsid w:val="000E7E24"/>
    <w:rsid w:val="000F47AA"/>
    <w:rsid w:val="0010384C"/>
    <w:rsid w:val="0012148D"/>
    <w:rsid w:val="001221DA"/>
    <w:rsid w:val="001311DC"/>
    <w:rsid w:val="00143DFC"/>
    <w:rsid w:val="001463FE"/>
    <w:rsid w:val="00147115"/>
    <w:rsid w:val="0016354A"/>
    <w:rsid w:val="00170066"/>
    <w:rsid w:val="001724A7"/>
    <w:rsid w:val="00190104"/>
    <w:rsid w:val="00193F1A"/>
    <w:rsid w:val="00194547"/>
    <w:rsid w:val="00194B4B"/>
    <w:rsid w:val="00194D5F"/>
    <w:rsid w:val="001979E2"/>
    <w:rsid w:val="001A22EE"/>
    <w:rsid w:val="001B5DBE"/>
    <w:rsid w:val="001B6CCE"/>
    <w:rsid w:val="001C001E"/>
    <w:rsid w:val="001C3D63"/>
    <w:rsid w:val="001C7966"/>
    <w:rsid w:val="001D1534"/>
    <w:rsid w:val="001E0C5C"/>
    <w:rsid w:val="001E4484"/>
    <w:rsid w:val="002039E8"/>
    <w:rsid w:val="00205865"/>
    <w:rsid w:val="0022511D"/>
    <w:rsid w:val="00231FDE"/>
    <w:rsid w:val="00233A33"/>
    <w:rsid w:val="0024181D"/>
    <w:rsid w:val="00241F46"/>
    <w:rsid w:val="00245212"/>
    <w:rsid w:val="0027579C"/>
    <w:rsid w:val="0027746D"/>
    <w:rsid w:val="00286E8F"/>
    <w:rsid w:val="002927E9"/>
    <w:rsid w:val="002955CC"/>
    <w:rsid w:val="002959CB"/>
    <w:rsid w:val="00295C2D"/>
    <w:rsid w:val="002A794B"/>
    <w:rsid w:val="002B4C1D"/>
    <w:rsid w:val="002C1451"/>
    <w:rsid w:val="002D1486"/>
    <w:rsid w:val="002E47B6"/>
    <w:rsid w:val="002F154F"/>
    <w:rsid w:val="00307D2D"/>
    <w:rsid w:val="00311549"/>
    <w:rsid w:val="00335183"/>
    <w:rsid w:val="00364E07"/>
    <w:rsid w:val="00364EE8"/>
    <w:rsid w:val="00385013"/>
    <w:rsid w:val="00385D48"/>
    <w:rsid w:val="003909E3"/>
    <w:rsid w:val="003919E6"/>
    <w:rsid w:val="00391E49"/>
    <w:rsid w:val="003924F6"/>
    <w:rsid w:val="00396CEF"/>
    <w:rsid w:val="003B3905"/>
    <w:rsid w:val="003F2CA4"/>
    <w:rsid w:val="003F5FCD"/>
    <w:rsid w:val="0040640D"/>
    <w:rsid w:val="00407B45"/>
    <w:rsid w:val="00415EEB"/>
    <w:rsid w:val="00417F78"/>
    <w:rsid w:val="00417FF3"/>
    <w:rsid w:val="0044047D"/>
    <w:rsid w:val="00445CB3"/>
    <w:rsid w:val="004672F2"/>
    <w:rsid w:val="00474E62"/>
    <w:rsid w:val="00475657"/>
    <w:rsid w:val="00485FF3"/>
    <w:rsid w:val="0048618A"/>
    <w:rsid w:val="0049131B"/>
    <w:rsid w:val="00491399"/>
    <w:rsid w:val="00493707"/>
    <w:rsid w:val="004A3127"/>
    <w:rsid w:val="004B4750"/>
    <w:rsid w:val="004C31D6"/>
    <w:rsid w:val="004D0619"/>
    <w:rsid w:val="004F299A"/>
    <w:rsid w:val="00512F43"/>
    <w:rsid w:val="00535A89"/>
    <w:rsid w:val="00537E58"/>
    <w:rsid w:val="00542368"/>
    <w:rsid w:val="00556B60"/>
    <w:rsid w:val="00565897"/>
    <w:rsid w:val="005A4831"/>
    <w:rsid w:val="005A5A25"/>
    <w:rsid w:val="005B3022"/>
    <w:rsid w:val="005B6006"/>
    <w:rsid w:val="005C0910"/>
    <w:rsid w:val="005C755D"/>
    <w:rsid w:val="005C7B4E"/>
    <w:rsid w:val="005D3664"/>
    <w:rsid w:val="005D4868"/>
    <w:rsid w:val="005D4CAE"/>
    <w:rsid w:val="005E7A1B"/>
    <w:rsid w:val="005F6CF8"/>
    <w:rsid w:val="00622361"/>
    <w:rsid w:val="00623535"/>
    <w:rsid w:val="006365DC"/>
    <w:rsid w:val="00647099"/>
    <w:rsid w:val="00651CE7"/>
    <w:rsid w:val="00666228"/>
    <w:rsid w:val="0068615E"/>
    <w:rsid w:val="006A0F6D"/>
    <w:rsid w:val="006B3083"/>
    <w:rsid w:val="006C277E"/>
    <w:rsid w:val="006D7F60"/>
    <w:rsid w:val="007065D8"/>
    <w:rsid w:val="00711B2D"/>
    <w:rsid w:val="007151C9"/>
    <w:rsid w:val="00741F2F"/>
    <w:rsid w:val="00754681"/>
    <w:rsid w:val="00756B9C"/>
    <w:rsid w:val="007633A6"/>
    <w:rsid w:val="00787D34"/>
    <w:rsid w:val="007930D3"/>
    <w:rsid w:val="0079317E"/>
    <w:rsid w:val="0079747D"/>
    <w:rsid w:val="007A2B15"/>
    <w:rsid w:val="007A694A"/>
    <w:rsid w:val="007B3E62"/>
    <w:rsid w:val="007C47CC"/>
    <w:rsid w:val="007E3FC3"/>
    <w:rsid w:val="007F4246"/>
    <w:rsid w:val="00821604"/>
    <w:rsid w:val="00837214"/>
    <w:rsid w:val="008443C6"/>
    <w:rsid w:val="0085044A"/>
    <w:rsid w:val="008554A5"/>
    <w:rsid w:val="00855B00"/>
    <w:rsid w:val="0089127B"/>
    <w:rsid w:val="00896096"/>
    <w:rsid w:val="008A1F9B"/>
    <w:rsid w:val="008B77D4"/>
    <w:rsid w:val="008D176E"/>
    <w:rsid w:val="008F6512"/>
    <w:rsid w:val="00902D82"/>
    <w:rsid w:val="00911942"/>
    <w:rsid w:val="00921B45"/>
    <w:rsid w:val="009251EF"/>
    <w:rsid w:val="009302CC"/>
    <w:rsid w:val="0093384B"/>
    <w:rsid w:val="00935465"/>
    <w:rsid w:val="00936BB7"/>
    <w:rsid w:val="00940FF8"/>
    <w:rsid w:val="0095695F"/>
    <w:rsid w:val="009622FB"/>
    <w:rsid w:val="00975870"/>
    <w:rsid w:val="00976AEC"/>
    <w:rsid w:val="00986E2D"/>
    <w:rsid w:val="009A17DF"/>
    <w:rsid w:val="009C382F"/>
    <w:rsid w:val="009D135B"/>
    <w:rsid w:val="009D4CE7"/>
    <w:rsid w:val="009D4E96"/>
    <w:rsid w:val="009E01C7"/>
    <w:rsid w:val="009E18D1"/>
    <w:rsid w:val="009E669E"/>
    <w:rsid w:val="009F1BBB"/>
    <w:rsid w:val="009F5A5A"/>
    <w:rsid w:val="009F69AC"/>
    <w:rsid w:val="00A35302"/>
    <w:rsid w:val="00A51F4E"/>
    <w:rsid w:val="00A616CF"/>
    <w:rsid w:val="00A63790"/>
    <w:rsid w:val="00A6610E"/>
    <w:rsid w:val="00A71807"/>
    <w:rsid w:val="00A80780"/>
    <w:rsid w:val="00A810C0"/>
    <w:rsid w:val="00A82DCE"/>
    <w:rsid w:val="00A904E0"/>
    <w:rsid w:val="00AA1407"/>
    <w:rsid w:val="00AA5C1F"/>
    <w:rsid w:val="00AB1270"/>
    <w:rsid w:val="00AB3C90"/>
    <w:rsid w:val="00AB47B7"/>
    <w:rsid w:val="00AB77DD"/>
    <w:rsid w:val="00AC542E"/>
    <w:rsid w:val="00AC682E"/>
    <w:rsid w:val="00AD6C80"/>
    <w:rsid w:val="00AE3566"/>
    <w:rsid w:val="00AE7047"/>
    <w:rsid w:val="00B04297"/>
    <w:rsid w:val="00B14595"/>
    <w:rsid w:val="00B4366A"/>
    <w:rsid w:val="00B50E2D"/>
    <w:rsid w:val="00B67635"/>
    <w:rsid w:val="00B822A5"/>
    <w:rsid w:val="00B82A3B"/>
    <w:rsid w:val="00B85692"/>
    <w:rsid w:val="00B87B9A"/>
    <w:rsid w:val="00B90C71"/>
    <w:rsid w:val="00B91AC4"/>
    <w:rsid w:val="00BD2127"/>
    <w:rsid w:val="00BE24B5"/>
    <w:rsid w:val="00BE3BDA"/>
    <w:rsid w:val="00BF34F8"/>
    <w:rsid w:val="00BF731A"/>
    <w:rsid w:val="00BF79B3"/>
    <w:rsid w:val="00C10157"/>
    <w:rsid w:val="00C204AB"/>
    <w:rsid w:val="00C24DCF"/>
    <w:rsid w:val="00C25A3B"/>
    <w:rsid w:val="00C30296"/>
    <w:rsid w:val="00C4408D"/>
    <w:rsid w:val="00C51F1C"/>
    <w:rsid w:val="00C62EAB"/>
    <w:rsid w:val="00C66312"/>
    <w:rsid w:val="00C81276"/>
    <w:rsid w:val="00CA011C"/>
    <w:rsid w:val="00CA5C23"/>
    <w:rsid w:val="00CA6BDB"/>
    <w:rsid w:val="00CB09EF"/>
    <w:rsid w:val="00CB10FB"/>
    <w:rsid w:val="00CD25EE"/>
    <w:rsid w:val="00CD4750"/>
    <w:rsid w:val="00CD7589"/>
    <w:rsid w:val="00CE597D"/>
    <w:rsid w:val="00CF1907"/>
    <w:rsid w:val="00CF3B06"/>
    <w:rsid w:val="00D04A86"/>
    <w:rsid w:val="00D07049"/>
    <w:rsid w:val="00D17756"/>
    <w:rsid w:val="00D25B59"/>
    <w:rsid w:val="00D27B31"/>
    <w:rsid w:val="00D343FA"/>
    <w:rsid w:val="00D50E92"/>
    <w:rsid w:val="00D53C7F"/>
    <w:rsid w:val="00D55E9B"/>
    <w:rsid w:val="00D85A15"/>
    <w:rsid w:val="00DA4204"/>
    <w:rsid w:val="00DA5ABC"/>
    <w:rsid w:val="00DA75E5"/>
    <w:rsid w:val="00DB079E"/>
    <w:rsid w:val="00DE1F20"/>
    <w:rsid w:val="00DE3C6B"/>
    <w:rsid w:val="00DF1ED9"/>
    <w:rsid w:val="00DF27D9"/>
    <w:rsid w:val="00E03CE6"/>
    <w:rsid w:val="00E170C4"/>
    <w:rsid w:val="00E24FFF"/>
    <w:rsid w:val="00E26B4E"/>
    <w:rsid w:val="00E32C2F"/>
    <w:rsid w:val="00E33948"/>
    <w:rsid w:val="00E51CE7"/>
    <w:rsid w:val="00E55B74"/>
    <w:rsid w:val="00E65CDF"/>
    <w:rsid w:val="00E73992"/>
    <w:rsid w:val="00E81361"/>
    <w:rsid w:val="00EA0376"/>
    <w:rsid w:val="00EA70DC"/>
    <w:rsid w:val="00EC5B0C"/>
    <w:rsid w:val="00EC64E5"/>
    <w:rsid w:val="00EC7543"/>
    <w:rsid w:val="00ED6E3F"/>
    <w:rsid w:val="00EF2338"/>
    <w:rsid w:val="00EF424E"/>
    <w:rsid w:val="00EF701D"/>
    <w:rsid w:val="00EF72F4"/>
    <w:rsid w:val="00F02087"/>
    <w:rsid w:val="00F03A95"/>
    <w:rsid w:val="00F2576E"/>
    <w:rsid w:val="00F33D74"/>
    <w:rsid w:val="00F4645E"/>
    <w:rsid w:val="00F51A8A"/>
    <w:rsid w:val="00F559D6"/>
    <w:rsid w:val="00FA183E"/>
    <w:rsid w:val="00FB0F66"/>
    <w:rsid w:val="00FB23DA"/>
    <w:rsid w:val="00FC0701"/>
    <w:rsid w:val="00FC153F"/>
    <w:rsid w:val="00FC47DB"/>
    <w:rsid w:val="00FD79BA"/>
    <w:rsid w:val="00FE0BD7"/>
    <w:rsid w:val="00FE23F5"/>
    <w:rsid w:val="00FE4E15"/>
    <w:rsid w:val="00FF65B3"/>
    <w:rsid w:val="00FF75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2E4725"/>
  <w15:docId w15:val="{0B561EA1-E505-4659-B63B-BBA5297DD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F79B3"/>
    <w:pPr>
      <w:widowControl w:val="0"/>
      <w:jc w:val="both"/>
    </w:pPr>
    <w:rPr>
      <w:szCs w:val="21"/>
    </w:rPr>
  </w:style>
  <w:style w:type="paragraph" w:styleId="2">
    <w:name w:val="heading 2"/>
    <w:basedOn w:val="a0"/>
    <w:link w:val="20"/>
    <w:uiPriority w:val="9"/>
    <w:qFormat/>
    <w:rsid w:val="005B3022"/>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0"/>
    <w:next w:val="a0"/>
    <w:link w:val="30"/>
    <w:uiPriority w:val="9"/>
    <w:semiHidden/>
    <w:unhideWhenUsed/>
    <w:qFormat/>
    <w:rsid w:val="00D17756"/>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BF79B3"/>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unhideWhenUsed/>
    <w:rsid w:val="00E33948"/>
    <w:pPr>
      <w:tabs>
        <w:tab w:val="center" w:pos="4153"/>
        <w:tab w:val="right" w:pos="8306"/>
      </w:tabs>
      <w:snapToGrid w:val="0"/>
      <w:jc w:val="left"/>
    </w:pPr>
    <w:rPr>
      <w:rFonts w:ascii="Times New Roman" w:eastAsia="宋体" w:hAnsi="Times New Roman"/>
      <w:sz w:val="18"/>
      <w:szCs w:val="18"/>
    </w:rPr>
  </w:style>
  <w:style w:type="character" w:customStyle="1" w:styleId="a6">
    <w:name w:val="页脚 字符"/>
    <w:basedOn w:val="a1"/>
    <w:link w:val="a5"/>
    <w:uiPriority w:val="99"/>
    <w:rsid w:val="00E33948"/>
    <w:rPr>
      <w:rFonts w:ascii="Times New Roman" w:eastAsia="宋体" w:hAnsi="Times New Roman"/>
      <w:sz w:val="18"/>
      <w:szCs w:val="18"/>
    </w:rPr>
  </w:style>
  <w:style w:type="paragraph" w:styleId="a7">
    <w:name w:val="header"/>
    <w:basedOn w:val="a0"/>
    <w:link w:val="a8"/>
    <w:uiPriority w:val="99"/>
    <w:unhideWhenUsed/>
    <w:rsid w:val="00056BCA"/>
    <w:pPr>
      <w:tabs>
        <w:tab w:val="center" w:pos="4153"/>
        <w:tab w:val="right" w:pos="8306"/>
      </w:tabs>
      <w:snapToGrid w:val="0"/>
      <w:jc w:val="center"/>
    </w:pPr>
    <w:rPr>
      <w:sz w:val="18"/>
      <w:szCs w:val="18"/>
    </w:rPr>
  </w:style>
  <w:style w:type="character" w:customStyle="1" w:styleId="a8">
    <w:name w:val="页眉 字符"/>
    <w:basedOn w:val="a1"/>
    <w:link w:val="a7"/>
    <w:uiPriority w:val="99"/>
    <w:rsid w:val="00056BCA"/>
    <w:rPr>
      <w:sz w:val="18"/>
      <w:szCs w:val="18"/>
    </w:rPr>
  </w:style>
  <w:style w:type="table" w:customStyle="1" w:styleId="1">
    <w:name w:val="网格型浅色1"/>
    <w:basedOn w:val="a2"/>
    <w:uiPriority w:val="40"/>
    <w:rsid w:val="00AC542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9">
    <w:name w:val="Hyperlink"/>
    <w:basedOn w:val="a1"/>
    <w:uiPriority w:val="99"/>
    <w:unhideWhenUsed/>
    <w:rsid w:val="00F33D74"/>
    <w:rPr>
      <w:color w:val="0563C1" w:themeColor="hyperlink"/>
      <w:u w:val="single"/>
    </w:rPr>
  </w:style>
  <w:style w:type="character" w:customStyle="1" w:styleId="20">
    <w:name w:val="标题 2 字符"/>
    <w:basedOn w:val="a1"/>
    <w:link w:val="2"/>
    <w:uiPriority w:val="9"/>
    <w:rsid w:val="005B3022"/>
    <w:rPr>
      <w:rFonts w:ascii="宋体" w:eastAsia="宋体" w:hAnsi="宋体" w:cs="宋体"/>
      <w:b/>
      <w:bCs/>
      <w:kern w:val="0"/>
      <w:sz w:val="36"/>
      <w:szCs w:val="36"/>
    </w:rPr>
  </w:style>
  <w:style w:type="paragraph" w:styleId="aa">
    <w:name w:val="List Paragraph"/>
    <w:basedOn w:val="a0"/>
    <w:uiPriority w:val="34"/>
    <w:qFormat/>
    <w:rsid w:val="005B3022"/>
    <w:pPr>
      <w:ind w:firstLineChars="200" w:firstLine="420"/>
    </w:pPr>
    <w:rPr>
      <w:szCs w:val="22"/>
    </w:rPr>
  </w:style>
  <w:style w:type="table" w:styleId="ab">
    <w:name w:val="Grid Table Light"/>
    <w:basedOn w:val="a2"/>
    <w:uiPriority w:val="40"/>
    <w:rsid w:val="005B302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c">
    <w:name w:val="Placeholder Text"/>
    <w:basedOn w:val="a1"/>
    <w:uiPriority w:val="99"/>
    <w:semiHidden/>
    <w:rsid w:val="005B3022"/>
    <w:rPr>
      <w:color w:val="666666"/>
    </w:rPr>
  </w:style>
  <w:style w:type="character" w:styleId="ad">
    <w:name w:val="annotation reference"/>
    <w:basedOn w:val="a1"/>
    <w:uiPriority w:val="99"/>
    <w:semiHidden/>
    <w:unhideWhenUsed/>
    <w:rsid w:val="005B3022"/>
    <w:rPr>
      <w:sz w:val="21"/>
      <w:szCs w:val="21"/>
    </w:rPr>
  </w:style>
  <w:style w:type="paragraph" w:styleId="ae">
    <w:name w:val="annotation text"/>
    <w:basedOn w:val="a0"/>
    <w:link w:val="af"/>
    <w:uiPriority w:val="99"/>
    <w:unhideWhenUsed/>
    <w:rsid w:val="005B3022"/>
    <w:pPr>
      <w:jc w:val="left"/>
    </w:pPr>
    <w:rPr>
      <w:szCs w:val="22"/>
    </w:rPr>
  </w:style>
  <w:style w:type="character" w:customStyle="1" w:styleId="af">
    <w:name w:val="批注文字 字符"/>
    <w:basedOn w:val="a1"/>
    <w:link w:val="ae"/>
    <w:uiPriority w:val="99"/>
    <w:rsid w:val="005B3022"/>
  </w:style>
  <w:style w:type="paragraph" w:styleId="af0">
    <w:name w:val="annotation subject"/>
    <w:basedOn w:val="ae"/>
    <w:next w:val="ae"/>
    <w:link w:val="af1"/>
    <w:uiPriority w:val="99"/>
    <w:semiHidden/>
    <w:unhideWhenUsed/>
    <w:rsid w:val="005B3022"/>
    <w:rPr>
      <w:b/>
      <w:bCs/>
    </w:rPr>
  </w:style>
  <w:style w:type="character" w:customStyle="1" w:styleId="af1">
    <w:name w:val="批注主题 字符"/>
    <w:basedOn w:val="af"/>
    <w:link w:val="af0"/>
    <w:uiPriority w:val="99"/>
    <w:semiHidden/>
    <w:rsid w:val="005B3022"/>
    <w:rPr>
      <w:b/>
      <w:bCs/>
    </w:rPr>
  </w:style>
  <w:style w:type="character" w:styleId="af2">
    <w:name w:val="Unresolved Mention"/>
    <w:basedOn w:val="a1"/>
    <w:uiPriority w:val="99"/>
    <w:semiHidden/>
    <w:unhideWhenUsed/>
    <w:rsid w:val="005B3022"/>
    <w:rPr>
      <w:color w:val="605E5C"/>
      <w:shd w:val="clear" w:color="auto" w:fill="E1DFDD"/>
    </w:rPr>
  </w:style>
  <w:style w:type="character" w:customStyle="1" w:styleId="accordion-tabbedtab-mobile">
    <w:name w:val="accordion-tabbed__tab-mobile"/>
    <w:basedOn w:val="a1"/>
    <w:rsid w:val="005B3022"/>
  </w:style>
  <w:style w:type="character" w:customStyle="1" w:styleId="comma-separator">
    <w:name w:val="comma-separator"/>
    <w:basedOn w:val="a1"/>
    <w:rsid w:val="005B3022"/>
  </w:style>
  <w:style w:type="paragraph" w:styleId="af3">
    <w:name w:val="Normal (Web)"/>
    <w:basedOn w:val="a0"/>
    <w:uiPriority w:val="99"/>
    <w:semiHidden/>
    <w:unhideWhenUsed/>
    <w:rsid w:val="005B3022"/>
    <w:pPr>
      <w:widowControl/>
      <w:spacing w:before="100" w:beforeAutospacing="1" w:after="100" w:afterAutospacing="1"/>
      <w:jc w:val="left"/>
    </w:pPr>
    <w:rPr>
      <w:rFonts w:ascii="宋体" w:eastAsia="宋体" w:hAnsi="宋体" w:cs="宋体"/>
      <w:kern w:val="0"/>
      <w:sz w:val="24"/>
      <w:szCs w:val="24"/>
    </w:rPr>
  </w:style>
  <w:style w:type="paragraph" w:styleId="a">
    <w:name w:val="List Bullet"/>
    <w:basedOn w:val="a0"/>
    <w:uiPriority w:val="99"/>
    <w:unhideWhenUsed/>
    <w:rsid w:val="005B3022"/>
    <w:pPr>
      <w:numPr>
        <w:numId w:val="3"/>
      </w:numPr>
      <w:contextualSpacing/>
    </w:pPr>
    <w:rPr>
      <w:szCs w:val="22"/>
    </w:rPr>
  </w:style>
  <w:style w:type="character" w:styleId="af4">
    <w:name w:val="Emphasis"/>
    <w:basedOn w:val="a1"/>
    <w:uiPriority w:val="20"/>
    <w:qFormat/>
    <w:rsid w:val="005B3022"/>
    <w:rPr>
      <w:i/>
      <w:iCs/>
    </w:rPr>
  </w:style>
  <w:style w:type="paragraph" w:styleId="af5">
    <w:name w:val="Revision"/>
    <w:hidden/>
    <w:uiPriority w:val="99"/>
    <w:semiHidden/>
    <w:rsid w:val="005B3022"/>
  </w:style>
  <w:style w:type="character" w:styleId="af6">
    <w:name w:val="Strong"/>
    <w:basedOn w:val="a1"/>
    <w:uiPriority w:val="22"/>
    <w:qFormat/>
    <w:rsid w:val="005B3022"/>
    <w:rPr>
      <w:b/>
      <w:bCs/>
    </w:rPr>
  </w:style>
  <w:style w:type="character" w:customStyle="1" w:styleId="react-xocs-alternative-link">
    <w:name w:val="react-xocs-alternative-link"/>
    <w:basedOn w:val="a1"/>
    <w:rsid w:val="005B3022"/>
  </w:style>
  <w:style w:type="character" w:customStyle="1" w:styleId="given-name">
    <w:name w:val="given-name"/>
    <w:basedOn w:val="a1"/>
    <w:rsid w:val="005B3022"/>
  </w:style>
  <w:style w:type="character" w:customStyle="1" w:styleId="text">
    <w:name w:val="text"/>
    <w:basedOn w:val="a1"/>
    <w:rsid w:val="005B3022"/>
  </w:style>
  <w:style w:type="character" w:customStyle="1" w:styleId="author-ref">
    <w:name w:val="author-ref"/>
    <w:basedOn w:val="a1"/>
    <w:rsid w:val="005B3022"/>
  </w:style>
  <w:style w:type="character" w:customStyle="1" w:styleId="30">
    <w:name w:val="标题 3 字符"/>
    <w:basedOn w:val="a1"/>
    <w:link w:val="3"/>
    <w:uiPriority w:val="9"/>
    <w:semiHidden/>
    <w:rsid w:val="00D17756"/>
    <w:rPr>
      <w:b/>
      <w:bCs/>
      <w:sz w:val="32"/>
      <w:szCs w:val="32"/>
    </w:rPr>
  </w:style>
  <w:style w:type="numbering" w:customStyle="1" w:styleId="10">
    <w:name w:val="无列表1"/>
    <w:next w:val="a3"/>
    <w:uiPriority w:val="99"/>
    <w:semiHidden/>
    <w:unhideWhenUsed/>
    <w:rsid w:val="00EC5B0C"/>
  </w:style>
  <w:style w:type="table" w:customStyle="1" w:styleId="11">
    <w:name w:val="网格型1"/>
    <w:basedOn w:val="a2"/>
    <w:next w:val="a4"/>
    <w:uiPriority w:val="39"/>
    <w:rsid w:val="00EC5B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tton-link-text">
    <w:name w:val="button-link-text"/>
    <w:basedOn w:val="a1"/>
    <w:rsid w:val="00EC5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819319">
      <w:bodyDiv w:val="1"/>
      <w:marLeft w:val="0"/>
      <w:marRight w:val="0"/>
      <w:marTop w:val="0"/>
      <w:marBottom w:val="0"/>
      <w:divBdr>
        <w:top w:val="none" w:sz="0" w:space="0" w:color="auto"/>
        <w:left w:val="none" w:sz="0" w:space="0" w:color="auto"/>
        <w:bottom w:val="none" w:sz="0" w:space="0" w:color="auto"/>
        <w:right w:val="none" w:sz="0" w:space="0" w:color="auto"/>
      </w:divBdr>
    </w:div>
    <w:div w:id="429088179">
      <w:bodyDiv w:val="1"/>
      <w:marLeft w:val="0"/>
      <w:marRight w:val="0"/>
      <w:marTop w:val="0"/>
      <w:marBottom w:val="0"/>
      <w:divBdr>
        <w:top w:val="none" w:sz="0" w:space="0" w:color="auto"/>
        <w:left w:val="none" w:sz="0" w:space="0" w:color="auto"/>
        <w:bottom w:val="none" w:sz="0" w:space="0" w:color="auto"/>
        <w:right w:val="none" w:sz="0" w:space="0" w:color="auto"/>
      </w:divBdr>
    </w:div>
    <w:div w:id="455682871">
      <w:bodyDiv w:val="1"/>
      <w:marLeft w:val="0"/>
      <w:marRight w:val="0"/>
      <w:marTop w:val="0"/>
      <w:marBottom w:val="0"/>
      <w:divBdr>
        <w:top w:val="none" w:sz="0" w:space="0" w:color="auto"/>
        <w:left w:val="none" w:sz="0" w:space="0" w:color="auto"/>
        <w:bottom w:val="none" w:sz="0" w:space="0" w:color="auto"/>
        <w:right w:val="none" w:sz="0" w:space="0" w:color="auto"/>
      </w:divBdr>
    </w:div>
    <w:div w:id="466170614">
      <w:bodyDiv w:val="1"/>
      <w:marLeft w:val="0"/>
      <w:marRight w:val="0"/>
      <w:marTop w:val="0"/>
      <w:marBottom w:val="0"/>
      <w:divBdr>
        <w:top w:val="none" w:sz="0" w:space="0" w:color="auto"/>
        <w:left w:val="none" w:sz="0" w:space="0" w:color="auto"/>
        <w:bottom w:val="none" w:sz="0" w:space="0" w:color="auto"/>
        <w:right w:val="none" w:sz="0" w:space="0" w:color="auto"/>
      </w:divBdr>
    </w:div>
    <w:div w:id="480542717">
      <w:bodyDiv w:val="1"/>
      <w:marLeft w:val="0"/>
      <w:marRight w:val="0"/>
      <w:marTop w:val="0"/>
      <w:marBottom w:val="0"/>
      <w:divBdr>
        <w:top w:val="none" w:sz="0" w:space="0" w:color="auto"/>
        <w:left w:val="none" w:sz="0" w:space="0" w:color="auto"/>
        <w:bottom w:val="none" w:sz="0" w:space="0" w:color="auto"/>
        <w:right w:val="none" w:sz="0" w:space="0" w:color="auto"/>
      </w:divBdr>
    </w:div>
    <w:div w:id="592475163">
      <w:bodyDiv w:val="1"/>
      <w:marLeft w:val="0"/>
      <w:marRight w:val="0"/>
      <w:marTop w:val="0"/>
      <w:marBottom w:val="0"/>
      <w:divBdr>
        <w:top w:val="none" w:sz="0" w:space="0" w:color="auto"/>
        <w:left w:val="none" w:sz="0" w:space="0" w:color="auto"/>
        <w:bottom w:val="none" w:sz="0" w:space="0" w:color="auto"/>
        <w:right w:val="none" w:sz="0" w:space="0" w:color="auto"/>
      </w:divBdr>
    </w:div>
    <w:div w:id="618024819">
      <w:bodyDiv w:val="1"/>
      <w:marLeft w:val="0"/>
      <w:marRight w:val="0"/>
      <w:marTop w:val="0"/>
      <w:marBottom w:val="0"/>
      <w:divBdr>
        <w:top w:val="none" w:sz="0" w:space="0" w:color="auto"/>
        <w:left w:val="none" w:sz="0" w:space="0" w:color="auto"/>
        <w:bottom w:val="none" w:sz="0" w:space="0" w:color="auto"/>
        <w:right w:val="none" w:sz="0" w:space="0" w:color="auto"/>
      </w:divBdr>
    </w:div>
    <w:div w:id="857932899">
      <w:bodyDiv w:val="1"/>
      <w:marLeft w:val="0"/>
      <w:marRight w:val="0"/>
      <w:marTop w:val="0"/>
      <w:marBottom w:val="0"/>
      <w:divBdr>
        <w:top w:val="none" w:sz="0" w:space="0" w:color="auto"/>
        <w:left w:val="none" w:sz="0" w:space="0" w:color="auto"/>
        <w:bottom w:val="none" w:sz="0" w:space="0" w:color="auto"/>
        <w:right w:val="none" w:sz="0" w:space="0" w:color="auto"/>
      </w:divBdr>
    </w:div>
    <w:div w:id="965476783">
      <w:bodyDiv w:val="1"/>
      <w:marLeft w:val="0"/>
      <w:marRight w:val="0"/>
      <w:marTop w:val="0"/>
      <w:marBottom w:val="0"/>
      <w:divBdr>
        <w:top w:val="none" w:sz="0" w:space="0" w:color="auto"/>
        <w:left w:val="none" w:sz="0" w:space="0" w:color="auto"/>
        <w:bottom w:val="none" w:sz="0" w:space="0" w:color="auto"/>
        <w:right w:val="none" w:sz="0" w:space="0" w:color="auto"/>
      </w:divBdr>
    </w:div>
    <w:div w:id="997154796">
      <w:bodyDiv w:val="1"/>
      <w:marLeft w:val="0"/>
      <w:marRight w:val="0"/>
      <w:marTop w:val="0"/>
      <w:marBottom w:val="0"/>
      <w:divBdr>
        <w:top w:val="none" w:sz="0" w:space="0" w:color="auto"/>
        <w:left w:val="none" w:sz="0" w:space="0" w:color="auto"/>
        <w:bottom w:val="none" w:sz="0" w:space="0" w:color="auto"/>
        <w:right w:val="none" w:sz="0" w:space="0" w:color="auto"/>
      </w:divBdr>
    </w:div>
    <w:div w:id="1040057811">
      <w:bodyDiv w:val="1"/>
      <w:marLeft w:val="0"/>
      <w:marRight w:val="0"/>
      <w:marTop w:val="0"/>
      <w:marBottom w:val="0"/>
      <w:divBdr>
        <w:top w:val="none" w:sz="0" w:space="0" w:color="auto"/>
        <w:left w:val="none" w:sz="0" w:space="0" w:color="auto"/>
        <w:bottom w:val="none" w:sz="0" w:space="0" w:color="auto"/>
        <w:right w:val="none" w:sz="0" w:space="0" w:color="auto"/>
      </w:divBdr>
    </w:div>
    <w:div w:id="1384135112">
      <w:bodyDiv w:val="1"/>
      <w:marLeft w:val="0"/>
      <w:marRight w:val="0"/>
      <w:marTop w:val="0"/>
      <w:marBottom w:val="0"/>
      <w:divBdr>
        <w:top w:val="none" w:sz="0" w:space="0" w:color="auto"/>
        <w:left w:val="none" w:sz="0" w:space="0" w:color="auto"/>
        <w:bottom w:val="none" w:sz="0" w:space="0" w:color="auto"/>
        <w:right w:val="none" w:sz="0" w:space="0" w:color="auto"/>
      </w:divBdr>
    </w:div>
    <w:div w:id="1546065618">
      <w:bodyDiv w:val="1"/>
      <w:marLeft w:val="0"/>
      <w:marRight w:val="0"/>
      <w:marTop w:val="0"/>
      <w:marBottom w:val="0"/>
      <w:divBdr>
        <w:top w:val="none" w:sz="0" w:space="0" w:color="auto"/>
        <w:left w:val="none" w:sz="0" w:space="0" w:color="auto"/>
        <w:bottom w:val="none" w:sz="0" w:space="0" w:color="auto"/>
        <w:right w:val="none" w:sz="0" w:space="0" w:color="auto"/>
      </w:divBdr>
    </w:div>
    <w:div w:id="1548563837">
      <w:bodyDiv w:val="1"/>
      <w:marLeft w:val="0"/>
      <w:marRight w:val="0"/>
      <w:marTop w:val="0"/>
      <w:marBottom w:val="0"/>
      <w:divBdr>
        <w:top w:val="none" w:sz="0" w:space="0" w:color="auto"/>
        <w:left w:val="none" w:sz="0" w:space="0" w:color="auto"/>
        <w:bottom w:val="none" w:sz="0" w:space="0" w:color="auto"/>
        <w:right w:val="none" w:sz="0" w:space="0" w:color="auto"/>
      </w:divBdr>
    </w:div>
    <w:div w:id="1571496118">
      <w:bodyDiv w:val="1"/>
      <w:marLeft w:val="0"/>
      <w:marRight w:val="0"/>
      <w:marTop w:val="0"/>
      <w:marBottom w:val="0"/>
      <w:divBdr>
        <w:top w:val="none" w:sz="0" w:space="0" w:color="auto"/>
        <w:left w:val="none" w:sz="0" w:space="0" w:color="auto"/>
        <w:bottom w:val="none" w:sz="0" w:space="0" w:color="auto"/>
        <w:right w:val="none" w:sz="0" w:space="0" w:color="auto"/>
      </w:divBdr>
    </w:div>
    <w:div w:id="1654718543">
      <w:bodyDiv w:val="1"/>
      <w:marLeft w:val="0"/>
      <w:marRight w:val="0"/>
      <w:marTop w:val="0"/>
      <w:marBottom w:val="0"/>
      <w:divBdr>
        <w:top w:val="none" w:sz="0" w:space="0" w:color="auto"/>
        <w:left w:val="none" w:sz="0" w:space="0" w:color="auto"/>
        <w:bottom w:val="none" w:sz="0" w:space="0" w:color="auto"/>
        <w:right w:val="none" w:sz="0" w:space="0" w:color="auto"/>
      </w:divBdr>
    </w:div>
    <w:div w:id="1988394927">
      <w:bodyDiv w:val="1"/>
      <w:marLeft w:val="0"/>
      <w:marRight w:val="0"/>
      <w:marTop w:val="0"/>
      <w:marBottom w:val="0"/>
      <w:divBdr>
        <w:top w:val="none" w:sz="0" w:space="0" w:color="auto"/>
        <w:left w:val="none" w:sz="0" w:space="0" w:color="auto"/>
        <w:bottom w:val="none" w:sz="0" w:space="0" w:color="auto"/>
        <w:right w:val="none" w:sz="0" w:space="0" w:color="auto"/>
      </w:divBdr>
    </w:div>
    <w:div w:id="2064667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c1225@163.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C1A84-9F8A-4E04-A7F6-F3FBFB802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5118</TotalTime>
  <Pages>18</Pages>
  <Words>5148</Words>
  <Characters>29345</Characters>
  <Application>Microsoft Office Word</Application>
  <DocSecurity>0</DocSecurity>
  <Lines>244</Lines>
  <Paragraphs>68</Paragraphs>
  <ScaleCrop>false</ScaleCrop>
  <Company>HP</Company>
  <LinksUpToDate>false</LinksUpToDate>
  <CharactersWithSpaces>34425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樊帅军</dc:creator>
  <cp:keywords/>
  <dc:description/>
  <cp:lastModifiedBy>tian huang</cp:lastModifiedBy>
  <cp:revision>3</cp:revision>
  <dcterms:created xsi:type="dcterms:W3CDTF">2023-10-15T02:08:00Z</dcterms:created>
  <dcterms:modified xsi:type="dcterms:W3CDTF">2025-12-28T14:47:00Z</dcterms:modified>
</cp:coreProperties>
</file>