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86601C" w14:textId="77777777" w:rsidR="00BD7383" w:rsidRPr="00DD3C30" w:rsidRDefault="00000000">
      <w:pPr>
        <w:rPr>
          <w:rFonts w:ascii="Times New Roman" w:hAnsi="Times New Roman" w:cs="Times New Roman"/>
          <w:sz w:val="24"/>
          <w:szCs w:val="24"/>
        </w:rPr>
      </w:pPr>
      <w:r w:rsidRPr="00DD3C30">
        <w:rPr>
          <w:rFonts w:ascii="Times New Roman" w:hAnsi="Times New Roman" w:cs="Times New Roman"/>
          <w:sz w:val="24"/>
          <w:szCs w:val="24"/>
        </w:rPr>
        <w:t>Supplementary file</w:t>
      </w:r>
    </w:p>
    <w:p w14:paraId="3C21A243" w14:textId="77777777" w:rsidR="00DD3C30" w:rsidRPr="00DD3C30" w:rsidRDefault="00DD3C30" w:rsidP="00DD3C30">
      <w:pPr>
        <w:jc w:val="center"/>
        <w:rPr>
          <w:rFonts w:ascii="Times New Roman" w:hAnsi="Times New Roman" w:cs="Times New Roman"/>
          <w:b/>
          <w:bCs/>
          <w:sz w:val="28"/>
          <w:szCs w:val="28"/>
        </w:rPr>
      </w:pPr>
      <w:r w:rsidRPr="00DD3C30">
        <w:rPr>
          <w:rFonts w:ascii="Times New Roman" w:hAnsi="Times New Roman" w:cs="Times New Roman"/>
          <w:b/>
          <w:bCs/>
          <w:sz w:val="28"/>
          <w:szCs w:val="28"/>
        </w:rPr>
        <w:t xml:space="preserve">Chemical activation of phosphogypsum exhibits enhanced adsorption of malachite green from aqueous solution due to porosity </w:t>
      </w:r>
      <w:proofErr w:type="gramStart"/>
      <w:r w:rsidRPr="00DD3C30">
        <w:rPr>
          <w:rFonts w:ascii="Times New Roman" w:hAnsi="Times New Roman" w:cs="Times New Roman"/>
          <w:b/>
          <w:bCs/>
          <w:sz w:val="28"/>
          <w:szCs w:val="28"/>
        </w:rPr>
        <w:t>refinement</w:t>
      </w:r>
      <w:proofErr w:type="gramEnd"/>
    </w:p>
    <w:p w14:paraId="3E6D3CD8" w14:textId="77777777" w:rsidR="00DD3C30" w:rsidRPr="00DD3C30" w:rsidRDefault="00DD3C30" w:rsidP="00DD3C30">
      <w:pPr>
        <w:rPr>
          <w:rFonts w:ascii="Times New Roman" w:hAnsi="Times New Roman" w:cs="Times New Roman"/>
          <w:b/>
          <w:bCs/>
          <w:sz w:val="24"/>
          <w:szCs w:val="24"/>
        </w:rPr>
      </w:pPr>
      <w:r w:rsidRPr="00DD3C30">
        <w:rPr>
          <w:rFonts w:ascii="Times New Roman" w:hAnsi="Times New Roman" w:cs="Times New Roman"/>
          <w:b/>
          <w:bCs/>
          <w:sz w:val="24"/>
          <w:szCs w:val="24"/>
        </w:rPr>
        <w:t xml:space="preserve">Anurag </w:t>
      </w:r>
      <w:proofErr w:type="spellStart"/>
      <w:r w:rsidRPr="00DD3C30">
        <w:rPr>
          <w:rFonts w:ascii="Times New Roman" w:hAnsi="Times New Roman" w:cs="Times New Roman"/>
          <w:b/>
          <w:bCs/>
          <w:sz w:val="24"/>
          <w:szCs w:val="24"/>
        </w:rPr>
        <w:t>Panda</w:t>
      </w:r>
      <w:r w:rsidRPr="00DD3C30">
        <w:rPr>
          <w:rFonts w:ascii="Times New Roman" w:hAnsi="Times New Roman" w:cs="Times New Roman"/>
          <w:b/>
          <w:bCs/>
          <w:sz w:val="24"/>
          <w:szCs w:val="24"/>
          <w:vertAlign w:val="superscript"/>
        </w:rPr>
        <w:t>a</w:t>
      </w:r>
      <w:proofErr w:type="spellEnd"/>
      <w:r w:rsidRPr="00DD3C30">
        <w:rPr>
          <w:rFonts w:ascii="Times New Roman" w:hAnsi="Times New Roman" w:cs="Times New Roman"/>
          <w:b/>
          <w:bCs/>
          <w:sz w:val="24"/>
          <w:szCs w:val="24"/>
        </w:rPr>
        <w:t xml:space="preserve">, Anuradha </w:t>
      </w:r>
      <w:proofErr w:type="spellStart"/>
      <w:r w:rsidRPr="00DD3C30">
        <w:rPr>
          <w:rFonts w:ascii="Times New Roman" w:hAnsi="Times New Roman" w:cs="Times New Roman"/>
          <w:b/>
          <w:bCs/>
          <w:sz w:val="24"/>
          <w:szCs w:val="24"/>
        </w:rPr>
        <w:t>Upadhyaya</w:t>
      </w:r>
      <w:r w:rsidRPr="00DD3C30">
        <w:rPr>
          <w:rFonts w:ascii="Times New Roman" w:hAnsi="Times New Roman" w:cs="Times New Roman"/>
          <w:b/>
          <w:bCs/>
          <w:sz w:val="24"/>
          <w:szCs w:val="24"/>
          <w:vertAlign w:val="superscript"/>
        </w:rPr>
        <w:t>a</w:t>
      </w:r>
      <w:proofErr w:type="spellEnd"/>
      <w:r w:rsidRPr="00DD3C30">
        <w:rPr>
          <w:rFonts w:ascii="Times New Roman" w:hAnsi="Times New Roman" w:cs="Times New Roman"/>
          <w:b/>
          <w:bCs/>
          <w:sz w:val="24"/>
          <w:szCs w:val="24"/>
        </w:rPr>
        <w:t xml:space="preserve">, Ramesh </w:t>
      </w:r>
      <w:proofErr w:type="spellStart"/>
      <w:r w:rsidRPr="00DD3C30">
        <w:rPr>
          <w:rFonts w:ascii="Times New Roman" w:hAnsi="Times New Roman" w:cs="Times New Roman"/>
          <w:b/>
          <w:bCs/>
          <w:sz w:val="24"/>
          <w:szCs w:val="24"/>
        </w:rPr>
        <w:t>Kumar</w:t>
      </w:r>
      <w:r w:rsidRPr="00DD3C30">
        <w:rPr>
          <w:rFonts w:ascii="Times New Roman" w:hAnsi="Times New Roman" w:cs="Times New Roman"/>
          <w:b/>
          <w:bCs/>
          <w:sz w:val="24"/>
          <w:szCs w:val="24"/>
          <w:vertAlign w:val="superscript"/>
        </w:rPr>
        <w:t>b</w:t>
      </w:r>
      <w:proofErr w:type="spellEnd"/>
      <w:r w:rsidRPr="00DD3C30">
        <w:rPr>
          <w:rFonts w:ascii="Times New Roman" w:hAnsi="Times New Roman" w:cs="Times New Roman"/>
          <w:b/>
          <w:bCs/>
          <w:sz w:val="24"/>
          <w:szCs w:val="24"/>
        </w:rPr>
        <w:t>,</w:t>
      </w:r>
      <w:r w:rsidRPr="00DD3C30">
        <w:rPr>
          <w:rFonts w:ascii="Times New Roman" w:hAnsi="Times New Roman" w:cs="Times New Roman"/>
          <w:b/>
          <w:bCs/>
          <w:sz w:val="24"/>
          <w:szCs w:val="24"/>
          <w:vertAlign w:val="superscript"/>
        </w:rPr>
        <w:t xml:space="preserve"> </w:t>
      </w:r>
      <w:r w:rsidRPr="00DD3C30">
        <w:rPr>
          <w:rFonts w:ascii="Times New Roman" w:hAnsi="Times New Roman" w:cs="Times New Roman"/>
          <w:b/>
          <w:bCs/>
          <w:sz w:val="24"/>
          <w:szCs w:val="24"/>
        </w:rPr>
        <w:t xml:space="preserve">Argha </w:t>
      </w:r>
      <w:proofErr w:type="spellStart"/>
      <w:r w:rsidRPr="00DD3C30">
        <w:rPr>
          <w:rFonts w:ascii="Times New Roman" w:hAnsi="Times New Roman" w:cs="Times New Roman"/>
          <w:b/>
          <w:bCs/>
          <w:sz w:val="24"/>
          <w:szCs w:val="24"/>
        </w:rPr>
        <w:t>Acooli</w:t>
      </w:r>
      <w:r w:rsidRPr="00DD3C30">
        <w:rPr>
          <w:rFonts w:ascii="Times New Roman" w:hAnsi="Times New Roman" w:cs="Times New Roman"/>
          <w:b/>
          <w:bCs/>
          <w:sz w:val="24"/>
          <w:szCs w:val="24"/>
          <w:vertAlign w:val="superscript"/>
        </w:rPr>
        <w:t>a</w:t>
      </w:r>
      <w:proofErr w:type="spellEnd"/>
      <w:r w:rsidRPr="00DD3C30">
        <w:rPr>
          <w:rFonts w:ascii="Times New Roman" w:hAnsi="Times New Roman" w:cs="Times New Roman"/>
          <w:b/>
          <w:bCs/>
          <w:sz w:val="24"/>
          <w:szCs w:val="24"/>
        </w:rPr>
        <w:t xml:space="preserve">, </w:t>
      </w:r>
      <w:proofErr w:type="spellStart"/>
      <w:r w:rsidRPr="00DD3C30">
        <w:rPr>
          <w:rFonts w:ascii="Times New Roman" w:hAnsi="Times New Roman" w:cs="Times New Roman"/>
          <w:b/>
          <w:bCs/>
          <w:sz w:val="24"/>
          <w:szCs w:val="24"/>
        </w:rPr>
        <w:t>Shirsendu</w:t>
      </w:r>
      <w:proofErr w:type="spellEnd"/>
      <w:r w:rsidRPr="00DD3C30">
        <w:rPr>
          <w:rFonts w:ascii="Times New Roman" w:hAnsi="Times New Roman" w:cs="Times New Roman"/>
          <w:b/>
          <w:bCs/>
          <w:sz w:val="24"/>
          <w:szCs w:val="24"/>
        </w:rPr>
        <w:t xml:space="preserve"> </w:t>
      </w:r>
      <w:proofErr w:type="spellStart"/>
      <w:proofErr w:type="gramStart"/>
      <w:r w:rsidRPr="00DD3C30">
        <w:rPr>
          <w:rFonts w:ascii="Times New Roman" w:hAnsi="Times New Roman" w:cs="Times New Roman"/>
          <w:b/>
          <w:bCs/>
          <w:sz w:val="24"/>
          <w:szCs w:val="24"/>
        </w:rPr>
        <w:t>Banerjee</w:t>
      </w:r>
      <w:r w:rsidRPr="00DD3C30">
        <w:rPr>
          <w:rFonts w:ascii="Times New Roman" w:hAnsi="Times New Roman" w:cs="Times New Roman"/>
          <w:b/>
          <w:bCs/>
          <w:sz w:val="24"/>
          <w:szCs w:val="24"/>
          <w:vertAlign w:val="superscript"/>
        </w:rPr>
        <w:t>a,c</w:t>
      </w:r>
      <w:proofErr w:type="spellEnd"/>
      <w:proofErr w:type="gramEnd"/>
      <w:r w:rsidRPr="00DD3C30">
        <w:rPr>
          <w:rFonts w:ascii="Times New Roman" w:hAnsi="Times New Roman" w:cs="Times New Roman"/>
          <w:b/>
          <w:bCs/>
          <w:sz w:val="24"/>
          <w:szCs w:val="24"/>
        </w:rPr>
        <w:t xml:space="preserve">, Amrita </w:t>
      </w:r>
      <w:proofErr w:type="spellStart"/>
      <w:r w:rsidRPr="00DD3C30">
        <w:rPr>
          <w:rFonts w:ascii="Times New Roman" w:hAnsi="Times New Roman" w:cs="Times New Roman"/>
          <w:b/>
          <w:bCs/>
          <w:sz w:val="24"/>
          <w:szCs w:val="24"/>
        </w:rPr>
        <w:t>Mishra</w:t>
      </w:r>
      <w:r w:rsidRPr="00DD3C30">
        <w:rPr>
          <w:rFonts w:ascii="Times New Roman" w:hAnsi="Times New Roman" w:cs="Times New Roman"/>
          <w:b/>
          <w:bCs/>
          <w:sz w:val="24"/>
          <w:szCs w:val="24"/>
          <w:vertAlign w:val="superscript"/>
        </w:rPr>
        <w:t>c</w:t>
      </w:r>
      <w:proofErr w:type="spellEnd"/>
      <w:r w:rsidRPr="00DD3C30">
        <w:rPr>
          <w:rFonts w:ascii="Times New Roman" w:hAnsi="Times New Roman" w:cs="Times New Roman"/>
          <w:b/>
          <w:bCs/>
          <w:sz w:val="24"/>
          <w:szCs w:val="24"/>
        </w:rPr>
        <w:t>, Moonis Ali Khan</w:t>
      </w:r>
      <w:r w:rsidRPr="00DD3C30">
        <w:rPr>
          <w:rFonts w:ascii="Times New Roman" w:hAnsi="Times New Roman" w:cs="Times New Roman"/>
          <w:b/>
          <w:bCs/>
          <w:sz w:val="24"/>
          <w:szCs w:val="24"/>
          <w:vertAlign w:val="superscript"/>
        </w:rPr>
        <w:t>d</w:t>
      </w:r>
      <w:r w:rsidRPr="00DD3C30">
        <w:rPr>
          <w:rFonts w:ascii="Times New Roman" w:hAnsi="Times New Roman" w:cs="Times New Roman"/>
          <w:b/>
          <w:bCs/>
          <w:sz w:val="24"/>
          <w:szCs w:val="24"/>
        </w:rPr>
        <w:t xml:space="preserve">, Somnath </w:t>
      </w:r>
      <w:proofErr w:type="spellStart"/>
      <w:r w:rsidRPr="00DD3C30">
        <w:rPr>
          <w:rFonts w:ascii="Times New Roman" w:hAnsi="Times New Roman" w:cs="Times New Roman"/>
          <w:b/>
          <w:bCs/>
          <w:sz w:val="24"/>
          <w:szCs w:val="24"/>
        </w:rPr>
        <w:t>Chowdhury</w:t>
      </w:r>
      <w:r w:rsidRPr="00DD3C30">
        <w:rPr>
          <w:rFonts w:ascii="Times New Roman" w:hAnsi="Times New Roman" w:cs="Times New Roman"/>
          <w:b/>
          <w:bCs/>
          <w:sz w:val="24"/>
          <w:szCs w:val="24"/>
          <w:vertAlign w:val="superscript"/>
        </w:rPr>
        <w:t>e</w:t>
      </w:r>
      <w:proofErr w:type="spellEnd"/>
      <w:r w:rsidRPr="00DD3C30">
        <w:rPr>
          <w:rFonts w:ascii="Times New Roman" w:hAnsi="Times New Roman" w:cs="Times New Roman"/>
          <w:b/>
          <w:bCs/>
          <w:sz w:val="24"/>
          <w:szCs w:val="24"/>
        </w:rPr>
        <w:t>, Byong-Hun Jeon</w:t>
      </w:r>
      <w:r w:rsidRPr="00DD3C30">
        <w:rPr>
          <w:rFonts w:ascii="Times New Roman" w:hAnsi="Times New Roman" w:cs="Times New Roman"/>
          <w:b/>
          <w:bCs/>
          <w:sz w:val="24"/>
          <w:szCs w:val="24"/>
          <w:vertAlign w:val="superscript"/>
        </w:rPr>
        <w:t>b*</w:t>
      </w:r>
      <w:r w:rsidRPr="00DD3C30">
        <w:rPr>
          <w:rFonts w:ascii="Times New Roman" w:hAnsi="Times New Roman" w:cs="Times New Roman"/>
          <w:b/>
          <w:bCs/>
          <w:sz w:val="24"/>
          <w:szCs w:val="24"/>
        </w:rPr>
        <w:t xml:space="preserve">, Sankha </w:t>
      </w:r>
      <w:proofErr w:type="spellStart"/>
      <w:r w:rsidRPr="00DD3C30">
        <w:rPr>
          <w:rFonts w:ascii="Times New Roman" w:hAnsi="Times New Roman" w:cs="Times New Roman"/>
          <w:b/>
          <w:bCs/>
          <w:sz w:val="24"/>
          <w:szCs w:val="24"/>
        </w:rPr>
        <w:t>Chakrabortty</w:t>
      </w:r>
      <w:r w:rsidRPr="00DD3C30">
        <w:rPr>
          <w:rFonts w:ascii="Times New Roman" w:hAnsi="Times New Roman" w:cs="Times New Roman"/>
          <w:b/>
          <w:bCs/>
          <w:sz w:val="24"/>
          <w:szCs w:val="24"/>
          <w:vertAlign w:val="superscript"/>
        </w:rPr>
        <w:t>a,c</w:t>
      </w:r>
      <w:proofErr w:type="spellEnd"/>
      <w:r w:rsidRPr="00DD3C30">
        <w:rPr>
          <w:rFonts w:ascii="Times New Roman" w:hAnsi="Times New Roman" w:cs="Times New Roman"/>
          <w:b/>
          <w:bCs/>
          <w:sz w:val="24"/>
          <w:szCs w:val="24"/>
        </w:rPr>
        <w:t xml:space="preserve">*, Suraj K. </w:t>
      </w:r>
      <w:proofErr w:type="spellStart"/>
      <w:r w:rsidRPr="00DD3C30">
        <w:rPr>
          <w:rFonts w:ascii="Times New Roman" w:hAnsi="Times New Roman" w:cs="Times New Roman"/>
          <w:b/>
          <w:bCs/>
          <w:sz w:val="24"/>
          <w:szCs w:val="24"/>
        </w:rPr>
        <w:t>Tripathy</w:t>
      </w:r>
      <w:r w:rsidRPr="00DD3C30">
        <w:rPr>
          <w:rFonts w:ascii="Times New Roman" w:hAnsi="Times New Roman" w:cs="Times New Roman"/>
          <w:b/>
          <w:bCs/>
          <w:sz w:val="24"/>
          <w:szCs w:val="24"/>
          <w:vertAlign w:val="superscript"/>
        </w:rPr>
        <w:t>a,c</w:t>
      </w:r>
      <w:proofErr w:type="spellEnd"/>
      <w:r w:rsidRPr="00DD3C30">
        <w:rPr>
          <w:rFonts w:ascii="Times New Roman" w:hAnsi="Times New Roman" w:cs="Times New Roman"/>
          <w:b/>
          <w:bCs/>
          <w:sz w:val="24"/>
          <w:szCs w:val="24"/>
        </w:rPr>
        <w:t>*</w:t>
      </w:r>
    </w:p>
    <w:p w14:paraId="7FC40282" w14:textId="77777777" w:rsidR="00DD3C30" w:rsidRPr="00DD3C30" w:rsidRDefault="00DD3C30" w:rsidP="00DD3C30">
      <w:pPr>
        <w:rPr>
          <w:rFonts w:ascii="Times New Roman" w:hAnsi="Times New Roman" w:cs="Times New Roman"/>
          <w:sz w:val="24"/>
          <w:szCs w:val="24"/>
        </w:rPr>
      </w:pPr>
      <w:r w:rsidRPr="00DD3C30">
        <w:rPr>
          <w:rFonts w:ascii="Times New Roman" w:hAnsi="Times New Roman" w:cs="Times New Roman"/>
          <w:sz w:val="24"/>
          <w:szCs w:val="24"/>
          <w:vertAlign w:val="superscript"/>
        </w:rPr>
        <w:t>a</w:t>
      </w:r>
      <w:r w:rsidRPr="00DD3C30">
        <w:rPr>
          <w:rFonts w:ascii="Times New Roman" w:hAnsi="Times New Roman" w:cs="Times New Roman"/>
          <w:b/>
          <w:sz w:val="24"/>
          <w:szCs w:val="24"/>
          <w:vertAlign w:val="superscript"/>
        </w:rPr>
        <w:t xml:space="preserve"> </w:t>
      </w:r>
      <w:r w:rsidRPr="00DD3C30">
        <w:rPr>
          <w:rFonts w:ascii="Times New Roman" w:hAnsi="Times New Roman" w:cs="Times New Roman"/>
          <w:sz w:val="24"/>
          <w:szCs w:val="24"/>
        </w:rPr>
        <w:t>School of Chemical Technology, Kalinga Institute of Industrial Technology, Bhubaneswar 751024, India</w:t>
      </w:r>
    </w:p>
    <w:p w14:paraId="1DA11F7A" w14:textId="77777777" w:rsidR="00DD3C30" w:rsidRPr="00DD3C30" w:rsidRDefault="00DD3C30" w:rsidP="00DD3C30">
      <w:pPr>
        <w:rPr>
          <w:rFonts w:ascii="Times New Roman" w:hAnsi="Times New Roman" w:cs="Times New Roman"/>
          <w:sz w:val="24"/>
          <w:szCs w:val="24"/>
        </w:rPr>
      </w:pPr>
      <w:r w:rsidRPr="00DD3C30">
        <w:rPr>
          <w:rFonts w:ascii="Times New Roman" w:hAnsi="Times New Roman" w:cs="Times New Roman"/>
          <w:sz w:val="24"/>
          <w:szCs w:val="24"/>
          <w:vertAlign w:val="superscript"/>
        </w:rPr>
        <w:t>b</w:t>
      </w:r>
      <w:r w:rsidRPr="00DD3C30">
        <w:rPr>
          <w:rFonts w:ascii="Times New Roman" w:hAnsi="Times New Roman" w:cs="Times New Roman"/>
          <w:b/>
          <w:sz w:val="24"/>
          <w:szCs w:val="24"/>
          <w:vertAlign w:val="superscript"/>
        </w:rPr>
        <w:t xml:space="preserve"> </w:t>
      </w:r>
      <w:r w:rsidRPr="00DD3C30">
        <w:rPr>
          <w:rFonts w:ascii="Times New Roman" w:hAnsi="Times New Roman" w:cs="Times New Roman"/>
          <w:sz w:val="24"/>
          <w:szCs w:val="24"/>
        </w:rPr>
        <w:t>Department of Earth Resources &amp; Environmental Engineering, Hanyang University, Seoul 04763, Republic of Korea</w:t>
      </w:r>
    </w:p>
    <w:p w14:paraId="494154AD" w14:textId="77777777" w:rsidR="00DD3C30" w:rsidRPr="00DD3C30" w:rsidRDefault="00DD3C30" w:rsidP="00DD3C30">
      <w:pPr>
        <w:rPr>
          <w:rFonts w:ascii="Times New Roman" w:hAnsi="Times New Roman" w:cs="Times New Roman"/>
          <w:sz w:val="24"/>
          <w:szCs w:val="24"/>
        </w:rPr>
      </w:pPr>
      <w:proofErr w:type="spellStart"/>
      <w:r w:rsidRPr="00DD3C30">
        <w:rPr>
          <w:rFonts w:ascii="Times New Roman" w:hAnsi="Times New Roman" w:cs="Times New Roman"/>
          <w:sz w:val="24"/>
          <w:szCs w:val="24"/>
          <w:vertAlign w:val="superscript"/>
        </w:rPr>
        <w:t>c</w:t>
      </w:r>
      <w:r w:rsidRPr="00DD3C30">
        <w:rPr>
          <w:rFonts w:ascii="Times New Roman" w:hAnsi="Times New Roman" w:cs="Times New Roman"/>
          <w:sz w:val="24"/>
          <w:szCs w:val="24"/>
        </w:rPr>
        <w:t>School</w:t>
      </w:r>
      <w:proofErr w:type="spellEnd"/>
      <w:r w:rsidRPr="00DD3C30">
        <w:rPr>
          <w:rFonts w:ascii="Times New Roman" w:hAnsi="Times New Roman" w:cs="Times New Roman"/>
          <w:sz w:val="24"/>
          <w:szCs w:val="24"/>
        </w:rPr>
        <w:t xml:space="preserve"> of Biotechnology, Kalinga Institute of Industrial Technology, Bhubaneswar 751024, India</w:t>
      </w:r>
    </w:p>
    <w:p w14:paraId="6A5A4404" w14:textId="77777777" w:rsidR="00DD3C30" w:rsidRPr="00DD3C30" w:rsidRDefault="00DD3C30" w:rsidP="00DD3C30">
      <w:pPr>
        <w:rPr>
          <w:rFonts w:ascii="Times New Roman" w:hAnsi="Times New Roman" w:cs="Times New Roman"/>
          <w:sz w:val="24"/>
          <w:szCs w:val="24"/>
        </w:rPr>
      </w:pPr>
      <w:proofErr w:type="spellStart"/>
      <w:r w:rsidRPr="00DD3C30">
        <w:rPr>
          <w:rFonts w:ascii="Times New Roman" w:hAnsi="Times New Roman" w:cs="Times New Roman"/>
          <w:sz w:val="24"/>
          <w:szCs w:val="24"/>
          <w:vertAlign w:val="superscript"/>
        </w:rPr>
        <w:t>d</w:t>
      </w:r>
      <w:r w:rsidRPr="00DD3C30">
        <w:rPr>
          <w:rFonts w:ascii="Times New Roman" w:hAnsi="Times New Roman" w:cs="Times New Roman"/>
          <w:sz w:val="24"/>
          <w:szCs w:val="24"/>
        </w:rPr>
        <w:t>Department</w:t>
      </w:r>
      <w:proofErr w:type="spellEnd"/>
      <w:r w:rsidRPr="00DD3C30">
        <w:rPr>
          <w:rFonts w:ascii="Times New Roman" w:hAnsi="Times New Roman" w:cs="Times New Roman"/>
          <w:sz w:val="24"/>
          <w:szCs w:val="24"/>
        </w:rPr>
        <w:t xml:space="preserve"> of Chemistry, College of Science, King Saud University, Riyadh 11451, Saudi Arabia</w:t>
      </w:r>
    </w:p>
    <w:p w14:paraId="23F03F1F" w14:textId="77777777" w:rsidR="00DD3C30" w:rsidRPr="00DD3C30" w:rsidRDefault="00DD3C30" w:rsidP="00DD3C30">
      <w:pPr>
        <w:rPr>
          <w:rFonts w:ascii="Times New Roman" w:hAnsi="Times New Roman" w:cs="Times New Roman"/>
          <w:sz w:val="24"/>
          <w:szCs w:val="24"/>
        </w:rPr>
      </w:pPr>
      <w:r w:rsidRPr="00DD3C30">
        <w:rPr>
          <w:rFonts w:ascii="Times New Roman" w:hAnsi="Times New Roman" w:cs="Times New Roman"/>
          <w:sz w:val="24"/>
          <w:szCs w:val="24"/>
          <w:vertAlign w:val="superscript"/>
        </w:rPr>
        <w:t>e</w:t>
      </w:r>
      <w:r w:rsidRPr="00DD3C30">
        <w:rPr>
          <w:rFonts w:ascii="Times New Roman" w:hAnsi="Times New Roman" w:cs="Times New Roman"/>
          <w:sz w:val="24"/>
          <w:szCs w:val="24"/>
        </w:rPr>
        <w:t xml:space="preserve"> Department of Chemical Engineering, National Institute of Technology, Durgapur 713209, West Bengal</w:t>
      </w:r>
    </w:p>
    <w:p w14:paraId="52B250CB" w14:textId="77777777" w:rsidR="00DD3C30" w:rsidRPr="00975C5E" w:rsidRDefault="00DD3C30" w:rsidP="00DD3C30"/>
    <w:p w14:paraId="1DD24EFE" w14:textId="77777777" w:rsidR="00DD3C30" w:rsidRPr="00975C5E" w:rsidRDefault="00DD3C30" w:rsidP="00DD3C30"/>
    <w:p w14:paraId="282D388C" w14:textId="77777777" w:rsidR="00DD3C30" w:rsidRPr="00975C5E" w:rsidRDefault="00DD3C30" w:rsidP="00DD3C30"/>
    <w:p w14:paraId="69DF1744" w14:textId="77777777" w:rsidR="00DD3C30" w:rsidRPr="00975C5E" w:rsidRDefault="00DD3C30" w:rsidP="00DD3C30"/>
    <w:p w14:paraId="731D655C" w14:textId="2E8C85B0" w:rsidR="00DD3C30" w:rsidRPr="00DD3C30" w:rsidRDefault="00DD3C30" w:rsidP="00DD3C30">
      <w:pPr>
        <w:rPr>
          <w:rFonts w:ascii="Times New Roman" w:hAnsi="Times New Roman" w:cs="Times New Roman"/>
          <w:sz w:val="24"/>
          <w:szCs w:val="24"/>
        </w:rPr>
      </w:pPr>
      <w:r w:rsidRPr="00DD3C30">
        <w:rPr>
          <w:rFonts w:ascii="Times New Roman" w:hAnsi="Times New Roman" w:cs="Times New Roman"/>
          <w:sz w:val="24"/>
          <w:szCs w:val="24"/>
        </w:rPr>
        <w:t xml:space="preserve">*Corresponding author: S. K. Tripathy (E-mail: </w:t>
      </w:r>
      <w:hyperlink r:id="rId7" w:history="1">
        <w:r w:rsidRPr="00DD3C30">
          <w:rPr>
            <w:rStyle w:val="Hyperlink"/>
            <w:rFonts w:ascii="Times New Roman" w:hAnsi="Times New Roman" w:cs="Times New Roman"/>
            <w:i/>
            <w:sz w:val="24"/>
            <w:szCs w:val="24"/>
          </w:rPr>
          <w:t>suraj.tripathy@kiitbiotech.ac.in</w:t>
        </w:r>
      </w:hyperlink>
      <w:r w:rsidRPr="00DD3C30">
        <w:rPr>
          <w:rFonts w:ascii="Times New Roman" w:hAnsi="Times New Roman" w:cs="Times New Roman"/>
          <w:sz w:val="24"/>
          <w:szCs w:val="24"/>
        </w:rPr>
        <w:t xml:space="preserve">), S. Chakrabortty </w:t>
      </w:r>
      <w:hyperlink r:id="rId8" w:history="1">
        <w:r w:rsidRPr="00DD3C30">
          <w:rPr>
            <w:rStyle w:val="Hyperlink"/>
            <w:rFonts w:ascii="Times New Roman" w:hAnsi="Times New Roman" w:cs="Times New Roman"/>
            <w:i/>
            <w:sz w:val="24"/>
            <w:szCs w:val="24"/>
          </w:rPr>
          <w:t>(sankha.chakrabortty@kiitbiotech.ac.in</w:t>
        </w:r>
      </w:hyperlink>
      <w:r w:rsidRPr="00DD3C30">
        <w:rPr>
          <w:rFonts w:ascii="Times New Roman" w:hAnsi="Times New Roman" w:cs="Times New Roman"/>
          <w:sz w:val="24"/>
          <w:szCs w:val="24"/>
        </w:rPr>
        <w:t xml:space="preserve">), B-H Jeon </w:t>
      </w:r>
      <w:hyperlink r:id="rId9" w:history="1">
        <w:r w:rsidRPr="00DD3C30">
          <w:rPr>
            <w:rStyle w:val="Hyperlink"/>
            <w:rFonts w:ascii="Times New Roman" w:hAnsi="Times New Roman" w:cs="Times New Roman"/>
            <w:i/>
            <w:sz w:val="24"/>
            <w:szCs w:val="24"/>
          </w:rPr>
          <w:t>(bhjeon@hanyang.ac.kr</w:t>
        </w:r>
      </w:hyperlink>
      <w:r w:rsidRPr="00DD3C30">
        <w:rPr>
          <w:rFonts w:ascii="Times New Roman" w:hAnsi="Times New Roman" w:cs="Times New Roman"/>
          <w:sz w:val="24"/>
          <w:szCs w:val="24"/>
        </w:rPr>
        <w:t>)</w:t>
      </w:r>
    </w:p>
    <w:p w14:paraId="2EFA9387" w14:textId="77777777" w:rsidR="00BD7383" w:rsidRPr="00DD3C30" w:rsidRDefault="00BD7383">
      <w:pPr>
        <w:sectPr w:rsidR="00BD7383" w:rsidRPr="00DD3C30" w:rsidSect="00B862A9">
          <w:pgSz w:w="11906" w:h="16838"/>
          <w:pgMar w:top="1440" w:right="1440" w:bottom="1440" w:left="1440" w:header="708" w:footer="708" w:gutter="0"/>
          <w:cols w:space="708"/>
          <w:docGrid w:linePitch="360"/>
        </w:sectPr>
      </w:pPr>
    </w:p>
    <w:p w14:paraId="5DFA6986" w14:textId="1205F480" w:rsidR="00BD7383" w:rsidRDefault="00000000">
      <w:pPr>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Table S1</w:t>
      </w:r>
      <w:r>
        <w:rPr>
          <w:rFonts w:ascii="Times New Roman" w:hAnsi="Times New Roman" w:cs="Times New Roman"/>
          <w:sz w:val="24"/>
          <w:szCs w:val="24"/>
        </w:rPr>
        <w:t xml:space="preserve">. Weights connecting </w:t>
      </w:r>
      <w:r w:rsidR="009342AC">
        <w:rPr>
          <w:rFonts w:ascii="Times New Roman" w:hAnsi="Times New Roman" w:cs="Times New Roman"/>
          <w:sz w:val="24"/>
          <w:szCs w:val="24"/>
        </w:rPr>
        <w:t xml:space="preserve">the </w:t>
      </w:r>
      <w:r>
        <w:rPr>
          <w:rFonts w:ascii="Times New Roman" w:hAnsi="Times New Roman" w:cs="Times New Roman"/>
          <w:sz w:val="24"/>
          <w:szCs w:val="24"/>
        </w:rPr>
        <w:t xml:space="preserve">input layer and hidden </w:t>
      </w:r>
      <w:proofErr w:type="gramStart"/>
      <w:r>
        <w:rPr>
          <w:rFonts w:ascii="Times New Roman" w:hAnsi="Times New Roman" w:cs="Times New Roman"/>
          <w:sz w:val="24"/>
          <w:szCs w:val="24"/>
        </w:rPr>
        <w:t>layer</w:t>
      </w:r>
      <w:proofErr w:type="gramEnd"/>
    </w:p>
    <w:tbl>
      <w:tblPr>
        <w:tblW w:w="8757" w:type="dxa"/>
        <w:tblLook w:val="04A0" w:firstRow="1" w:lastRow="0" w:firstColumn="1" w:lastColumn="0" w:noHBand="0" w:noVBand="1"/>
      </w:tblPr>
      <w:tblGrid>
        <w:gridCol w:w="1165"/>
        <w:gridCol w:w="1443"/>
        <w:gridCol w:w="1512"/>
        <w:gridCol w:w="1471"/>
        <w:gridCol w:w="1695"/>
        <w:gridCol w:w="1471"/>
      </w:tblGrid>
      <w:tr w:rsidR="00BD7383" w14:paraId="28B696C9" w14:textId="77777777">
        <w:trPr>
          <w:trHeight w:val="331"/>
        </w:trPr>
        <w:tc>
          <w:tcPr>
            <w:tcW w:w="1165"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AAF1E75"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b/>
                <w:bCs/>
                <w:color w:val="000000"/>
              </w:rPr>
              <w:t>Number of Nodes</w:t>
            </w:r>
          </w:p>
        </w:tc>
        <w:tc>
          <w:tcPr>
            <w:tcW w:w="1443" w:type="dxa"/>
            <w:tcBorders>
              <w:top w:val="single" w:sz="4" w:space="0" w:color="auto"/>
              <w:left w:val="nil"/>
              <w:bottom w:val="single" w:sz="4" w:space="0" w:color="auto"/>
              <w:right w:val="single" w:sz="4" w:space="0" w:color="auto"/>
            </w:tcBorders>
            <w:shd w:val="clear" w:color="auto" w:fill="auto"/>
            <w:noWrap/>
            <w:vAlign w:val="bottom"/>
          </w:tcPr>
          <w:p w14:paraId="5B30541B"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A: Adsorbent dose</w:t>
            </w:r>
          </w:p>
        </w:tc>
        <w:tc>
          <w:tcPr>
            <w:tcW w:w="1512" w:type="dxa"/>
            <w:tcBorders>
              <w:top w:val="single" w:sz="4" w:space="0" w:color="auto"/>
              <w:left w:val="nil"/>
              <w:bottom w:val="single" w:sz="4" w:space="0" w:color="auto"/>
              <w:right w:val="single" w:sz="4" w:space="0" w:color="auto"/>
            </w:tcBorders>
            <w:shd w:val="clear" w:color="auto" w:fill="auto"/>
            <w:noWrap/>
            <w:vAlign w:val="bottom"/>
          </w:tcPr>
          <w:p w14:paraId="68177556"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B: MG concentration</w:t>
            </w:r>
          </w:p>
        </w:tc>
        <w:tc>
          <w:tcPr>
            <w:tcW w:w="1471" w:type="dxa"/>
            <w:tcBorders>
              <w:top w:val="single" w:sz="4" w:space="0" w:color="auto"/>
              <w:left w:val="nil"/>
              <w:bottom w:val="single" w:sz="4" w:space="0" w:color="auto"/>
              <w:right w:val="single" w:sz="4" w:space="0" w:color="auto"/>
            </w:tcBorders>
            <w:shd w:val="clear" w:color="auto" w:fill="auto"/>
            <w:noWrap/>
            <w:vAlign w:val="bottom"/>
          </w:tcPr>
          <w:p w14:paraId="66FD42CD"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C: Stirring time</w:t>
            </w:r>
          </w:p>
        </w:tc>
        <w:tc>
          <w:tcPr>
            <w:tcW w:w="1695" w:type="dxa"/>
            <w:tcBorders>
              <w:top w:val="single" w:sz="4" w:space="0" w:color="auto"/>
              <w:left w:val="nil"/>
              <w:bottom w:val="single" w:sz="4" w:space="0" w:color="auto"/>
              <w:right w:val="single" w:sz="4" w:space="0" w:color="auto"/>
            </w:tcBorders>
            <w:shd w:val="clear" w:color="auto" w:fill="auto"/>
            <w:noWrap/>
            <w:vAlign w:val="bottom"/>
          </w:tcPr>
          <w:p w14:paraId="1CF89528"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D: Temperature</w:t>
            </w:r>
          </w:p>
        </w:tc>
        <w:tc>
          <w:tcPr>
            <w:tcW w:w="1471" w:type="dxa"/>
            <w:tcBorders>
              <w:top w:val="single" w:sz="4" w:space="0" w:color="auto"/>
              <w:left w:val="nil"/>
              <w:bottom w:val="single" w:sz="4" w:space="0" w:color="auto"/>
              <w:right w:val="single" w:sz="4" w:space="0" w:color="auto"/>
            </w:tcBorders>
            <w:shd w:val="clear" w:color="auto" w:fill="auto"/>
            <w:noWrap/>
            <w:vAlign w:val="bottom"/>
          </w:tcPr>
          <w:p w14:paraId="077EDB7A"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E: Time</w:t>
            </w:r>
          </w:p>
        </w:tc>
      </w:tr>
      <w:tr w:rsidR="00BD7383" w14:paraId="082B6F5C" w14:textId="77777777">
        <w:trPr>
          <w:trHeight w:val="331"/>
        </w:trPr>
        <w:tc>
          <w:tcPr>
            <w:tcW w:w="1165" w:type="dxa"/>
            <w:tcBorders>
              <w:top w:val="nil"/>
              <w:left w:val="single" w:sz="4" w:space="0" w:color="auto"/>
              <w:bottom w:val="single" w:sz="4" w:space="0" w:color="auto"/>
              <w:right w:val="single" w:sz="4" w:space="0" w:color="auto"/>
            </w:tcBorders>
            <w:shd w:val="clear" w:color="auto" w:fill="auto"/>
            <w:noWrap/>
            <w:vAlign w:val="bottom"/>
          </w:tcPr>
          <w:p w14:paraId="7FC37116"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1</w:t>
            </w:r>
          </w:p>
        </w:tc>
        <w:tc>
          <w:tcPr>
            <w:tcW w:w="1443" w:type="dxa"/>
            <w:tcBorders>
              <w:top w:val="nil"/>
              <w:left w:val="nil"/>
              <w:bottom w:val="single" w:sz="4" w:space="0" w:color="auto"/>
              <w:right w:val="single" w:sz="4" w:space="0" w:color="auto"/>
            </w:tcBorders>
            <w:shd w:val="clear" w:color="auto" w:fill="auto"/>
            <w:noWrap/>
            <w:vAlign w:val="bottom"/>
          </w:tcPr>
          <w:p w14:paraId="07D6518E"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-0.64105</w:t>
            </w:r>
          </w:p>
        </w:tc>
        <w:tc>
          <w:tcPr>
            <w:tcW w:w="1512" w:type="dxa"/>
            <w:tcBorders>
              <w:top w:val="nil"/>
              <w:left w:val="nil"/>
              <w:bottom w:val="single" w:sz="4" w:space="0" w:color="auto"/>
              <w:right w:val="single" w:sz="4" w:space="0" w:color="auto"/>
            </w:tcBorders>
            <w:shd w:val="clear" w:color="auto" w:fill="auto"/>
            <w:noWrap/>
            <w:vAlign w:val="bottom"/>
          </w:tcPr>
          <w:p w14:paraId="4403721A"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-0.22703</w:t>
            </w:r>
          </w:p>
        </w:tc>
        <w:tc>
          <w:tcPr>
            <w:tcW w:w="1471" w:type="dxa"/>
            <w:tcBorders>
              <w:top w:val="nil"/>
              <w:left w:val="nil"/>
              <w:bottom w:val="single" w:sz="4" w:space="0" w:color="auto"/>
              <w:right w:val="single" w:sz="4" w:space="0" w:color="auto"/>
            </w:tcBorders>
            <w:shd w:val="clear" w:color="auto" w:fill="auto"/>
            <w:noWrap/>
            <w:vAlign w:val="bottom"/>
          </w:tcPr>
          <w:p w14:paraId="533D2E27"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-0.30612</w:t>
            </w:r>
          </w:p>
        </w:tc>
        <w:tc>
          <w:tcPr>
            <w:tcW w:w="1695" w:type="dxa"/>
            <w:tcBorders>
              <w:top w:val="nil"/>
              <w:left w:val="nil"/>
              <w:bottom w:val="single" w:sz="4" w:space="0" w:color="auto"/>
              <w:right w:val="single" w:sz="4" w:space="0" w:color="auto"/>
            </w:tcBorders>
            <w:shd w:val="clear" w:color="auto" w:fill="auto"/>
            <w:noWrap/>
            <w:vAlign w:val="bottom"/>
          </w:tcPr>
          <w:p w14:paraId="6D207EC8"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1.78184</w:t>
            </w:r>
          </w:p>
        </w:tc>
        <w:tc>
          <w:tcPr>
            <w:tcW w:w="1471" w:type="dxa"/>
            <w:tcBorders>
              <w:top w:val="nil"/>
              <w:left w:val="nil"/>
              <w:bottom w:val="single" w:sz="4" w:space="0" w:color="auto"/>
              <w:right w:val="single" w:sz="4" w:space="0" w:color="auto"/>
            </w:tcBorders>
            <w:shd w:val="clear" w:color="auto" w:fill="auto"/>
            <w:noWrap/>
            <w:vAlign w:val="bottom"/>
          </w:tcPr>
          <w:p w14:paraId="12ACBF16"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-0.12426</w:t>
            </w:r>
          </w:p>
        </w:tc>
      </w:tr>
      <w:tr w:rsidR="00BD7383" w14:paraId="4B7037C4" w14:textId="77777777">
        <w:trPr>
          <w:trHeight w:val="331"/>
        </w:trPr>
        <w:tc>
          <w:tcPr>
            <w:tcW w:w="1165" w:type="dxa"/>
            <w:tcBorders>
              <w:top w:val="nil"/>
              <w:left w:val="single" w:sz="4" w:space="0" w:color="auto"/>
              <w:bottom w:val="single" w:sz="4" w:space="0" w:color="auto"/>
              <w:right w:val="single" w:sz="4" w:space="0" w:color="auto"/>
            </w:tcBorders>
            <w:shd w:val="clear" w:color="auto" w:fill="auto"/>
            <w:noWrap/>
            <w:vAlign w:val="bottom"/>
          </w:tcPr>
          <w:p w14:paraId="055BD107"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2</w:t>
            </w:r>
          </w:p>
        </w:tc>
        <w:tc>
          <w:tcPr>
            <w:tcW w:w="1443" w:type="dxa"/>
            <w:tcBorders>
              <w:top w:val="nil"/>
              <w:left w:val="nil"/>
              <w:bottom w:val="single" w:sz="4" w:space="0" w:color="auto"/>
              <w:right w:val="single" w:sz="4" w:space="0" w:color="auto"/>
            </w:tcBorders>
            <w:shd w:val="clear" w:color="auto" w:fill="auto"/>
            <w:noWrap/>
            <w:vAlign w:val="bottom"/>
          </w:tcPr>
          <w:p w14:paraId="2E6E9A4A"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-0.47922</w:t>
            </w:r>
          </w:p>
        </w:tc>
        <w:tc>
          <w:tcPr>
            <w:tcW w:w="1512" w:type="dxa"/>
            <w:tcBorders>
              <w:top w:val="nil"/>
              <w:left w:val="nil"/>
              <w:bottom w:val="single" w:sz="4" w:space="0" w:color="auto"/>
              <w:right w:val="single" w:sz="4" w:space="0" w:color="auto"/>
            </w:tcBorders>
            <w:shd w:val="clear" w:color="auto" w:fill="auto"/>
            <w:noWrap/>
            <w:vAlign w:val="bottom"/>
          </w:tcPr>
          <w:p w14:paraId="6421CAD1"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-1.01179</w:t>
            </w:r>
          </w:p>
        </w:tc>
        <w:tc>
          <w:tcPr>
            <w:tcW w:w="1471" w:type="dxa"/>
            <w:tcBorders>
              <w:top w:val="nil"/>
              <w:left w:val="nil"/>
              <w:bottom w:val="single" w:sz="4" w:space="0" w:color="auto"/>
              <w:right w:val="single" w:sz="4" w:space="0" w:color="auto"/>
            </w:tcBorders>
            <w:shd w:val="clear" w:color="auto" w:fill="auto"/>
            <w:noWrap/>
            <w:vAlign w:val="bottom"/>
          </w:tcPr>
          <w:p w14:paraId="7F6EAE21"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0.47261</w:t>
            </w:r>
          </w:p>
        </w:tc>
        <w:tc>
          <w:tcPr>
            <w:tcW w:w="1695" w:type="dxa"/>
            <w:tcBorders>
              <w:top w:val="nil"/>
              <w:left w:val="nil"/>
              <w:bottom w:val="single" w:sz="4" w:space="0" w:color="auto"/>
              <w:right w:val="single" w:sz="4" w:space="0" w:color="auto"/>
            </w:tcBorders>
            <w:shd w:val="clear" w:color="auto" w:fill="auto"/>
            <w:noWrap/>
            <w:vAlign w:val="bottom"/>
          </w:tcPr>
          <w:p w14:paraId="541B3201"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-0.03435</w:t>
            </w:r>
          </w:p>
        </w:tc>
        <w:tc>
          <w:tcPr>
            <w:tcW w:w="1471" w:type="dxa"/>
            <w:tcBorders>
              <w:top w:val="nil"/>
              <w:left w:val="nil"/>
              <w:bottom w:val="single" w:sz="4" w:space="0" w:color="auto"/>
              <w:right w:val="single" w:sz="4" w:space="0" w:color="auto"/>
            </w:tcBorders>
            <w:shd w:val="clear" w:color="auto" w:fill="auto"/>
            <w:noWrap/>
            <w:vAlign w:val="bottom"/>
          </w:tcPr>
          <w:p w14:paraId="325A40AF"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0.65442</w:t>
            </w:r>
          </w:p>
        </w:tc>
      </w:tr>
      <w:tr w:rsidR="00BD7383" w14:paraId="314F5A6C" w14:textId="77777777">
        <w:trPr>
          <w:trHeight w:val="331"/>
        </w:trPr>
        <w:tc>
          <w:tcPr>
            <w:tcW w:w="1165" w:type="dxa"/>
            <w:tcBorders>
              <w:top w:val="nil"/>
              <w:left w:val="single" w:sz="4" w:space="0" w:color="auto"/>
              <w:bottom w:val="single" w:sz="4" w:space="0" w:color="auto"/>
              <w:right w:val="single" w:sz="4" w:space="0" w:color="auto"/>
            </w:tcBorders>
            <w:shd w:val="clear" w:color="auto" w:fill="auto"/>
            <w:noWrap/>
            <w:vAlign w:val="bottom"/>
          </w:tcPr>
          <w:p w14:paraId="2B182AE7"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3</w:t>
            </w:r>
          </w:p>
        </w:tc>
        <w:tc>
          <w:tcPr>
            <w:tcW w:w="1443" w:type="dxa"/>
            <w:tcBorders>
              <w:top w:val="nil"/>
              <w:left w:val="nil"/>
              <w:bottom w:val="single" w:sz="4" w:space="0" w:color="auto"/>
              <w:right w:val="single" w:sz="4" w:space="0" w:color="auto"/>
            </w:tcBorders>
            <w:shd w:val="clear" w:color="auto" w:fill="auto"/>
            <w:noWrap/>
            <w:vAlign w:val="bottom"/>
          </w:tcPr>
          <w:p w14:paraId="5932AB72"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1.06349</w:t>
            </w:r>
          </w:p>
        </w:tc>
        <w:tc>
          <w:tcPr>
            <w:tcW w:w="1512" w:type="dxa"/>
            <w:tcBorders>
              <w:top w:val="nil"/>
              <w:left w:val="nil"/>
              <w:bottom w:val="single" w:sz="4" w:space="0" w:color="auto"/>
              <w:right w:val="single" w:sz="4" w:space="0" w:color="auto"/>
            </w:tcBorders>
            <w:shd w:val="clear" w:color="auto" w:fill="auto"/>
            <w:noWrap/>
            <w:vAlign w:val="bottom"/>
          </w:tcPr>
          <w:p w14:paraId="07E811DA"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0.27913</w:t>
            </w:r>
          </w:p>
        </w:tc>
        <w:tc>
          <w:tcPr>
            <w:tcW w:w="1471" w:type="dxa"/>
            <w:tcBorders>
              <w:top w:val="nil"/>
              <w:left w:val="nil"/>
              <w:bottom w:val="single" w:sz="4" w:space="0" w:color="auto"/>
              <w:right w:val="single" w:sz="4" w:space="0" w:color="auto"/>
            </w:tcBorders>
            <w:shd w:val="clear" w:color="auto" w:fill="auto"/>
            <w:noWrap/>
            <w:vAlign w:val="bottom"/>
          </w:tcPr>
          <w:p w14:paraId="6D019F13"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1.09883</w:t>
            </w:r>
          </w:p>
        </w:tc>
        <w:tc>
          <w:tcPr>
            <w:tcW w:w="1695" w:type="dxa"/>
            <w:tcBorders>
              <w:top w:val="nil"/>
              <w:left w:val="nil"/>
              <w:bottom w:val="single" w:sz="4" w:space="0" w:color="auto"/>
              <w:right w:val="single" w:sz="4" w:space="0" w:color="auto"/>
            </w:tcBorders>
            <w:shd w:val="clear" w:color="auto" w:fill="auto"/>
            <w:noWrap/>
            <w:vAlign w:val="bottom"/>
          </w:tcPr>
          <w:p w14:paraId="724095A8"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-0.28504</w:t>
            </w:r>
          </w:p>
        </w:tc>
        <w:tc>
          <w:tcPr>
            <w:tcW w:w="1471" w:type="dxa"/>
            <w:tcBorders>
              <w:top w:val="nil"/>
              <w:left w:val="nil"/>
              <w:bottom w:val="single" w:sz="4" w:space="0" w:color="auto"/>
              <w:right w:val="single" w:sz="4" w:space="0" w:color="auto"/>
            </w:tcBorders>
            <w:shd w:val="clear" w:color="auto" w:fill="auto"/>
            <w:noWrap/>
            <w:vAlign w:val="bottom"/>
          </w:tcPr>
          <w:p w14:paraId="32BA54AE"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-0.34286</w:t>
            </w:r>
          </w:p>
        </w:tc>
      </w:tr>
      <w:tr w:rsidR="00BD7383" w14:paraId="785977B1" w14:textId="77777777">
        <w:trPr>
          <w:trHeight w:val="331"/>
        </w:trPr>
        <w:tc>
          <w:tcPr>
            <w:tcW w:w="1165" w:type="dxa"/>
            <w:tcBorders>
              <w:top w:val="nil"/>
              <w:left w:val="single" w:sz="4" w:space="0" w:color="auto"/>
              <w:bottom w:val="single" w:sz="4" w:space="0" w:color="auto"/>
              <w:right w:val="single" w:sz="4" w:space="0" w:color="auto"/>
            </w:tcBorders>
            <w:shd w:val="clear" w:color="auto" w:fill="auto"/>
            <w:noWrap/>
            <w:vAlign w:val="bottom"/>
          </w:tcPr>
          <w:p w14:paraId="4C4CB873"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4</w:t>
            </w:r>
          </w:p>
        </w:tc>
        <w:tc>
          <w:tcPr>
            <w:tcW w:w="1443" w:type="dxa"/>
            <w:tcBorders>
              <w:top w:val="nil"/>
              <w:left w:val="nil"/>
              <w:bottom w:val="single" w:sz="4" w:space="0" w:color="auto"/>
              <w:right w:val="single" w:sz="4" w:space="0" w:color="auto"/>
            </w:tcBorders>
            <w:shd w:val="clear" w:color="auto" w:fill="auto"/>
            <w:noWrap/>
            <w:vAlign w:val="bottom"/>
          </w:tcPr>
          <w:p w14:paraId="364CFE1A"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-0.10658</w:t>
            </w:r>
          </w:p>
        </w:tc>
        <w:tc>
          <w:tcPr>
            <w:tcW w:w="1512" w:type="dxa"/>
            <w:tcBorders>
              <w:top w:val="nil"/>
              <w:left w:val="nil"/>
              <w:bottom w:val="single" w:sz="4" w:space="0" w:color="auto"/>
              <w:right w:val="single" w:sz="4" w:space="0" w:color="auto"/>
            </w:tcBorders>
            <w:shd w:val="clear" w:color="auto" w:fill="auto"/>
            <w:noWrap/>
            <w:vAlign w:val="bottom"/>
          </w:tcPr>
          <w:p w14:paraId="42BCFB9E"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0.11073</w:t>
            </w:r>
          </w:p>
        </w:tc>
        <w:tc>
          <w:tcPr>
            <w:tcW w:w="1471" w:type="dxa"/>
            <w:tcBorders>
              <w:top w:val="nil"/>
              <w:left w:val="nil"/>
              <w:bottom w:val="single" w:sz="4" w:space="0" w:color="auto"/>
              <w:right w:val="single" w:sz="4" w:space="0" w:color="auto"/>
            </w:tcBorders>
            <w:shd w:val="clear" w:color="auto" w:fill="auto"/>
            <w:noWrap/>
            <w:vAlign w:val="bottom"/>
          </w:tcPr>
          <w:p w14:paraId="670DC3DF"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0.19148</w:t>
            </w:r>
          </w:p>
        </w:tc>
        <w:tc>
          <w:tcPr>
            <w:tcW w:w="1695" w:type="dxa"/>
            <w:tcBorders>
              <w:top w:val="nil"/>
              <w:left w:val="nil"/>
              <w:bottom w:val="single" w:sz="4" w:space="0" w:color="auto"/>
              <w:right w:val="single" w:sz="4" w:space="0" w:color="auto"/>
            </w:tcBorders>
            <w:shd w:val="clear" w:color="auto" w:fill="auto"/>
            <w:noWrap/>
            <w:vAlign w:val="bottom"/>
          </w:tcPr>
          <w:p w14:paraId="16203C4C"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0.08176</w:t>
            </w:r>
          </w:p>
        </w:tc>
        <w:tc>
          <w:tcPr>
            <w:tcW w:w="1471" w:type="dxa"/>
            <w:tcBorders>
              <w:top w:val="nil"/>
              <w:left w:val="nil"/>
              <w:bottom w:val="single" w:sz="4" w:space="0" w:color="auto"/>
              <w:right w:val="single" w:sz="4" w:space="0" w:color="auto"/>
            </w:tcBorders>
            <w:shd w:val="clear" w:color="auto" w:fill="auto"/>
            <w:noWrap/>
            <w:vAlign w:val="bottom"/>
          </w:tcPr>
          <w:p w14:paraId="6DB5F3DE"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-0.08781</w:t>
            </w:r>
          </w:p>
        </w:tc>
      </w:tr>
      <w:tr w:rsidR="00BD7383" w14:paraId="1187FB44" w14:textId="77777777">
        <w:trPr>
          <w:trHeight w:val="331"/>
        </w:trPr>
        <w:tc>
          <w:tcPr>
            <w:tcW w:w="1165" w:type="dxa"/>
            <w:tcBorders>
              <w:top w:val="nil"/>
              <w:left w:val="single" w:sz="4" w:space="0" w:color="auto"/>
              <w:bottom w:val="single" w:sz="4" w:space="0" w:color="auto"/>
              <w:right w:val="single" w:sz="4" w:space="0" w:color="auto"/>
            </w:tcBorders>
            <w:shd w:val="clear" w:color="auto" w:fill="auto"/>
            <w:noWrap/>
            <w:vAlign w:val="bottom"/>
          </w:tcPr>
          <w:p w14:paraId="1B51BECF"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5</w:t>
            </w:r>
          </w:p>
        </w:tc>
        <w:tc>
          <w:tcPr>
            <w:tcW w:w="1443" w:type="dxa"/>
            <w:tcBorders>
              <w:top w:val="nil"/>
              <w:left w:val="nil"/>
              <w:bottom w:val="single" w:sz="4" w:space="0" w:color="auto"/>
              <w:right w:val="single" w:sz="4" w:space="0" w:color="auto"/>
            </w:tcBorders>
            <w:shd w:val="clear" w:color="auto" w:fill="auto"/>
            <w:noWrap/>
            <w:vAlign w:val="bottom"/>
          </w:tcPr>
          <w:p w14:paraId="2A11C844"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-1.44563</w:t>
            </w:r>
          </w:p>
        </w:tc>
        <w:tc>
          <w:tcPr>
            <w:tcW w:w="1512" w:type="dxa"/>
            <w:tcBorders>
              <w:top w:val="nil"/>
              <w:left w:val="nil"/>
              <w:bottom w:val="single" w:sz="4" w:space="0" w:color="auto"/>
              <w:right w:val="single" w:sz="4" w:space="0" w:color="auto"/>
            </w:tcBorders>
            <w:shd w:val="clear" w:color="auto" w:fill="auto"/>
            <w:noWrap/>
            <w:vAlign w:val="bottom"/>
          </w:tcPr>
          <w:p w14:paraId="073CB3F8"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0.27299</w:t>
            </w:r>
          </w:p>
        </w:tc>
        <w:tc>
          <w:tcPr>
            <w:tcW w:w="1471" w:type="dxa"/>
            <w:tcBorders>
              <w:top w:val="nil"/>
              <w:left w:val="nil"/>
              <w:bottom w:val="single" w:sz="4" w:space="0" w:color="auto"/>
              <w:right w:val="single" w:sz="4" w:space="0" w:color="auto"/>
            </w:tcBorders>
            <w:shd w:val="clear" w:color="auto" w:fill="auto"/>
            <w:noWrap/>
            <w:vAlign w:val="bottom"/>
          </w:tcPr>
          <w:p w14:paraId="3ED0EDB6"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0.03914</w:t>
            </w:r>
          </w:p>
        </w:tc>
        <w:tc>
          <w:tcPr>
            <w:tcW w:w="1695" w:type="dxa"/>
            <w:tcBorders>
              <w:top w:val="nil"/>
              <w:left w:val="nil"/>
              <w:bottom w:val="single" w:sz="4" w:space="0" w:color="auto"/>
              <w:right w:val="single" w:sz="4" w:space="0" w:color="auto"/>
            </w:tcBorders>
            <w:shd w:val="clear" w:color="auto" w:fill="auto"/>
            <w:noWrap/>
            <w:vAlign w:val="bottom"/>
          </w:tcPr>
          <w:p w14:paraId="703C36EE"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-1.07498</w:t>
            </w:r>
          </w:p>
        </w:tc>
        <w:tc>
          <w:tcPr>
            <w:tcW w:w="1471" w:type="dxa"/>
            <w:tcBorders>
              <w:top w:val="nil"/>
              <w:left w:val="nil"/>
              <w:bottom w:val="single" w:sz="4" w:space="0" w:color="auto"/>
              <w:right w:val="single" w:sz="4" w:space="0" w:color="auto"/>
            </w:tcBorders>
            <w:shd w:val="clear" w:color="auto" w:fill="auto"/>
            <w:noWrap/>
            <w:vAlign w:val="bottom"/>
          </w:tcPr>
          <w:p w14:paraId="5114442B"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0.59499</w:t>
            </w:r>
          </w:p>
        </w:tc>
      </w:tr>
      <w:tr w:rsidR="00BD7383" w14:paraId="77857821" w14:textId="77777777">
        <w:trPr>
          <w:trHeight w:val="331"/>
        </w:trPr>
        <w:tc>
          <w:tcPr>
            <w:tcW w:w="1165" w:type="dxa"/>
            <w:tcBorders>
              <w:top w:val="nil"/>
              <w:left w:val="single" w:sz="4" w:space="0" w:color="auto"/>
              <w:bottom w:val="single" w:sz="4" w:space="0" w:color="auto"/>
              <w:right w:val="single" w:sz="4" w:space="0" w:color="auto"/>
            </w:tcBorders>
            <w:shd w:val="clear" w:color="auto" w:fill="auto"/>
            <w:noWrap/>
            <w:vAlign w:val="bottom"/>
          </w:tcPr>
          <w:p w14:paraId="28BF2AC8"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6</w:t>
            </w:r>
          </w:p>
        </w:tc>
        <w:tc>
          <w:tcPr>
            <w:tcW w:w="1443" w:type="dxa"/>
            <w:tcBorders>
              <w:top w:val="nil"/>
              <w:left w:val="nil"/>
              <w:bottom w:val="single" w:sz="4" w:space="0" w:color="auto"/>
              <w:right w:val="single" w:sz="4" w:space="0" w:color="auto"/>
            </w:tcBorders>
            <w:shd w:val="clear" w:color="auto" w:fill="auto"/>
            <w:noWrap/>
            <w:vAlign w:val="bottom"/>
          </w:tcPr>
          <w:p w14:paraId="48D914A5"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0.16423</w:t>
            </w:r>
          </w:p>
        </w:tc>
        <w:tc>
          <w:tcPr>
            <w:tcW w:w="1512" w:type="dxa"/>
            <w:tcBorders>
              <w:top w:val="nil"/>
              <w:left w:val="nil"/>
              <w:bottom w:val="single" w:sz="4" w:space="0" w:color="auto"/>
              <w:right w:val="single" w:sz="4" w:space="0" w:color="auto"/>
            </w:tcBorders>
            <w:shd w:val="clear" w:color="auto" w:fill="auto"/>
            <w:noWrap/>
            <w:vAlign w:val="bottom"/>
          </w:tcPr>
          <w:p w14:paraId="4AF9DD8D"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-0.30744</w:t>
            </w:r>
          </w:p>
        </w:tc>
        <w:tc>
          <w:tcPr>
            <w:tcW w:w="1471" w:type="dxa"/>
            <w:tcBorders>
              <w:top w:val="nil"/>
              <w:left w:val="nil"/>
              <w:bottom w:val="single" w:sz="4" w:space="0" w:color="auto"/>
              <w:right w:val="single" w:sz="4" w:space="0" w:color="auto"/>
            </w:tcBorders>
            <w:shd w:val="clear" w:color="auto" w:fill="auto"/>
            <w:noWrap/>
            <w:vAlign w:val="bottom"/>
          </w:tcPr>
          <w:p w14:paraId="6EB53B5E"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-0.37042</w:t>
            </w:r>
          </w:p>
        </w:tc>
        <w:tc>
          <w:tcPr>
            <w:tcW w:w="1695" w:type="dxa"/>
            <w:tcBorders>
              <w:top w:val="nil"/>
              <w:left w:val="nil"/>
              <w:bottom w:val="single" w:sz="4" w:space="0" w:color="auto"/>
              <w:right w:val="single" w:sz="4" w:space="0" w:color="auto"/>
            </w:tcBorders>
            <w:shd w:val="clear" w:color="auto" w:fill="auto"/>
            <w:noWrap/>
            <w:vAlign w:val="bottom"/>
          </w:tcPr>
          <w:p w14:paraId="39B37A7D"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-1.05317</w:t>
            </w:r>
          </w:p>
        </w:tc>
        <w:tc>
          <w:tcPr>
            <w:tcW w:w="1471" w:type="dxa"/>
            <w:tcBorders>
              <w:top w:val="nil"/>
              <w:left w:val="nil"/>
              <w:bottom w:val="single" w:sz="4" w:space="0" w:color="auto"/>
              <w:right w:val="single" w:sz="4" w:space="0" w:color="auto"/>
            </w:tcBorders>
            <w:shd w:val="clear" w:color="auto" w:fill="auto"/>
            <w:noWrap/>
            <w:vAlign w:val="bottom"/>
          </w:tcPr>
          <w:p w14:paraId="356ED245"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-0.18639</w:t>
            </w:r>
          </w:p>
        </w:tc>
      </w:tr>
      <w:tr w:rsidR="00BD7383" w14:paraId="63F8DEEE" w14:textId="77777777">
        <w:trPr>
          <w:trHeight w:val="331"/>
        </w:trPr>
        <w:tc>
          <w:tcPr>
            <w:tcW w:w="1165" w:type="dxa"/>
            <w:tcBorders>
              <w:top w:val="nil"/>
              <w:left w:val="single" w:sz="4" w:space="0" w:color="auto"/>
              <w:bottom w:val="single" w:sz="4" w:space="0" w:color="auto"/>
              <w:right w:val="single" w:sz="4" w:space="0" w:color="auto"/>
            </w:tcBorders>
            <w:shd w:val="clear" w:color="auto" w:fill="auto"/>
            <w:noWrap/>
            <w:vAlign w:val="bottom"/>
          </w:tcPr>
          <w:p w14:paraId="565E8CBD"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7</w:t>
            </w:r>
          </w:p>
        </w:tc>
        <w:tc>
          <w:tcPr>
            <w:tcW w:w="1443" w:type="dxa"/>
            <w:tcBorders>
              <w:top w:val="nil"/>
              <w:left w:val="nil"/>
              <w:bottom w:val="single" w:sz="4" w:space="0" w:color="auto"/>
              <w:right w:val="single" w:sz="4" w:space="0" w:color="auto"/>
            </w:tcBorders>
            <w:shd w:val="clear" w:color="auto" w:fill="auto"/>
            <w:noWrap/>
            <w:vAlign w:val="bottom"/>
          </w:tcPr>
          <w:p w14:paraId="044A0728"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0.20297</w:t>
            </w:r>
          </w:p>
        </w:tc>
        <w:tc>
          <w:tcPr>
            <w:tcW w:w="1512" w:type="dxa"/>
            <w:tcBorders>
              <w:top w:val="nil"/>
              <w:left w:val="nil"/>
              <w:bottom w:val="single" w:sz="4" w:space="0" w:color="auto"/>
              <w:right w:val="single" w:sz="4" w:space="0" w:color="auto"/>
            </w:tcBorders>
            <w:shd w:val="clear" w:color="auto" w:fill="auto"/>
            <w:noWrap/>
            <w:vAlign w:val="bottom"/>
          </w:tcPr>
          <w:p w14:paraId="27012A80"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0.66823</w:t>
            </w:r>
          </w:p>
        </w:tc>
        <w:tc>
          <w:tcPr>
            <w:tcW w:w="1471" w:type="dxa"/>
            <w:tcBorders>
              <w:top w:val="nil"/>
              <w:left w:val="nil"/>
              <w:bottom w:val="single" w:sz="4" w:space="0" w:color="auto"/>
              <w:right w:val="single" w:sz="4" w:space="0" w:color="auto"/>
            </w:tcBorders>
            <w:shd w:val="clear" w:color="auto" w:fill="auto"/>
            <w:noWrap/>
            <w:vAlign w:val="bottom"/>
          </w:tcPr>
          <w:p w14:paraId="72C84757"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-0.64720</w:t>
            </w:r>
          </w:p>
        </w:tc>
        <w:tc>
          <w:tcPr>
            <w:tcW w:w="1695" w:type="dxa"/>
            <w:tcBorders>
              <w:top w:val="nil"/>
              <w:left w:val="nil"/>
              <w:bottom w:val="single" w:sz="4" w:space="0" w:color="auto"/>
              <w:right w:val="single" w:sz="4" w:space="0" w:color="auto"/>
            </w:tcBorders>
            <w:shd w:val="clear" w:color="auto" w:fill="auto"/>
            <w:noWrap/>
            <w:vAlign w:val="bottom"/>
          </w:tcPr>
          <w:p w14:paraId="0865C274"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-0.12574</w:t>
            </w:r>
          </w:p>
        </w:tc>
        <w:tc>
          <w:tcPr>
            <w:tcW w:w="1471" w:type="dxa"/>
            <w:tcBorders>
              <w:top w:val="nil"/>
              <w:left w:val="nil"/>
              <w:bottom w:val="single" w:sz="4" w:space="0" w:color="auto"/>
              <w:right w:val="single" w:sz="4" w:space="0" w:color="auto"/>
            </w:tcBorders>
            <w:shd w:val="clear" w:color="auto" w:fill="auto"/>
            <w:noWrap/>
            <w:vAlign w:val="bottom"/>
          </w:tcPr>
          <w:p w14:paraId="42E19AB5"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-0.82339</w:t>
            </w:r>
          </w:p>
        </w:tc>
      </w:tr>
      <w:tr w:rsidR="00BD7383" w14:paraId="74B640DE" w14:textId="77777777">
        <w:trPr>
          <w:trHeight w:val="331"/>
        </w:trPr>
        <w:tc>
          <w:tcPr>
            <w:tcW w:w="1165" w:type="dxa"/>
            <w:tcBorders>
              <w:top w:val="nil"/>
              <w:left w:val="single" w:sz="4" w:space="0" w:color="auto"/>
              <w:bottom w:val="single" w:sz="4" w:space="0" w:color="auto"/>
              <w:right w:val="single" w:sz="4" w:space="0" w:color="auto"/>
            </w:tcBorders>
            <w:shd w:val="clear" w:color="auto" w:fill="auto"/>
            <w:noWrap/>
            <w:vAlign w:val="bottom"/>
          </w:tcPr>
          <w:p w14:paraId="5D8D2DBF"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8</w:t>
            </w:r>
          </w:p>
        </w:tc>
        <w:tc>
          <w:tcPr>
            <w:tcW w:w="1443" w:type="dxa"/>
            <w:tcBorders>
              <w:top w:val="nil"/>
              <w:left w:val="nil"/>
              <w:bottom w:val="single" w:sz="4" w:space="0" w:color="auto"/>
              <w:right w:val="single" w:sz="4" w:space="0" w:color="auto"/>
            </w:tcBorders>
            <w:shd w:val="clear" w:color="auto" w:fill="auto"/>
            <w:noWrap/>
            <w:vAlign w:val="bottom"/>
          </w:tcPr>
          <w:p w14:paraId="0C20D7B3"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0.10904</w:t>
            </w:r>
          </w:p>
        </w:tc>
        <w:tc>
          <w:tcPr>
            <w:tcW w:w="1512" w:type="dxa"/>
            <w:tcBorders>
              <w:top w:val="nil"/>
              <w:left w:val="nil"/>
              <w:bottom w:val="single" w:sz="4" w:space="0" w:color="auto"/>
              <w:right w:val="single" w:sz="4" w:space="0" w:color="auto"/>
            </w:tcBorders>
            <w:shd w:val="clear" w:color="auto" w:fill="auto"/>
            <w:noWrap/>
            <w:vAlign w:val="bottom"/>
          </w:tcPr>
          <w:p w14:paraId="62FFA34D"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-0.11962</w:t>
            </w:r>
          </w:p>
        </w:tc>
        <w:tc>
          <w:tcPr>
            <w:tcW w:w="1471" w:type="dxa"/>
            <w:tcBorders>
              <w:top w:val="nil"/>
              <w:left w:val="nil"/>
              <w:bottom w:val="single" w:sz="4" w:space="0" w:color="auto"/>
              <w:right w:val="single" w:sz="4" w:space="0" w:color="auto"/>
            </w:tcBorders>
            <w:shd w:val="clear" w:color="auto" w:fill="auto"/>
            <w:noWrap/>
            <w:vAlign w:val="bottom"/>
          </w:tcPr>
          <w:p w14:paraId="0428A06F"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-0.21169</w:t>
            </w:r>
          </w:p>
        </w:tc>
        <w:tc>
          <w:tcPr>
            <w:tcW w:w="1695" w:type="dxa"/>
            <w:tcBorders>
              <w:top w:val="nil"/>
              <w:left w:val="nil"/>
              <w:bottom w:val="single" w:sz="4" w:space="0" w:color="auto"/>
              <w:right w:val="single" w:sz="4" w:space="0" w:color="auto"/>
            </w:tcBorders>
            <w:shd w:val="clear" w:color="auto" w:fill="auto"/>
            <w:noWrap/>
            <w:vAlign w:val="bottom"/>
          </w:tcPr>
          <w:p w14:paraId="259F8589"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-0.08336</w:t>
            </w:r>
          </w:p>
        </w:tc>
        <w:tc>
          <w:tcPr>
            <w:tcW w:w="1471" w:type="dxa"/>
            <w:tcBorders>
              <w:top w:val="nil"/>
              <w:left w:val="nil"/>
              <w:bottom w:val="single" w:sz="4" w:space="0" w:color="auto"/>
              <w:right w:val="single" w:sz="4" w:space="0" w:color="auto"/>
            </w:tcBorders>
            <w:shd w:val="clear" w:color="auto" w:fill="auto"/>
            <w:noWrap/>
            <w:vAlign w:val="bottom"/>
          </w:tcPr>
          <w:p w14:paraId="73D2AFFC"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0.09630</w:t>
            </w:r>
          </w:p>
        </w:tc>
      </w:tr>
      <w:tr w:rsidR="00BD7383" w14:paraId="774450BE" w14:textId="77777777">
        <w:trPr>
          <w:trHeight w:val="331"/>
        </w:trPr>
        <w:tc>
          <w:tcPr>
            <w:tcW w:w="1165" w:type="dxa"/>
            <w:tcBorders>
              <w:top w:val="nil"/>
              <w:left w:val="single" w:sz="4" w:space="0" w:color="auto"/>
              <w:bottom w:val="single" w:sz="4" w:space="0" w:color="auto"/>
              <w:right w:val="single" w:sz="4" w:space="0" w:color="auto"/>
            </w:tcBorders>
            <w:shd w:val="clear" w:color="auto" w:fill="auto"/>
            <w:noWrap/>
            <w:vAlign w:val="bottom"/>
          </w:tcPr>
          <w:p w14:paraId="0EE37B43"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9</w:t>
            </w:r>
          </w:p>
        </w:tc>
        <w:tc>
          <w:tcPr>
            <w:tcW w:w="1443" w:type="dxa"/>
            <w:tcBorders>
              <w:top w:val="nil"/>
              <w:left w:val="nil"/>
              <w:bottom w:val="single" w:sz="4" w:space="0" w:color="auto"/>
              <w:right w:val="single" w:sz="4" w:space="0" w:color="auto"/>
            </w:tcBorders>
            <w:shd w:val="clear" w:color="auto" w:fill="auto"/>
            <w:noWrap/>
            <w:vAlign w:val="bottom"/>
          </w:tcPr>
          <w:p w14:paraId="47FC817F"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0.10364</w:t>
            </w:r>
          </w:p>
        </w:tc>
        <w:tc>
          <w:tcPr>
            <w:tcW w:w="1512" w:type="dxa"/>
            <w:tcBorders>
              <w:top w:val="nil"/>
              <w:left w:val="nil"/>
              <w:bottom w:val="single" w:sz="4" w:space="0" w:color="auto"/>
              <w:right w:val="single" w:sz="4" w:space="0" w:color="auto"/>
            </w:tcBorders>
            <w:shd w:val="clear" w:color="auto" w:fill="auto"/>
            <w:noWrap/>
            <w:vAlign w:val="bottom"/>
          </w:tcPr>
          <w:p w14:paraId="3D00BBE7"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-0.09901</w:t>
            </w:r>
          </w:p>
        </w:tc>
        <w:tc>
          <w:tcPr>
            <w:tcW w:w="1471" w:type="dxa"/>
            <w:tcBorders>
              <w:top w:val="nil"/>
              <w:left w:val="nil"/>
              <w:bottom w:val="single" w:sz="4" w:space="0" w:color="auto"/>
              <w:right w:val="single" w:sz="4" w:space="0" w:color="auto"/>
            </w:tcBorders>
            <w:shd w:val="clear" w:color="auto" w:fill="auto"/>
            <w:noWrap/>
            <w:vAlign w:val="bottom"/>
          </w:tcPr>
          <w:p w14:paraId="603573CB"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-0.16543</w:t>
            </w:r>
          </w:p>
        </w:tc>
        <w:tc>
          <w:tcPr>
            <w:tcW w:w="1695" w:type="dxa"/>
            <w:tcBorders>
              <w:top w:val="nil"/>
              <w:left w:val="nil"/>
              <w:bottom w:val="single" w:sz="4" w:space="0" w:color="auto"/>
              <w:right w:val="single" w:sz="4" w:space="0" w:color="auto"/>
            </w:tcBorders>
            <w:shd w:val="clear" w:color="auto" w:fill="auto"/>
            <w:noWrap/>
            <w:vAlign w:val="bottom"/>
          </w:tcPr>
          <w:p w14:paraId="7DA81BA4"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-0.07959</w:t>
            </w:r>
          </w:p>
        </w:tc>
        <w:tc>
          <w:tcPr>
            <w:tcW w:w="1471" w:type="dxa"/>
            <w:tcBorders>
              <w:top w:val="nil"/>
              <w:left w:val="nil"/>
              <w:bottom w:val="single" w:sz="4" w:space="0" w:color="auto"/>
              <w:right w:val="single" w:sz="4" w:space="0" w:color="auto"/>
            </w:tcBorders>
            <w:shd w:val="clear" w:color="auto" w:fill="auto"/>
            <w:noWrap/>
            <w:vAlign w:val="bottom"/>
          </w:tcPr>
          <w:p w14:paraId="35396E2C"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0.07738</w:t>
            </w:r>
          </w:p>
        </w:tc>
      </w:tr>
      <w:tr w:rsidR="00BD7383" w14:paraId="35074836" w14:textId="77777777">
        <w:trPr>
          <w:trHeight w:val="331"/>
        </w:trPr>
        <w:tc>
          <w:tcPr>
            <w:tcW w:w="1165" w:type="dxa"/>
            <w:tcBorders>
              <w:top w:val="nil"/>
              <w:left w:val="single" w:sz="4" w:space="0" w:color="auto"/>
              <w:bottom w:val="single" w:sz="4" w:space="0" w:color="auto"/>
              <w:right w:val="single" w:sz="4" w:space="0" w:color="auto"/>
            </w:tcBorders>
            <w:shd w:val="clear" w:color="auto" w:fill="auto"/>
            <w:noWrap/>
            <w:vAlign w:val="bottom"/>
          </w:tcPr>
          <w:p w14:paraId="12DA8329"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10</w:t>
            </w:r>
          </w:p>
        </w:tc>
        <w:tc>
          <w:tcPr>
            <w:tcW w:w="1443" w:type="dxa"/>
            <w:tcBorders>
              <w:top w:val="nil"/>
              <w:left w:val="nil"/>
              <w:bottom w:val="single" w:sz="4" w:space="0" w:color="auto"/>
              <w:right w:val="single" w:sz="4" w:space="0" w:color="auto"/>
            </w:tcBorders>
            <w:shd w:val="clear" w:color="auto" w:fill="auto"/>
            <w:noWrap/>
            <w:vAlign w:val="bottom"/>
          </w:tcPr>
          <w:p w14:paraId="63E6725E"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-0.10811</w:t>
            </w:r>
          </w:p>
        </w:tc>
        <w:tc>
          <w:tcPr>
            <w:tcW w:w="1512" w:type="dxa"/>
            <w:tcBorders>
              <w:top w:val="nil"/>
              <w:left w:val="nil"/>
              <w:bottom w:val="single" w:sz="4" w:space="0" w:color="auto"/>
              <w:right w:val="single" w:sz="4" w:space="0" w:color="auto"/>
            </w:tcBorders>
            <w:shd w:val="clear" w:color="auto" w:fill="auto"/>
            <w:noWrap/>
            <w:vAlign w:val="bottom"/>
          </w:tcPr>
          <w:p w14:paraId="1ABE5C03"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0.11634</w:t>
            </w:r>
          </w:p>
        </w:tc>
        <w:tc>
          <w:tcPr>
            <w:tcW w:w="1471" w:type="dxa"/>
            <w:tcBorders>
              <w:top w:val="nil"/>
              <w:left w:val="nil"/>
              <w:bottom w:val="single" w:sz="4" w:space="0" w:color="auto"/>
              <w:right w:val="single" w:sz="4" w:space="0" w:color="auto"/>
            </w:tcBorders>
            <w:shd w:val="clear" w:color="auto" w:fill="auto"/>
            <w:noWrap/>
            <w:vAlign w:val="bottom"/>
          </w:tcPr>
          <w:p w14:paraId="13DCAD18"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0.20419</w:t>
            </w:r>
          </w:p>
        </w:tc>
        <w:tc>
          <w:tcPr>
            <w:tcW w:w="1695" w:type="dxa"/>
            <w:tcBorders>
              <w:top w:val="nil"/>
              <w:left w:val="nil"/>
              <w:bottom w:val="single" w:sz="4" w:space="0" w:color="auto"/>
              <w:right w:val="single" w:sz="4" w:space="0" w:color="auto"/>
            </w:tcBorders>
            <w:shd w:val="clear" w:color="auto" w:fill="auto"/>
            <w:noWrap/>
            <w:vAlign w:val="bottom"/>
          </w:tcPr>
          <w:p w14:paraId="13E92892"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0.08277</w:t>
            </w:r>
          </w:p>
        </w:tc>
        <w:tc>
          <w:tcPr>
            <w:tcW w:w="1471" w:type="dxa"/>
            <w:tcBorders>
              <w:top w:val="nil"/>
              <w:left w:val="nil"/>
              <w:bottom w:val="single" w:sz="4" w:space="0" w:color="auto"/>
              <w:right w:val="single" w:sz="4" w:space="0" w:color="auto"/>
            </w:tcBorders>
            <w:shd w:val="clear" w:color="auto" w:fill="auto"/>
            <w:noWrap/>
            <w:vAlign w:val="bottom"/>
          </w:tcPr>
          <w:p w14:paraId="72C61B03"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-0.09310</w:t>
            </w:r>
          </w:p>
        </w:tc>
      </w:tr>
    </w:tbl>
    <w:p w14:paraId="736A1ED9" w14:textId="77777777" w:rsidR="00BD7383" w:rsidRDefault="00BD7383">
      <w:pPr>
        <w:spacing w:line="480" w:lineRule="auto"/>
        <w:jc w:val="both"/>
        <w:rPr>
          <w:rFonts w:ascii="Times New Roman" w:hAnsi="Times New Roman" w:cs="Times New Roman"/>
          <w:sz w:val="24"/>
          <w:szCs w:val="24"/>
        </w:rPr>
      </w:pPr>
    </w:p>
    <w:p w14:paraId="492E65DD" w14:textId="77777777" w:rsidR="00BD7383" w:rsidRDefault="00BD7383">
      <w:pPr>
        <w:spacing w:after="0" w:line="480" w:lineRule="auto"/>
        <w:jc w:val="both"/>
        <w:rPr>
          <w:rFonts w:ascii="Times New Roman" w:hAnsi="Times New Roman" w:cs="Times New Roman"/>
          <w:b/>
          <w:bCs/>
          <w:sz w:val="24"/>
          <w:szCs w:val="24"/>
        </w:rPr>
        <w:sectPr w:rsidR="00BD7383" w:rsidSect="00B862A9">
          <w:pgSz w:w="11906" w:h="16838"/>
          <w:pgMar w:top="1440" w:right="1440" w:bottom="1440" w:left="1440" w:header="708" w:footer="708" w:gutter="0"/>
          <w:cols w:space="708"/>
          <w:docGrid w:linePitch="360"/>
        </w:sectPr>
      </w:pPr>
    </w:p>
    <w:p w14:paraId="1406B305" w14:textId="0DEE2E2E" w:rsidR="00BD7383" w:rsidRDefault="00000000">
      <w:pPr>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Table S2</w:t>
      </w:r>
      <w:r>
        <w:rPr>
          <w:rFonts w:ascii="Times New Roman" w:hAnsi="Times New Roman" w:cs="Times New Roman"/>
          <w:sz w:val="24"/>
          <w:szCs w:val="24"/>
        </w:rPr>
        <w:t xml:space="preserve">. Biases connecting </w:t>
      </w:r>
      <w:r w:rsidR="000F5AB7">
        <w:rPr>
          <w:rFonts w:ascii="Times New Roman" w:hAnsi="Times New Roman" w:cs="Times New Roman"/>
          <w:sz w:val="24"/>
          <w:szCs w:val="24"/>
        </w:rPr>
        <w:t xml:space="preserve">the </w:t>
      </w:r>
      <w:r>
        <w:rPr>
          <w:rFonts w:ascii="Times New Roman" w:hAnsi="Times New Roman" w:cs="Times New Roman"/>
          <w:sz w:val="24"/>
          <w:szCs w:val="24"/>
        </w:rPr>
        <w:t>input layer and hidden layer.</w:t>
      </w:r>
    </w:p>
    <w:tbl>
      <w:tblPr>
        <w:tblW w:w="42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34"/>
        <w:gridCol w:w="2265"/>
      </w:tblGrid>
      <w:tr w:rsidR="00BD7383" w14:paraId="0728E3FE" w14:textId="77777777">
        <w:trPr>
          <w:trHeight w:val="288"/>
        </w:trPr>
        <w:tc>
          <w:tcPr>
            <w:tcW w:w="2034" w:type="dxa"/>
            <w:shd w:val="clear" w:color="auto" w:fill="auto"/>
            <w:noWrap/>
            <w:vAlign w:val="bottom"/>
          </w:tcPr>
          <w:p w14:paraId="600E7139"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 </w:t>
            </w:r>
            <w:r>
              <w:rPr>
                <w:rFonts w:ascii="Times New Roman" w:eastAsia="Times New Roman" w:hAnsi="Times New Roman" w:cs="Times New Roman"/>
                <w:b/>
                <w:bCs/>
                <w:color w:val="000000"/>
              </w:rPr>
              <w:t>Number of Nodes</w:t>
            </w:r>
          </w:p>
        </w:tc>
        <w:tc>
          <w:tcPr>
            <w:tcW w:w="2265" w:type="dxa"/>
            <w:shd w:val="clear" w:color="auto" w:fill="auto"/>
            <w:noWrap/>
            <w:vAlign w:val="bottom"/>
          </w:tcPr>
          <w:p w14:paraId="251A9091"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 xml:space="preserve">Adsorption efficiency </w:t>
            </w:r>
          </w:p>
        </w:tc>
      </w:tr>
      <w:tr w:rsidR="00BD7383" w14:paraId="5E36A0C2" w14:textId="77777777">
        <w:trPr>
          <w:trHeight w:val="288"/>
        </w:trPr>
        <w:tc>
          <w:tcPr>
            <w:tcW w:w="2034" w:type="dxa"/>
            <w:shd w:val="clear" w:color="auto" w:fill="auto"/>
            <w:noWrap/>
            <w:vAlign w:val="bottom"/>
          </w:tcPr>
          <w:p w14:paraId="46BF4E88"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Node 1</w:t>
            </w:r>
          </w:p>
        </w:tc>
        <w:tc>
          <w:tcPr>
            <w:tcW w:w="2265" w:type="dxa"/>
            <w:shd w:val="clear" w:color="auto" w:fill="auto"/>
            <w:noWrap/>
            <w:vAlign w:val="bottom"/>
          </w:tcPr>
          <w:p w14:paraId="34348748"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-0.82101</w:t>
            </w:r>
          </w:p>
        </w:tc>
      </w:tr>
      <w:tr w:rsidR="00BD7383" w14:paraId="237F5822" w14:textId="77777777">
        <w:trPr>
          <w:trHeight w:val="288"/>
        </w:trPr>
        <w:tc>
          <w:tcPr>
            <w:tcW w:w="2034" w:type="dxa"/>
            <w:shd w:val="clear" w:color="auto" w:fill="auto"/>
            <w:noWrap/>
            <w:vAlign w:val="bottom"/>
          </w:tcPr>
          <w:p w14:paraId="70C216E1"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Node 2</w:t>
            </w:r>
          </w:p>
        </w:tc>
        <w:tc>
          <w:tcPr>
            <w:tcW w:w="2265" w:type="dxa"/>
            <w:shd w:val="clear" w:color="auto" w:fill="auto"/>
            <w:noWrap/>
            <w:vAlign w:val="bottom"/>
          </w:tcPr>
          <w:p w14:paraId="60F49EDC"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0.52857</w:t>
            </w:r>
          </w:p>
        </w:tc>
      </w:tr>
      <w:tr w:rsidR="00BD7383" w14:paraId="15BA0202" w14:textId="77777777">
        <w:trPr>
          <w:trHeight w:val="288"/>
        </w:trPr>
        <w:tc>
          <w:tcPr>
            <w:tcW w:w="2034" w:type="dxa"/>
            <w:shd w:val="clear" w:color="auto" w:fill="auto"/>
            <w:noWrap/>
            <w:vAlign w:val="bottom"/>
          </w:tcPr>
          <w:p w14:paraId="6764CDA4"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Node 3</w:t>
            </w:r>
          </w:p>
        </w:tc>
        <w:tc>
          <w:tcPr>
            <w:tcW w:w="2265" w:type="dxa"/>
            <w:shd w:val="clear" w:color="auto" w:fill="auto"/>
            <w:noWrap/>
            <w:vAlign w:val="bottom"/>
          </w:tcPr>
          <w:p w14:paraId="2131FCBF"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-0.35788</w:t>
            </w:r>
          </w:p>
        </w:tc>
      </w:tr>
      <w:tr w:rsidR="00BD7383" w14:paraId="0FE12D04" w14:textId="77777777">
        <w:trPr>
          <w:trHeight w:val="288"/>
        </w:trPr>
        <w:tc>
          <w:tcPr>
            <w:tcW w:w="2034" w:type="dxa"/>
            <w:shd w:val="clear" w:color="auto" w:fill="auto"/>
            <w:noWrap/>
            <w:vAlign w:val="bottom"/>
          </w:tcPr>
          <w:p w14:paraId="1BEBB94E"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Node 4</w:t>
            </w:r>
          </w:p>
        </w:tc>
        <w:tc>
          <w:tcPr>
            <w:tcW w:w="2265" w:type="dxa"/>
            <w:shd w:val="clear" w:color="auto" w:fill="auto"/>
            <w:noWrap/>
            <w:vAlign w:val="bottom"/>
          </w:tcPr>
          <w:p w14:paraId="3D30B01D"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-0.51556</w:t>
            </w:r>
          </w:p>
        </w:tc>
      </w:tr>
      <w:tr w:rsidR="00BD7383" w14:paraId="31E26445" w14:textId="77777777">
        <w:trPr>
          <w:trHeight w:val="288"/>
        </w:trPr>
        <w:tc>
          <w:tcPr>
            <w:tcW w:w="2034" w:type="dxa"/>
            <w:shd w:val="clear" w:color="auto" w:fill="auto"/>
            <w:noWrap/>
            <w:vAlign w:val="bottom"/>
          </w:tcPr>
          <w:p w14:paraId="4C88BC2F"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Node 5</w:t>
            </w:r>
          </w:p>
        </w:tc>
        <w:tc>
          <w:tcPr>
            <w:tcW w:w="2265" w:type="dxa"/>
            <w:shd w:val="clear" w:color="auto" w:fill="auto"/>
            <w:noWrap/>
            <w:vAlign w:val="bottom"/>
          </w:tcPr>
          <w:p w14:paraId="34A826B9"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-0.85408</w:t>
            </w:r>
          </w:p>
        </w:tc>
      </w:tr>
      <w:tr w:rsidR="00BD7383" w14:paraId="461FF98E" w14:textId="77777777">
        <w:trPr>
          <w:trHeight w:val="288"/>
        </w:trPr>
        <w:tc>
          <w:tcPr>
            <w:tcW w:w="2034" w:type="dxa"/>
            <w:shd w:val="clear" w:color="auto" w:fill="auto"/>
            <w:noWrap/>
            <w:vAlign w:val="bottom"/>
          </w:tcPr>
          <w:p w14:paraId="552D7578"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Node 6</w:t>
            </w:r>
          </w:p>
        </w:tc>
        <w:tc>
          <w:tcPr>
            <w:tcW w:w="2265" w:type="dxa"/>
            <w:shd w:val="clear" w:color="auto" w:fill="auto"/>
            <w:noWrap/>
            <w:vAlign w:val="bottom"/>
          </w:tcPr>
          <w:p w14:paraId="4C006498"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-0.09828</w:t>
            </w:r>
          </w:p>
        </w:tc>
      </w:tr>
      <w:tr w:rsidR="00BD7383" w14:paraId="21808910" w14:textId="77777777">
        <w:trPr>
          <w:trHeight w:val="288"/>
        </w:trPr>
        <w:tc>
          <w:tcPr>
            <w:tcW w:w="2034" w:type="dxa"/>
            <w:shd w:val="clear" w:color="auto" w:fill="auto"/>
            <w:noWrap/>
            <w:vAlign w:val="bottom"/>
          </w:tcPr>
          <w:p w14:paraId="53B58A5C"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Node 7</w:t>
            </w:r>
          </w:p>
        </w:tc>
        <w:tc>
          <w:tcPr>
            <w:tcW w:w="2265" w:type="dxa"/>
            <w:shd w:val="clear" w:color="auto" w:fill="auto"/>
            <w:noWrap/>
            <w:vAlign w:val="bottom"/>
          </w:tcPr>
          <w:p w14:paraId="7689DA17"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0.52163</w:t>
            </w:r>
          </w:p>
        </w:tc>
      </w:tr>
      <w:tr w:rsidR="00BD7383" w14:paraId="19B62FFB" w14:textId="77777777">
        <w:trPr>
          <w:trHeight w:val="288"/>
        </w:trPr>
        <w:tc>
          <w:tcPr>
            <w:tcW w:w="2034" w:type="dxa"/>
            <w:shd w:val="clear" w:color="auto" w:fill="auto"/>
            <w:noWrap/>
            <w:vAlign w:val="bottom"/>
          </w:tcPr>
          <w:p w14:paraId="5B16E315"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Node 8</w:t>
            </w:r>
          </w:p>
        </w:tc>
        <w:tc>
          <w:tcPr>
            <w:tcW w:w="2265" w:type="dxa"/>
            <w:shd w:val="clear" w:color="auto" w:fill="auto"/>
            <w:noWrap/>
            <w:vAlign w:val="bottom"/>
          </w:tcPr>
          <w:p w14:paraId="18128648"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0.52889</w:t>
            </w:r>
          </w:p>
        </w:tc>
      </w:tr>
      <w:tr w:rsidR="00BD7383" w14:paraId="76A2D199" w14:textId="77777777">
        <w:trPr>
          <w:trHeight w:val="288"/>
        </w:trPr>
        <w:tc>
          <w:tcPr>
            <w:tcW w:w="2034" w:type="dxa"/>
            <w:shd w:val="clear" w:color="auto" w:fill="auto"/>
            <w:noWrap/>
            <w:vAlign w:val="bottom"/>
          </w:tcPr>
          <w:p w14:paraId="7D5B7005"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Node 9</w:t>
            </w:r>
          </w:p>
        </w:tc>
        <w:tc>
          <w:tcPr>
            <w:tcW w:w="2265" w:type="dxa"/>
            <w:shd w:val="clear" w:color="auto" w:fill="auto"/>
            <w:noWrap/>
            <w:vAlign w:val="bottom"/>
          </w:tcPr>
          <w:p w14:paraId="37E566BA"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0.49356</w:t>
            </w:r>
          </w:p>
        </w:tc>
      </w:tr>
      <w:tr w:rsidR="00BD7383" w14:paraId="5B4083F8" w14:textId="77777777">
        <w:trPr>
          <w:trHeight w:val="288"/>
        </w:trPr>
        <w:tc>
          <w:tcPr>
            <w:tcW w:w="2034" w:type="dxa"/>
            <w:shd w:val="clear" w:color="auto" w:fill="auto"/>
            <w:noWrap/>
            <w:vAlign w:val="bottom"/>
          </w:tcPr>
          <w:p w14:paraId="5F4FC73A"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Node 10</w:t>
            </w:r>
          </w:p>
        </w:tc>
        <w:tc>
          <w:tcPr>
            <w:tcW w:w="2265" w:type="dxa"/>
            <w:shd w:val="clear" w:color="auto" w:fill="auto"/>
            <w:noWrap/>
            <w:vAlign w:val="bottom"/>
          </w:tcPr>
          <w:p w14:paraId="129AE499"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hAnsi="Times New Roman" w:cs="Times New Roman"/>
                <w:color w:val="000000"/>
              </w:rPr>
              <w:t>-0.52430</w:t>
            </w:r>
          </w:p>
        </w:tc>
      </w:tr>
    </w:tbl>
    <w:p w14:paraId="55139862" w14:textId="77777777" w:rsidR="00BD7383" w:rsidRDefault="00BD7383">
      <w:pPr>
        <w:spacing w:line="480" w:lineRule="auto"/>
        <w:jc w:val="both"/>
        <w:rPr>
          <w:rFonts w:ascii="Times New Roman" w:hAnsi="Times New Roman" w:cs="Times New Roman"/>
          <w:sz w:val="24"/>
          <w:szCs w:val="24"/>
        </w:rPr>
        <w:sectPr w:rsidR="00BD7383" w:rsidSect="00B862A9">
          <w:pgSz w:w="11906" w:h="16838"/>
          <w:pgMar w:top="1440" w:right="1440" w:bottom="1440" w:left="1440" w:header="708" w:footer="708" w:gutter="0"/>
          <w:cols w:space="708"/>
          <w:docGrid w:linePitch="360"/>
        </w:sectPr>
      </w:pPr>
    </w:p>
    <w:p w14:paraId="6BC9D8E4" w14:textId="77777777" w:rsidR="00BD7383" w:rsidRDefault="00000000">
      <w:pPr>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Table S3</w:t>
      </w:r>
      <w:r>
        <w:rPr>
          <w:rFonts w:ascii="Times New Roman" w:hAnsi="Times New Roman" w:cs="Times New Roman"/>
          <w:sz w:val="24"/>
          <w:szCs w:val="24"/>
        </w:rPr>
        <w:t>. Weights connecting hidden layer and output layer.</w:t>
      </w:r>
    </w:p>
    <w:tbl>
      <w:tblPr>
        <w:tblW w:w="4584" w:type="dxa"/>
        <w:tblLayout w:type="fixed"/>
        <w:tblLook w:val="04A0" w:firstRow="1" w:lastRow="0" w:firstColumn="1" w:lastColumn="0" w:noHBand="0" w:noVBand="1"/>
      </w:tblPr>
      <w:tblGrid>
        <w:gridCol w:w="2154"/>
        <w:gridCol w:w="2430"/>
      </w:tblGrid>
      <w:tr w:rsidR="00BD7383" w14:paraId="54B23A25" w14:textId="77777777">
        <w:trPr>
          <w:trHeight w:val="298"/>
        </w:trPr>
        <w:tc>
          <w:tcPr>
            <w:tcW w:w="2154"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92953F" w14:textId="77777777" w:rsidR="00BD7383" w:rsidRDefault="00000000">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t>Number of Nodes</w:t>
            </w:r>
          </w:p>
        </w:tc>
        <w:tc>
          <w:tcPr>
            <w:tcW w:w="2430" w:type="dxa"/>
            <w:tcBorders>
              <w:top w:val="single" w:sz="4" w:space="0" w:color="auto"/>
              <w:left w:val="nil"/>
              <w:bottom w:val="single" w:sz="4" w:space="0" w:color="auto"/>
              <w:right w:val="single" w:sz="4" w:space="0" w:color="auto"/>
            </w:tcBorders>
            <w:shd w:val="clear" w:color="auto" w:fill="auto"/>
            <w:noWrap/>
            <w:vAlign w:val="bottom"/>
          </w:tcPr>
          <w:p w14:paraId="47745373" w14:textId="77777777" w:rsidR="00BD7383" w:rsidRDefault="00000000">
            <w:pPr>
              <w:spacing w:after="0" w:line="240" w:lineRule="auto"/>
              <w:rPr>
                <w:rFonts w:ascii="Times New Roman" w:eastAsia="Times New Roman" w:hAnsi="Times New Roman" w:cs="Times New Roman"/>
                <w:b/>
                <w:bCs/>
                <w:color w:val="000000"/>
                <w:lang w:val="en-US"/>
              </w:rPr>
            </w:pPr>
            <w:r>
              <w:rPr>
                <w:rFonts w:ascii="Times New Roman" w:eastAsia="Times New Roman" w:hAnsi="Times New Roman" w:cs="Times New Roman"/>
                <w:b/>
                <w:bCs/>
                <w:color w:val="000000"/>
                <w:lang w:val="en-US"/>
              </w:rPr>
              <w:t xml:space="preserve">Adsorption efficiency </w:t>
            </w:r>
          </w:p>
        </w:tc>
      </w:tr>
      <w:tr w:rsidR="00BD7383" w14:paraId="2E6783FF" w14:textId="77777777">
        <w:trPr>
          <w:trHeight w:val="298"/>
        </w:trPr>
        <w:tc>
          <w:tcPr>
            <w:tcW w:w="2154" w:type="dxa"/>
            <w:tcBorders>
              <w:top w:val="nil"/>
              <w:left w:val="single" w:sz="4" w:space="0" w:color="auto"/>
              <w:bottom w:val="single" w:sz="4" w:space="0" w:color="auto"/>
              <w:right w:val="single" w:sz="4" w:space="0" w:color="auto"/>
            </w:tcBorders>
            <w:shd w:val="clear" w:color="auto" w:fill="auto"/>
            <w:noWrap/>
            <w:vAlign w:val="bottom"/>
          </w:tcPr>
          <w:p w14:paraId="546D6F56"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1</w:t>
            </w:r>
          </w:p>
        </w:tc>
        <w:tc>
          <w:tcPr>
            <w:tcW w:w="2430" w:type="dxa"/>
            <w:tcBorders>
              <w:top w:val="nil"/>
              <w:left w:val="nil"/>
              <w:bottom w:val="single" w:sz="4" w:space="0" w:color="auto"/>
              <w:right w:val="single" w:sz="4" w:space="0" w:color="auto"/>
            </w:tcBorders>
            <w:shd w:val="clear" w:color="auto" w:fill="auto"/>
            <w:noWrap/>
            <w:vAlign w:val="bottom"/>
          </w:tcPr>
          <w:p w14:paraId="0555248A"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-1.42408</w:t>
            </w:r>
          </w:p>
        </w:tc>
      </w:tr>
      <w:tr w:rsidR="00BD7383" w14:paraId="4AE48E94" w14:textId="77777777">
        <w:trPr>
          <w:trHeight w:val="298"/>
        </w:trPr>
        <w:tc>
          <w:tcPr>
            <w:tcW w:w="2154" w:type="dxa"/>
            <w:tcBorders>
              <w:top w:val="nil"/>
              <w:left w:val="single" w:sz="4" w:space="0" w:color="auto"/>
              <w:bottom w:val="single" w:sz="4" w:space="0" w:color="auto"/>
              <w:right w:val="single" w:sz="4" w:space="0" w:color="auto"/>
            </w:tcBorders>
            <w:shd w:val="clear" w:color="auto" w:fill="auto"/>
            <w:noWrap/>
            <w:vAlign w:val="bottom"/>
          </w:tcPr>
          <w:p w14:paraId="543F9A83"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2</w:t>
            </w:r>
          </w:p>
        </w:tc>
        <w:tc>
          <w:tcPr>
            <w:tcW w:w="2430" w:type="dxa"/>
            <w:tcBorders>
              <w:top w:val="nil"/>
              <w:left w:val="nil"/>
              <w:bottom w:val="single" w:sz="4" w:space="0" w:color="auto"/>
              <w:right w:val="single" w:sz="4" w:space="0" w:color="auto"/>
            </w:tcBorders>
            <w:shd w:val="clear" w:color="auto" w:fill="auto"/>
            <w:noWrap/>
            <w:vAlign w:val="bottom"/>
          </w:tcPr>
          <w:p w14:paraId="27177B5E"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0.96643</w:t>
            </w:r>
          </w:p>
        </w:tc>
      </w:tr>
      <w:tr w:rsidR="00BD7383" w14:paraId="7D186222" w14:textId="77777777">
        <w:trPr>
          <w:trHeight w:val="298"/>
        </w:trPr>
        <w:tc>
          <w:tcPr>
            <w:tcW w:w="2154" w:type="dxa"/>
            <w:tcBorders>
              <w:top w:val="nil"/>
              <w:left w:val="single" w:sz="4" w:space="0" w:color="auto"/>
              <w:bottom w:val="single" w:sz="4" w:space="0" w:color="auto"/>
              <w:right w:val="single" w:sz="4" w:space="0" w:color="auto"/>
            </w:tcBorders>
            <w:shd w:val="clear" w:color="auto" w:fill="auto"/>
            <w:noWrap/>
            <w:vAlign w:val="bottom"/>
          </w:tcPr>
          <w:p w14:paraId="3D3E9DE8"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3</w:t>
            </w:r>
          </w:p>
        </w:tc>
        <w:tc>
          <w:tcPr>
            <w:tcW w:w="2430" w:type="dxa"/>
            <w:tcBorders>
              <w:top w:val="nil"/>
              <w:left w:val="nil"/>
              <w:bottom w:val="single" w:sz="4" w:space="0" w:color="auto"/>
              <w:right w:val="single" w:sz="4" w:space="0" w:color="auto"/>
            </w:tcBorders>
            <w:shd w:val="clear" w:color="auto" w:fill="auto"/>
            <w:noWrap/>
            <w:vAlign w:val="bottom"/>
          </w:tcPr>
          <w:p w14:paraId="263C9477"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-1.18560</w:t>
            </w:r>
          </w:p>
        </w:tc>
      </w:tr>
      <w:tr w:rsidR="00BD7383" w14:paraId="2804BD21" w14:textId="77777777">
        <w:trPr>
          <w:trHeight w:val="298"/>
        </w:trPr>
        <w:tc>
          <w:tcPr>
            <w:tcW w:w="2154" w:type="dxa"/>
            <w:tcBorders>
              <w:top w:val="nil"/>
              <w:left w:val="single" w:sz="4" w:space="0" w:color="auto"/>
              <w:bottom w:val="single" w:sz="4" w:space="0" w:color="auto"/>
              <w:right w:val="single" w:sz="4" w:space="0" w:color="auto"/>
            </w:tcBorders>
            <w:shd w:val="clear" w:color="auto" w:fill="auto"/>
            <w:noWrap/>
            <w:vAlign w:val="bottom"/>
          </w:tcPr>
          <w:p w14:paraId="2B79A871"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4</w:t>
            </w:r>
          </w:p>
        </w:tc>
        <w:tc>
          <w:tcPr>
            <w:tcW w:w="2430" w:type="dxa"/>
            <w:tcBorders>
              <w:top w:val="nil"/>
              <w:left w:val="nil"/>
              <w:bottom w:val="single" w:sz="4" w:space="0" w:color="auto"/>
              <w:right w:val="single" w:sz="4" w:space="0" w:color="auto"/>
            </w:tcBorders>
            <w:shd w:val="clear" w:color="auto" w:fill="auto"/>
            <w:noWrap/>
            <w:vAlign w:val="bottom"/>
          </w:tcPr>
          <w:p w14:paraId="753FB4B7"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0.64523</w:t>
            </w:r>
          </w:p>
        </w:tc>
      </w:tr>
      <w:tr w:rsidR="00BD7383" w14:paraId="154A15E1" w14:textId="77777777">
        <w:trPr>
          <w:trHeight w:val="298"/>
        </w:trPr>
        <w:tc>
          <w:tcPr>
            <w:tcW w:w="2154" w:type="dxa"/>
            <w:tcBorders>
              <w:top w:val="nil"/>
              <w:left w:val="single" w:sz="4" w:space="0" w:color="auto"/>
              <w:bottom w:val="single" w:sz="4" w:space="0" w:color="auto"/>
              <w:right w:val="single" w:sz="4" w:space="0" w:color="auto"/>
            </w:tcBorders>
            <w:shd w:val="clear" w:color="auto" w:fill="auto"/>
            <w:noWrap/>
            <w:vAlign w:val="bottom"/>
          </w:tcPr>
          <w:p w14:paraId="58D85D26"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5</w:t>
            </w:r>
          </w:p>
        </w:tc>
        <w:tc>
          <w:tcPr>
            <w:tcW w:w="2430" w:type="dxa"/>
            <w:tcBorders>
              <w:top w:val="nil"/>
              <w:left w:val="nil"/>
              <w:bottom w:val="single" w:sz="4" w:space="0" w:color="auto"/>
              <w:right w:val="single" w:sz="4" w:space="0" w:color="auto"/>
            </w:tcBorders>
            <w:shd w:val="clear" w:color="auto" w:fill="auto"/>
            <w:noWrap/>
            <w:vAlign w:val="bottom"/>
          </w:tcPr>
          <w:p w14:paraId="7F7A638D"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-1.46718</w:t>
            </w:r>
          </w:p>
        </w:tc>
      </w:tr>
      <w:tr w:rsidR="00BD7383" w14:paraId="5FAFA0B9" w14:textId="77777777">
        <w:trPr>
          <w:trHeight w:val="298"/>
        </w:trPr>
        <w:tc>
          <w:tcPr>
            <w:tcW w:w="2154" w:type="dxa"/>
            <w:tcBorders>
              <w:top w:val="nil"/>
              <w:left w:val="single" w:sz="4" w:space="0" w:color="auto"/>
              <w:bottom w:val="single" w:sz="4" w:space="0" w:color="auto"/>
              <w:right w:val="single" w:sz="4" w:space="0" w:color="auto"/>
            </w:tcBorders>
            <w:shd w:val="clear" w:color="auto" w:fill="auto"/>
            <w:noWrap/>
            <w:vAlign w:val="bottom"/>
          </w:tcPr>
          <w:p w14:paraId="563623BE"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6</w:t>
            </w:r>
          </w:p>
        </w:tc>
        <w:tc>
          <w:tcPr>
            <w:tcW w:w="2430" w:type="dxa"/>
            <w:tcBorders>
              <w:top w:val="nil"/>
              <w:left w:val="nil"/>
              <w:bottom w:val="single" w:sz="4" w:space="0" w:color="auto"/>
              <w:right w:val="single" w:sz="4" w:space="0" w:color="auto"/>
            </w:tcBorders>
            <w:shd w:val="clear" w:color="auto" w:fill="auto"/>
            <w:noWrap/>
            <w:vAlign w:val="bottom"/>
          </w:tcPr>
          <w:p w14:paraId="7606030A"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-0.87463</w:t>
            </w:r>
          </w:p>
        </w:tc>
      </w:tr>
      <w:tr w:rsidR="00BD7383" w14:paraId="5E742295" w14:textId="77777777">
        <w:trPr>
          <w:trHeight w:val="298"/>
        </w:trPr>
        <w:tc>
          <w:tcPr>
            <w:tcW w:w="2154" w:type="dxa"/>
            <w:tcBorders>
              <w:top w:val="nil"/>
              <w:left w:val="single" w:sz="4" w:space="0" w:color="auto"/>
              <w:bottom w:val="single" w:sz="4" w:space="0" w:color="auto"/>
              <w:right w:val="single" w:sz="4" w:space="0" w:color="auto"/>
            </w:tcBorders>
            <w:shd w:val="clear" w:color="auto" w:fill="auto"/>
            <w:noWrap/>
            <w:vAlign w:val="bottom"/>
          </w:tcPr>
          <w:p w14:paraId="6FB5D06A"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7</w:t>
            </w:r>
          </w:p>
        </w:tc>
        <w:tc>
          <w:tcPr>
            <w:tcW w:w="2430" w:type="dxa"/>
            <w:tcBorders>
              <w:top w:val="nil"/>
              <w:left w:val="nil"/>
              <w:bottom w:val="single" w:sz="4" w:space="0" w:color="auto"/>
              <w:right w:val="single" w:sz="4" w:space="0" w:color="auto"/>
            </w:tcBorders>
            <w:shd w:val="clear" w:color="auto" w:fill="auto"/>
            <w:noWrap/>
            <w:vAlign w:val="bottom"/>
          </w:tcPr>
          <w:p w14:paraId="2D097256"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0.89698</w:t>
            </w:r>
          </w:p>
        </w:tc>
      </w:tr>
      <w:tr w:rsidR="00BD7383" w14:paraId="59669AD8" w14:textId="77777777">
        <w:trPr>
          <w:trHeight w:val="298"/>
        </w:trPr>
        <w:tc>
          <w:tcPr>
            <w:tcW w:w="2154" w:type="dxa"/>
            <w:tcBorders>
              <w:top w:val="nil"/>
              <w:left w:val="single" w:sz="4" w:space="0" w:color="auto"/>
              <w:bottom w:val="single" w:sz="4" w:space="0" w:color="auto"/>
              <w:right w:val="single" w:sz="4" w:space="0" w:color="auto"/>
            </w:tcBorders>
            <w:shd w:val="clear" w:color="auto" w:fill="auto"/>
            <w:noWrap/>
            <w:vAlign w:val="bottom"/>
          </w:tcPr>
          <w:p w14:paraId="285FAA10"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8</w:t>
            </w:r>
          </w:p>
        </w:tc>
        <w:tc>
          <w:tcPr>
            <w:tcW w:w="2430" w:type="dxa"/>
            <w:tcBorders>
              <w:top w:val="nil"/>
              <w:left w:val="nil"/>
              <w:bottom w:val="single" w:sz="4" w:space="0" w:color="auto"/>
              <w:right w:val="single" w:sz="4" w:space="0" w:color="auto"/>
            </w:tcBorders>
            <w:shd w:val="clear" w:color="auto" w:fill="auto"/>
            <w:noWrap/>
            <w:vAlign w:val="bottom"/>
          </w:tcPr>
          <w:p w14:paraId="790BEBEB"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-0.67061</w:t>
            </w:r>
          </w:p>
        </w:tc>
      </w:tr>
      <w:tr w:rsidR="00BD7383" w14:paraId="75F7E007" w14:textId="77777777">
        <w:trPr>
          <w:trHeight w:val="298"/>
        </w:trPr>
        <w:tc>
          <w:tcPr>
            <w:tcW w:w="2154" w:type="dxa"/>
            <w:tcBorders>
              <w:top w:val="nil"/>
              <w:left w:val="single" w:sz="4" w:space="0" w:color="auto"/>
              <w:bottom w:val="single" w:sz="4" w:space="0" w:color="auto"/>
              <w:right w:val="single" w:sz="4" w:space="0" w:color="auto"/>
            </w:tcBorders>
            <w:shd w:val="clear" w:color="auto" w:fill="auto"/>
            <w:noWrap/>
            <w:vAlign w:val="bottom"/>
          </w:tcPr>
          <w:p w14:paraId="504F2FB4"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9</w:t>
            </w:r>
          </w:p>
        </w:tc>
        <w:tc>
          <w:tcPr>
            <w:tcW w:w="2430" w:type="dxa"/>
            <w:tcBorders>
              <w:top w:val="nil"/>
              <w:left w:val="nil"/>
              <w:bottom w:val="single" w:sz="4" w:space="0" w:color="auto"/>
              <w:right w:val="single" w:sz="4" w:space="0" w:color="auto"/>
            </w:tcBorders>
            <w:shd w:val="clear" w:color="auto" w:fill="auto"/>
            <w:noWrap/>
            <w:vAlign w:val="bottom"/>
          </w:tcPr>
          <w:p w14:paraId="08E5E110"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-0.60736</w:t>
            </w:r>
          </w:p>
        </w:tc>
      </w:tr>
      <w:tr w:rsidR="00BD7383" w14:paraId="072CF569" w14:textId="77777777">
        <w:trPr>
          <w:trHeight w:val="298"/>
        </w:trPr>
        <w:tc>
          <w:tcPr>
            <w:tcW w:w="2154" w:type="dxa"/>
            <w:tcBorders>
              <w:top w:val="nil"/>
              <w:left w:val="single" w:sz="4" w:space="0" w:color="auto"/>
              <w:bottom w:val="single" w:sz="4" w:space="0" w:color="auto"/>
              <w:right w:val="single" w:sz="4" w:space="0" w:color="auto"/>
            </w:tcBorders>
            <w:shd w:val="clear" w:color="auto" w:fill="auto"/>
            <w:noWrap/>
            <w:vAlign w:val="bottom"/>
          </w:tcPr>
          <w:p w14:paraId="415A55BE" w14:textId="77777777" w:rsidR="00BD7383" w:rsidRDefault="00000000">
            <w:pPr>
              <w:spacing w:after="0" w:line="240" w:lineRule="auto"/>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Node 10</w:t>
            </w:r>
          </w:p>
        </w:tc>
        <w:tc>
          <w:tcPr>
            <w:tcW w:w="2430" w:type="dxa"/>
            <w:tcBorders>
              <w:top w:val="nil"/>
              <w:left w:val="nil"/>
              <w:bottom w:val="single" w:sz="4" w:space="0" w:color="auto"/>
              <w:right w:val="single" w:sz="4" w:space="0" w:color="auto"/>
            </w:tcBorders>
            <w:shd w:val="clear" w:color="auto" w:fill="auto"/>
            <w:noWrap/>
            <w:vAlign w:val="bottom"/>
          </w:tcPr>
          <w:p w14:paraId="419834C3" w14:textId="77777777" w:rsidR="00BD7383" w:rsidRDefault="00000000">
            <w:pPr>
              <w:spacing w:after="0" w:line="240" w:lineRule="auto"/>
              <w:jc w:val="right"/>
              <w:rPr>
                <w:rFonts w:ascii="Times New Roman" w:eastAsia="Times New Roman" w:hAnsi="Times New Roman" w:cs="Times New Roman"/>
                <w:color w:val="000000"/>
                <w:lang w:val="en-US"/>
              </w:rPr>
            </w:pPr>
            <w:r>
              <w:rPr>
                <w:rFonts w:ascii="Times New Roman" w:eastAsia="Times New Roman" w:hAnsi="Times New Roman" w:cs="Times New Roman"/>
                <w:color w:val="000000"/>
                <w:lang w:val="en-US"/>
              </w:rPr>
              <w:t>0.66158</w:t>
            </w:r>
          </w:p>
        </w:tc>
      </w:tr>
    </w:tbl>
    <w:p w14:paraId="62CF6514" w14:textId="77777777" w:rsidR="00BD7383" w:rsidRDefault="00BD7383"/>
    <w:p w14:paraId="4965A959" w14:textId="77777777" w:rsidR="00BD7383" w:rsidRDefault="00BD7383">
      <w:pPr>
        <w:sectPr w:rsidR="00BD7383" w:rsidSect="00B862A9">
          <w:pgSz w:w="11906" w:h="16838"/>
          <w:pgMar w:top="1440" w:right="1440" w:bottom="1440" w:left="1440" w:header="708" w:footer="708" w:gutter="0"/>
          <w:cols w:space="708"/>
          <w:docGrid w:linePitch="360"/>
        </w:sectPr>
      </w:pPr>
    </w:p>
    <w:p w14:paraId="5C1EA98D" w14:textId="77777777" w:rsidR="00BD7383" w:rsidRDefault="00000000">
      <w:pPr>
        <w:jc w:val="both"/>
        <w:rPr>
          <w:rFonts w:ascii="Times New Roman" w:hAnsi="Times New Roman" w:cs="Times New Roman"/>
          <w:iCs/>
          <w:color w:val="0000FF"/>
          <w:sz w:val="24"/>
          <w:szCs w:val="24"/>
        </w:rPr>
      </w:pPr>
      <w:r>
        <w:rPr>
          <w:rFonts w:ascii="Times New Roman" w:hAnsi="Times New Roman" w:cs="Times New Roman"/>
          <w:b/>
          <w:bCs/>
          <w:sz w:val="24"/>
          <w:szCs w:val="24"/>
        </w:rPr>
        <w:lastRenderedPageBreak/>
        <w:t xml:space="preserve">Table S4 </w:t>
      </w:r>
      <w:r>
        <w:rPr>
          <w:rFonts w:ascii="Times New Roman" w:hAnsi="Times New Roman" w:cs="Times New Roman"/>
          <w:sz w:val="24"/>
          <w:szCs w:val="24"/>
        </w:rPr>
        <w:t>Comparative study of malachite green removal by employing different types of adsorbent materials.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417"/>
        <w:gridCol w:w="3686"/>
        <w:gridCol w:w="1270"/>
      </w:tblGrid>
      <w:tr w:rsidR="00BD7383" w14:paraId="17C7754B" w14:textId="77777777" w:rsidTr="0003216F">
        <w:trPr>
          <w:trHeight w:val="696"/>
        </w:trPr>
        <w:tc>
          <w:tcPr>
            <w:tcW w:w="2552" w:type="dxa"/>
            <w:tcBorders>
              <w:top w:val="single" w:sz="4" w:space="0" w:color="auto"/>
              <w:left w:val="nil"/>
              <w:bottom w:val="single" w:sz="12" w:space="0" w:color="auto"/>
              <w:right w:val="nil"/>
              <w:tl2br w:val="nil"/>
              <w:tr2bl w:val="nil"/>
            </w:tcBorders>
          </w:tcPr>
          <w:p w14:paraId="1F5B677B" w14:textId="77777777" w:rsidR="00BD7383" w:rsidRDefault="00000000" w:rsidP="0003216F">
            <w:pPr>
              <w:snapToGrid w:val="0"/>
              <w:spacing w:after="0" w:line="240" w:lineRule="auto"/>
              <w:rPr>
                <w:rFonts w:ascii="Times New Roman" w:hAnsi="Times New Roman"/>
                <w:b/>
              </w:rPr>
            </w:pPr>
            <w:r>
              <w:rPr>
                <w:rFonts w:ascii="Times New Roman" w:hAnsi="Times New Roman"/>
                <w:b/>
              </w:rPr>
              <w:t>Sorbents</w:t>
            </w:r>
          </w:p>
        </w:tc>
        <w:tc>
          <w:tcPr>
            <w:tcW w:w="1417" w:type="dxa"/>
            <w:tcBorders>
              <w:top w:val="single" w:sz="4" w:space="0" w:color="auto"/>
              <w:left w:val="nil"/>
              <w:bottom w:val="single" w:sz="12" w:space="0" w:color="auto"/>
              <w:right w:val="nil"/>
              <w:tl2br w:val="nil"/>
              <w:tr2bl w:val="nil"/>
            </w:tcBorders>
          </w:tcPr>
          <w:p w14:paraId="109DAAAF" w14:textId="77777777" w:rsidR="00BD7383" w:rsidRDefault="00000000" w:rsidP="0003216F">
            <w:pPr>
              <w:snapToGrid w:val="0"/>
              <w:spacing w:after="0" w:line="240" w:lineRule="auto"/>
              <w:rPr>
                <w:rFonts w:ascii="Times New Roman" w:hAnsi="Times New Roman"/>
                <w:b/>
              </w:rPr>
            </w:pPr>
            <w:r>
              <w:rPr>
                <w:rFonts w:ascii="Times New Roman" w:hAnsi="Times New Roman"/>
                <w:b/>
              </w:rPr>
              <w:t>Maximum adsorption capacity</w:t>
            </w:r>
          </w:p>
        </w:tc>
        <w:tc>
          <w:tcPr>
            <w:tcW w:w="3686" w:type="dxa"/>
            <w:tcBorders>
              <w:top w:val="single" w:sz="4" w:space="0" w:color="auto"/>
              <w:left w:val="nil"/>
              <w:bottom w:val="single" w:sz="12" w:space="0" w:color="auto"/>
              <w:right w:val="nil"/>
              <w:tl2br w:val="nil"/>
              <w:tr2bl w:val="nil"/>
            </w:tcBorders>
          </w:tcPr>
          <w:p w14:paraId="0BA9BC9E" w14:textId="77777777" w:rsidR="00BD7383" w:rsidRDefault="00000000" w:rsidP="0003216F">
            <w:pPr>
              <w:snapToGrid w:val="0"/>
              <w:spacing w:after="0" w:line="240" w:lineRule="auto"/>
              <w:rPr>
                <w:rFonts w:ascii="Times New Roman" w:hAnsi="Times New Roman"/>
                <w:b/>
              </w:rPr>
            </w:pPr>
            <w:r>
              <w:rPr>
                <w:rFonts w:ascii="Times New Roman" w:hAnsi="Times New Roman"/>
                <w:b/>
              </w:rPr>
              <w:t>Operational parameters</w:t>
            </w:r>
          </w:p>
        </w:tc>
        <w:tc>
          <w:tcPr>
            <w:tcW w:w="1270" w:type="dxa"/>
            <w:tcBorders>
              <w:top w:val="single" w:sz="4" w:space="0" w:color="auto"/>
              <w:left w:val="nil"/>
              <w:bottom w:val="single" w:sz="12" w:space="0" w:color="auto"/>
              <w:right w:val="nil"/>
              <w:tl2br w:val="nil"/>
              <w:tr2bl w:val="nil"/>
            </w:tcBorders>
          </w:tcPr>
          <w:p w14:paraId="09B59FFD" w14:textId="77777777" w:rsidR="00BD7383" w:rsidRDefault="00000000" w:rsidP="0003216F">
            <w:pPr>
              <w:snapToGrid w:val="0"/>
              <w:spacing w:after="0" w:line="240" w:lineRule="auto"/>
              <w:rPr>
                <w:rFonts w:ascii="Times New Roman" w:hAnsi="Times New Roman"/>
                <w:b/>
              </w:rPr>
            </w:pPr>
            <w:r>
              <w:rPr>
                <w:rFonts w:ascii="Times New Roman" w:hAnsi="Times New Roman"/>
                <w:b/>
              </w:rPr>
              <w:t>References</w:t>
            </w:r>
          </w:p>
        </w:tc>
      </w:tr>
      <w:tr w:rsidR="00BD7383" w14:paraId="5975CF8D" w14:textId="77777777" w:rsidTr="0003216F">
        <w:trPr>
          <w:trHeight w:val="302"/>
        </w:trPr>
        <w:tc>
          <w:tcPr>
            <w:tcW w:w="2552" w:type="dxa"/>
            <w:tcBorders>
              <w:top w:val="single" w:sz="12" w:space="0" w:color="auto"/>
              <w:left w:val="nil"/>
              <w:bottom w:val="nil"/>
              <w:right w:val="nil"/>
              <w:tl2br w:val="nil"/>
              <w:tr2bl w:val="nil"/>
            </w:tcBorders>
          </w:tcPr>
          <w:p w14:paraId="59EB838E" w14:textId="77777777" w:rsidR="00BD7383" w:rsidRDefault="00000000" w:rsidP="0003216F">
            <w:pPr>
              <w:snapToGrid w:val="0"/>
              <w:spacing w:after="0" w:line="240" w:lineRule="auto"/>
              <w:rPr>
                <w:rFonts w:ascii="Times New Roman" w:hAnsi="Times New Roman"/>
              </w:rPr>
            </w:pPr>
            <w:r>
              <w:rPr>
                <w:rFonts w:ascii="Times New Roman" w:hAnsi="Times New Roman" w:cs="Times New Roman"/>
              </w:rPr>
              <w:t>Zinc treated PG</w:t>
            </w:r>
          </w:p>
        </w:tc>
        <w:tc>
          <w:tcPr>
            <w:tcW w:w="1417" w:type="dxa"/>
            <w:tcBorders>
              <w:top w:val="single" w:sz="12" w:space="0" w:color="auto"/>
              <w:left w:val="nil"/>
              <w:bottom w:val="nil"/>
              <w:right w:val="nil"/>
              <w:tl2br w:val="nil"/>
              <w:tr2bl w:val="nil"/>
            </w:tcBorders>
          </w:tcPr>
          <w:p w14:paraId="3B22B91A" w14:textId="77777777" w:rsidR="00BD7383" w:rsidRDefault="00000000" w:rsidP="0003216F">
            <w:pPr>
              <w:snapToGrid w:val="0"/>
              <w:spacing w:after="0" w:line="240" w:lineRule="auto"/>
              <w:rPr>
                <w:rFonts w:ascii="Times New Roman" w:hAnsi="Times New Roman"/>
              </w:rPr>
            </w:pPr>
            <w:r>
              <w:rPr>
                <w:rFonts w:ascii="Times New Roman" w:hAnsi="Times New Roman"/>
              </w:rPr>
              <w:t>166.66 mg/g</w:t>
            </w:r>
          </w:p>
        </w:tc>
        <w:tc>
          <w:tcPr>
            <w:tcW w:w="3686" w:type="dxa"/>
            <w:tcBorders>
              <w:top w:val="single" w:sz="12" w:space="0" w:color="auto"/>
              <w:left w:val="nil"/>
              <w:bottom w:val="nil"/>
              <w:right w:val="nil"/>
              <w:tl2br w:val="nil"/>
              <w:tr2bl w:val="nil"/>
            </w:tcBorders>
          </w:tcPr>
          <w:p w14:paraId="3E23DE1B" w14:textId="77777777" w:rsidR="00BD7383" w:rsidRDefault="00000000" w:rsidP="0003216F">
            <w:pPr>
              <w:snapToGrid w:val="0"/>
              <w:spacing w:after="0" w:line="240" w:lineRule="auto"/>
              <w:rPr>
                <w:rFonts w:ascii="Times New Roman" w:hAnsi="Times New Roman"/>
              </w:rPr>
            </w:pPr>
            <w:r>
              <w:rPr>
                <w:rFonts w:ascii="Times New Roman" w:hAnsi="Times New Roman"/>
              </w:rPr>
              <w:t>Dye concentration, pH, Adsorbent dosage, stirring speed, Temperature</w:t>
            </w:r>
          </w:p>
        </w:tc>
        <w:tc>
          <w:tcPr>
            <w:tcW w:w="1270" w:type="dxa"/>
            <w:tcBorders>
              <w:top w:val="single" w:sz="12" w:space="0" w:color="auto"/>
              <w:left w:val="nil"/>
              <w:bottom w:val="nil"/>
              <w:right w:val="nil"/>
              <w:tl2br w:val="nil"/>
              <w:tr2bl w:val="nil"/>
            </w:tcBorders>
          </w:tcPr>
          <w:p w14:paraId="010C8C7A" w14:textId="77777777" w:rsidR="00BD7383" w:rsidRDefault="00000000" w:rsidP="0003216F">
            <w:pPr>
              <w:snapToGrid w:val="0"/>
              <w:spacing w:after="0" w:line="240" w:lineRule="auto"/>
              <w:jc w:val="both"/>
              <w:rPr>
                <w:rFonts w:ascii="Times New Roman" w:hAnsi="Times New Roman"/>
              </w:rPr>
            </w:pPr>
            <w:r>
              <w:rPr>
                <w:rFonts w:ascii="Times New Roman" w:hAnsi="Times New Roman"/>
              </w:rPr>
              <w:t>This study</w:t>
            </w:r>
          </w:p>
        </w:tc>
      </w:tr>
      <w:tr w:rsidR="00BD7383" w14:paraId="0F41BC2F" w14:textId="77777777" w:rsidTr="0003216F">
        <w:trPr>
          <w:trHeight w:val="302"/>
        </w:trPr>
        <w:tc>
          <w:tcPr>
            <w:tcW w:w="2552" w:type="dxa"/>
            <w:tcBorders>
              <w:top w:val="nil"/>
              <w:left w:val="nil"/>
              <w:bottom w:val="nil"/>
              <w:right w:val="nil"/>
              <w:tl2br w:val="nil"/>
              <w:tr2bl w:val="nil"/>
            </w:tcBorders>
          </w:tcPr>
          <w:p w14:paraId="17A84D03" w14:textId="77777777" w:rsidR="00BD7383" w:rsidRDefault="00000000" w:rsidP="0003216F">
            <w:pPr>
              <w:snapToGrid w:val="0"/>
              <w:spacing w:after="0" w:line="240" w:lineRule="auto"/>
              <w:rPr>
                <w:rFonts w:ascii="Times New Roman" w:hAnsi="Times New Roman"/>
              </w:rPr>
            </w:pPr>
            <w:r>
              <w:rPr>
                <w:rFonts w:ascii="Times New Roman" w:hAnsi="Times New Roman"/>
              </w:rPr>
              <w:t>Nutraceutical industrial fenugreek seed spent mass</w:t>
            </w:r>
          </w:p>
        </w:tc>
        <w:tc>
          <w:tcPr>
            <w:tcW w:w="1417" w:type="dxa"/>
            <w:tcBorders>
              <w:top w:val="nil"/>
              <w:left w:val="nil"/>
              <w:bottom w:val="nil"/>
              <w:right w:val="nil"/>
              <w:tl2br w:val="nil"/>
              <w:tr2bl w:val="nil"/>
            </w:tcBorders>
          </w:tcPr>
          <w:p w14:paraId="2E9F238A" w14:textId="77777777" w:rsidR="00BD7383" w:rsidRDefault="00000000" w:rsidP="0003216F">
            <w:pPr>
              <w:snapToGrid w:val="0"/>
              <w:spacing w:after="0" w:line="240" w:lineRule="auto"/>
              <w:rPr>
                <w:rFonts w:ascii="Times New Roman" w:hAnsi="Times New Roman"/>
              </w:rPr>
            </w:pPr>
            <w:r>
              <w:rPr>
                <w:rFonts w:ascii="Times New Roman" w:hAnsi="Times New Roman"/>
              </w:rPr>
              <w:t>168 mg/g</w:t>
            </w:r>
          </w:p>
        </w:tc>
        <w:tc>
          <w:tcPr>
            <w:tcW w:w="3686" w:type="dxa"/>
            <w:tcBorders>
              <w:top w:val="nil"/>
              <w:left w:val="nil"/>
              <w:bottom w:val="nil"/>
              <w:right w:val="nil"/>
              <w:tl2br w:val="nil"/>
              <w:tr2bl w:val="nil"/>
            </w:tcBorders>
          </w:tcPr>
          <w:p w14:paraId="2A23287F" w14:textId="77777777" w:rsidR="00BD7383" w:rsidRDefault="00000000" w:rsidP="0003216F">
            <w:pPr>
              <w:snapToGrid w:val="0"/>
              <w:spacing w:after="0" w:line="240" w:lineRule="auto"/>
              <w:rPr>
                <w:rFonts w:ascii="Times New Roman" w:hAnsi="Times New Roman"/>
              </w:rPr>
            </w:pPr>
            <w:r>
              <w:rPr>
                <w:rFonts w:ascii="Times New Roman" w:hAnsi="Times New Roman"/>
              </w:rPr>
              <w:t>Dye concentration, pH, Adsorbent dosages, Temperature</w:t>
            </w:r>
          </w:p>
        </w:tc>
        <w:tc>
          <w:tcPr>
            <w:tcW w:w="1270" w:type="dxa"/>
            <w:tcBorders>
              <w:top w:val="nil"/>
              <w:left w:val="nil"/>
              <w:bottom w:val="nil"/>
              <w:right w:val="nil"/>
              <w:tl2br w:val="nil"/>
              <w:tr2bl w:val="nil"/>
            </w:tcBorders>
          </w:tcPr>
          <w:p w14:paraId="21D54EEE" w14:textId="77777777" w:rsidR="00BD7383" w:rsidRDefault="00000000" w:rsidP="0003216F">
            <w:pPr>
              <w:snapToGrid w:val="0"/>
              <w:spacing w:after="0" w:line="240" w:lineRule="auto"/>
              <w:jc w:val="both"/>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&lt;EndNote&gt;&lt;Cite&gt;&lt;Author&gt;Taqui&lt;/Author&gt;&lt;Year&gt;2023&lt;/Year&gt;&lt;RecNum&gt;4614&lt;/RecNum&gt;&lt;DisplayText&gt;[1]&lt;/DisplayText&gt;&lt;record&gt;&lt;rec-number&gt;4614&lt;/rec-number&gt;&lt;foreign-keys&gt;&lt;key app="EN" db-id="0x2wvsv00xaztkerzr3xpvrlvsste2s0wdfe" timestamp="1712985054" guid="62705ed9-1840-4f9e-8895-ef817063530c"&gt;4614&lt;/key&gt;&lt;/foreign-keys&gt;&lt;ref-type name="Journal Article"&gt;17&lt;/ref-type&gt;&lt;contributors&gt;&lt;authors&gt;&lt;author&gt;Taqui, Syed Noeman&lt;/author&gt;&lt;author&gt;Mohan, CS&lt;/author&gt;&lt;author&gt;Khatoon, Bibi Ahmadi&lt;/author&gt;&lt;author&gt;Soudagar, Manzoore Elahi M&lt;/author&gt;&lt;author&gt;Khan, TM Yunus&lt;/author&gt;&lt;author&gt;Mujtaba, MA&lt;/author&gt;&lt;author&gt;Ahmed, Waqar&lt;/author&gt;&lt;author&gt;Elfasakhany, Ashraf&lt;/author&gt;&lt;author&gt;Kumar, Ravinder&lt;/author&gt;&lt;author&gt;Pruncu, Catalin I&lt;/author&gt;&lt;/authors&gt;&lt;/contributors&gt;&lt;titles&gt;&lt;title&gt;Sustainable adsorption method for the remediation of malachite green dye using nutraceutical industrial fenugreek seed spent&lt;/title&gt;&lt;secondary-title&gt;Biomass Conver. Bioref.&lt;/secondary-title&gt;&lt;/titles&gt;&lt;periodical&gt;&lt;full-title&gt;Biomass Conver. Bioref.&lt;/full-title&gt;&lt;/periodical&gt;&lt;pages&gt;9119-9130&lt;/pages&gt;&lt;volume&gt;13&lt;/volume&gt;&lt;number&gt;10&lt;/number&gt;&lt;dates&gt;&lt;year&gt;2023&lt;/year&gt;&lt;/dates&gt;&lt;isbn&gt;2190-6815&lt;/isbn&gt;&lt;urls&gt;&lt;/urls&gt;&lt;/record&gt;&lt;/Cite&gt;&lt;/EndNote&gt;</w:instrText>
            </w:r>
            <w:r>
              <w:rPr>
                <w:rFonts w:ascii="Times New Roman" w:hAnsi="Times New Roman"/>
                <w:color w:val="0000FF"/>
              </w:rPr>
              <w:fldChar w:fldCharType="separate"/>
            </w:r>
            <w:r>
              <w:rPr>
                <w:rFonts w:ascii="Times New Roman" w:hAnsi="Times New Roman"/>
                <w:color w:val="0000FF"/>
              </w:rPr>
              <w:t>[1]</w:t>
            </w:r>
            <w:r>
              <w:rPr>
                <w:rFonts w:ascii="Times New Roman" w:hAnsi="Times New Roman"/>
                <w:color w:val="0000FF"/>
              </w:rPr>
              <w:fldChar w:fldCharType="end"/>
            </w:r>
          </w:p>
        </w:tc>
      </w:tr>
      <w:tr w:rsidR="00BD7383" w14:paraId="166489FA" w14:textId="77777777" w:rsidTr="0003216F">
        <w:trPr>
          <w:trHeight w:val="315"/>
        </w:trPr>
        <w:tc>
          <w:tcPr>
            <w:tcW w:w="2552" w:type="dxa"/>
            <w:tcBorders>
              <w:top w:val="nil"/>
              <w:left w:val="nil"/>
              <w:bottom w:val="nil"/>
              <w:right w:val="nil"/>
              <w:tl2br w:val="nil"/>
              <w:tr2bl w:val="nil"/>
            </w:tcBorders>
          </w:tcPr>
          <w:p w14:paraId="67DD01A2" w14:textId="77777777" w:rsidR="00BD7383" w:rsidRDefault="00000000" w:rsidP="0003216F">
            <w:pPr>
              <w:snapToGrid w:val="0"/>
              <w:spacing w:after="0" w:line="240" w:lineRule="auto"/>
              <w:rPr>
                <w:rFonts w:ascii="Times New Roman" w:hAnsi="Times New Roman"/>
              </w:rPr>
            </w:pPr>
            <w:r>
              <w:rPr>
                <w:rFonts w:ascii="Times New Roman" w:hAnsi="Times New Roman"/>
              </w:rPr>
              <w:t>Bagasse fly ash</w:t>
            </w:r>
          </w:p>
        </w:tc>
        <w:tc>
          <w:tcPr>
            <w:tcW w:w="1417" w:type="dxa"/>
            <w:tcBorders>
              <w:top w:val="nil"/>
              <w:left w:val="nil"/>
              <w:bottom w:val="nil"/>
              <w:right w:val="nil"/>
              <w:tl2br w:val="nil"/>
              <w:tr2bl w:val="nil"/>
            </w:tcBorders>
          </w:tcPr>
          <w:p w14:paraId="24948449" w14:textId="77777777" w:rsidR="00BD7383" w:rsidRDefault="00000000" w:rsidP="0003216F">
            <w:pPr>
              <w:snapToGrid w:val="0"/>
              <w:spacing w:after="0" w:line="240" w:lineRule="auto"/>
              <w:rPr>
                <w:rFonts w:ascii="Times New Roman" w:hAnsi="Times New Roman"/>
              </w:rPr>
            </w:pPr>
            <w:r>
              <w:rPr>
                <w:rFonts w:ascii="Times New Roman" w:hAnsi="Times New Roman"/>
                <w:color w:val="1F1F1F"/>
              </w:rPr>
              <w:t xml:space="preserve">9.980 </w:t>
            </w:r>
            <w:r>
              <w:rPr>
                <w:rFonts w:ascii="Times New Roman" w:hAnsi="Times New Roman"/>
              </w:rPr>
              <w:t>mg/g</w:t>
            </w:r>
          </w:p>
        </w:tc>
        <w:tc>
          <w:tcPr>
            <w:tcW w:w="3686" w:type="dxa"/>
            <w:tcBorders>
              <w:top w:val="nil"/>
              <w:left w:val="nil"/>
              <w:bottom w:val="nil"/>
              <w:right w:val="nil"/>
              <w:tl2br w:val="nil"/>
              <w:tr2bl w:val="nil"/>
            </w:tcBorders>
          </w:tcPr>
          <w:p w14:paraId="70A3B597" w14:textId="77777777" w:rsidR="00BD7383" w:rsidRDefault="00000000" w:rsidP="0003216F">
            <w:pPr>
              <w:snapToGrid w:val="0"/>
              <w:spacing w:after="0" w:line="240" w:lineRule="auto"/>
              <w:rPr>
                <w:rFonts w:ascii="Times New Roman" w:hAnsi="Times New Roman"/>
              </w:rPr>
            </w:pPr>
            <w:r>
              <w:rPr>
                <w:rFonts w:ascii="Times New Roman" w:hAnsi="Times New Roman"/>
              </w:rPr>
              <w:t>Dye concentration, pH, Adsorbent dosage, Temperature, contact time</w:t>
            </w:r>
          </w:p>
        </w:tc>
        <w:tc>
          <w:tcPr>
            <w:tcW w:w="1270" w:type="dxa"/>
            <w:tcBorders>
              <w:top w:val="nil"/>
              <w:left w:val="nil"/>
              <w:bottom w:val="nil"/>
              <w:right w:val="nil"/>
              <w:tl2br w:val="nil"/>
              <w:tr2bl w:val="nil"/>
            </w:tcBorders>
          </w:tcPr>
          <w:p w14:paraId="537A5039" w14:textId="77777777" w:rsidR="00BD7383" w:rsidRDefault="00000000" w:rsidP="0003216F">
            <w:pPr>
              <w:snapToGrid w:val="0"/>
              <w:spacing w:after="0" w:line="240" w:lineRule="auto"/>
              <w:jc w:val="both"/>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&lt;EndNote&gt;&lt;Cite&gt;&lt;Author&gt;Mall&lt;/Author&gt;&lt;Year&gt;2005&lt;/Year&gt;&lt;RecNum&gt;4615&lt;/RecNum&gt;&lt;DisplayText&gt;[2]&lt;/DisplayText&gt;&lt;record&gt;&lt;rec-number&gt;4615&lt;/rec-number&gt;&lt;foreign-keys&gt;&lt;key app="EN" db-id="0x2wvsv00xaztkerzr3xpvrlvsste2s0wdfe" timestamp="1712985125" guid="4aa2e0c7-4053-44cc-87b4-37d1a8431e8d"&gt;4615&lt;/key&gt;&lt;/foreign-keys&gt;&lt;ref-type name="Journal Article"&gt;17&lt;/ref-type&gt;&lt;contributors&gt;&lt;authors&gt;&lt;author&gt;Mall, Indra Deo&lt;/author&gt;&lt;author&gt;Srivastava, Vimal Chandra&lt;/author&gt;&lt;author&gt;Agarwal, Nitin Kumar&lt;/author&gt;&lt;author&gt;Mishra, Indra Mani&lt;/author&gt;&lt;/authors&gt;&lt;/contributors&gt;&lt;titles&gt;&lt;title&gt;Adsorptive removal of malachite green dye from aqueous solution by bagasse fly ash and activated carbon-kinetic study and equilibrium isotherm analyses&lt;/title&gt;&lt;secondary-title&gt;Coll. Surf. A: Physicochem. Eng. Asp.&lt;/secondary-title&gt;&lt;/titles&gt;&lt;periodical&gt;&lt;full-title&gt;Coll. Surf. A: Physicochem. Eng. Asp.&lt;/full-title&gt;&lt;/periodical&gt;&lt;pages&gt;17-28&lt;/pages&gt;&lt;volume&gt;264&lt;/volume&gt;&lt;number&gt;1-3&lt;/number&gt;&lt;dates&gt;&lt;year&gt;2005&lt;/year&gt;&lt;/dates&gt;&lt;isbn&gt;0927-7757&lt;/isbn&gt;&lt;urls&gt;&lt;/urls&gt;&lt;/record&gt;&lt;/Cite&gt;&lt;/EndNote&gt;</w:instrText>
            </w:r>
            <w:r>
              <w:rPr>
                <w:rFonts w:ascii="Times New Roman" w:hAnsi="Times New Roman"/>
                <w:color w:val="0000FF"/>
              </w:rPr>
              <w:fldChar w:fldCharType="separate"/>
            </w:r>
            <w:r>
              <w:rPr>
                <w:rFonts w:ascii="Times New Roman" w:hAnsi="Times New Roman"/>
                <w:color w:val="0000FF"/>
              </w:rPr>
              <w:t>[2]</w:t>
            </w:r>
            <w:r>
              <w:rPr>
                <w:rFonts w:ascii="Times New Roman" w:hAnsi="Times New Roman"/>
                <w:color w:val="0000FF"/>
              </w:rPr>
              <w:fldChar w:fldCharType="end"/>
            </w:r>
          </w:p>
        </w:tc>
      </w:tr>
      <w:tr w:rsidR="00BD7383" w14:paraId="035F299A" w14:textId="77777777" w:rsidTr="0003216F">
        <w:trPr>
          <w:trHeight w:val="302"/>
        </w:trPr>
        <w:tc>
          <w:tcPr>
            <w:tcW w:w="2552" w:type="dxa"/>
            <w:tcBorders>
              <w:top w:val="nil"/>
              <w:left w:val="nil"/>
              <w:bottom w:val="nil"/>
              <w:right w:val="nil"/>
              <w:tl2br w:val="nil"/>
              <w:tr2bl w:val="nil"/>
            </w:tcBorders>
          </w:tcPr>
          <w:p w14:paraId="2A0E0B8C" w14:textId="77777777" w:rsidR="00BD7383" w:rsidRDefault="00000000" w:rsidP="0003216F">
            <w:pPr>
              <w:snapToGrid w:val="0"/>
              <w:spacing w:after="0" w:line="240" w:lineRule="auto"/>
              <w:rPr>
                <w:rFonts w:ascii="Times New Roman" w:hAnsi="Times New Roman"/>
              </w:rPr>
            </w:pPr>
            <w:r>
              <w:rPr>
                <w:rFonts w:ascii="Times New Roman" w:hAnsi="Times New Roman"/>
              </w:rPr>
              <w:t>Thermal power plant-based fly ash</w:t>
            </w:r>
          </w:p>
        </w:tc>
        <w:tc>
          <w:tcPr>
            <w:tcW w:w="1417" w:type="dxa"/>
            <w:tcBorders>
              <w:top w:val="nil"/>
              <w:left w:val="nil"/>
              <w:bottom w:val="nil"/>
              <w:right w:val="nil"/>
              <w:tl2br w:val="nil"/>
              <w:tr2bl w:val="nil"/>
            </w:tcBorders>
          </w:tcPr>
          <w:p w14:paraId="77DDB786" w14:textId="77777777" w:rsidR="00BD7383" w:rsidRDefault="00000000" w:rsidP="0003216F">
            <w:pPr>
              <w:snapToGrid w:val="0"/>
              <w:spacing w:after="0" w:line="240" w:lineRule="auto"/>
              <w:rPr>
                <w:rFonts w:ascii="Times New Roman" w:hAnsi="Times New Roman"/>
              </w:rPr>
            </w:pPr>
            <w:r>
              <w:rPr>
                <w:rFonts w:ascii="Times New Roman" w:hAnsi="Times New Roman"/>
              </w:rPr>
              <w:t>1 mg/g</w:t>
            </w:r>
          </w:p>
        </w:tc>
        <w:tc>
          <w:tcPr>
            <w:tcW w:w="3686" w:type="dxa"/>
            <w:tcBorders>
              <w:top w:val="nil"/>
              <w:left w:val="nil"/>
              <w:bottom w:val="nil"/>
              <w:right w:val="nil"/>
              <w:tl2br w:val="nil"/>
              <w:tr2bl w:val="nil"/>
            </w:tcBorders>
          </w:tcPr>
          <w:p w14:paraId="0FD67C54" w14:textId="77777777" w:rsidR="00BD7383" w:rsidRDefault="00000000" w:rsidP="0003216F">
            <w:pPr>
              <w:snapToGrid w:val="0"/>
              <w:spacing w:after="0" w:line="240" w:lineRule="auto"/>
              <w:rPr>
                <w:rFonts w:ascii="Times New Roman" w:hAnsi="Times New Roman"/>
              </w:rPr>
            </w:pPr>
            <w:r>
              <w:rPr>
                <w:rFonts w:ascii="Times New Roman" w:hAnsi="Times New Roman"/>
              </w:rPr>
              <w:t>Dye concentration, pH, Adsorbent dosages, Temperature, contact time</w:t>
            </w:r>
          </w:p>
        </w:tc>
        <w:tc>
          <w:tcPr>
            <w:tcW w:w="1270" w:type="dxa"/>
            <w:tcBorders>
              <w:top w:val="nil"/>
              <w:left w:val="nil"/>
              <w:bottom w:val="nil"/>
              <w:right w:val="nil"/>
              <w:tl2br w:val="nil"/>
              <w:tr2bl w:val="nil"/>
            </w:tcBorders>
          </w:tcPr>
          <w:p w14:paraId="326C64AE" w14:textId="77777777" w:rsidR="00BD7383" w:rsidRDefault="00000000" w:rsidP="0003216F">
            <w:pPr>
              <w:snapToGrid w:val="0"/>
              <w:spacing w:after="0" w:line="240" w:lineRule="auto"/>
              <w:jc w:val="both"/>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&lt;EndNote&gt;&lt;Cite&gt;&lt;Author&gt;Dubey&lt;/Author&gt;&lt;Year&gt;2015&lt;/Year&gt;&lt;RecNum&gt;4616&lt;/RecNum&gt;&lt;DisplayText&gt;[3]&lt;/DisplayText&gt;&lt;record&gt;&lt;rec-number&gt;4616&lt;/rec-number&gt;&lt;foreign-keys&gt;&lt;key app="EN" db-id="0x2wvsv00xaztkerzr3xpvrlvsste2s0wdfe" timestamp="1712985190" guid="a6b81ad2-e314-4cef-a990-c04cc0865487"&gt;4616&lt;/key&gt;&lt;/foreign-keys&gt;&lt;ref-type name="Journal Article"&gt;17&lt;/ref-type&gt;&lt;contributors&gt;&lt;authors&gt;&lt;author&gt;Dubey, Shikha&lt;/author&gt;&lt;author&gt;Uma&lt;/author&gt;&lt;author&gt;Sujarittanonta, Lavanchawee&lt;/author&gt;&lt;author&gt;Sharma, Yogesh Chandra&lt;/author&gt;&lt;/authors&gt;&lt;/contributors&gt;&lt;titles&gt;&lt;title&gt;Application of fly ash for adsorptive removal of malachite green from aqueous solutions&lt;/title&gt;&lt;secondary-title&gt;Desal. Water Treatment&lt;/secondary-title&gt;&lt;/titles&gt;&lt;periodical&gt;&lt;full-title&gt;Desal. Water Treatment&lt;/full-title&gt;&lt;/periodical&gt;&lt;pages&gt;91-98&lt;/pages&gt;&lt;volume&gt;53&lt;/volume&gt;&lt;number&gt;1&lt;/number&gt;&lt;dates&gt;&lt;year&gt;2015&lt;/year&gt;&lt;/dates&gt;&lt;isbn&gt;1944-3994&lt;/isbn&gt;&lt;urls&gt;&lt;/urls&gt;&lt;/record&gt;&lt;/Cite&gt;&lt;/EndNote&gt;</w:instrText>
            </w:r>
            <w:r>
              <w:rPr>
                <w:rFonts w:ascii="Times New Roman" w:hAnsi="Times New Roman"/>
                <w:color w:val="0000FF"/>
              </w:rPr>
              <w:fldChar w:fldCharType="separate"/>
            </w:r>
            <w:r>
              <w:rPr>
                <w:rFonts w:ascii="Times New Roman" w:hAnsi="Times New Roman"/>
                <w:color w:val="0000FF"/>
              </w:rPr>
              <w:t>[3]</w:t>
            </w:r>
            <w:r>
              <w:rPr>
                <w:rFonts w:ascii="Times New Roman" w:hAnsi="Times New Roman"/>
                <w:color w:val="0000FF"/>
              </w:rPr>
              <w:fldChar w:fldCharType="end"/>
            </w:r>
          </w:p>
        </w:tc>
      </w:tr>
      <w:tr w:rsidR="00BD7383" w14:paraId="6F1EEC53" w14:textId="77777777" w:rsidTr="0003216F">
        <w:trPr>
          <w:trHeight w:val="302"/>
        </w:trPr>
        <w:tc>
          <w:tcPr>
            <w:tcW w:w="2552" w:type="dxa"/>
            <w:tcBorders>
              <w:top w:val="nil"/>
              <w:left w:val="nil"/>
              <w:bottom w:val="nil"/>
              <w:right w:val="nil"/>
              <w:tl2br w:val="nil"/>
              <w:tr2bl w:val="nil"/>
            </w:tcBorders>
          </w:tcPr>
          <w:p w14:paraId="74CBA9DF" w14:textId="77777777" w:rsidR="00BD7383" w:rsidRDefault="00000000" w:rsidP="0003216F">
            <w:pPr>
              <w:snapToGrid w:val="0"/>
              <w:spacing w:after="0" w:line="240" w:lineRule="auto"/>
              <w:rPr>
                <w:rFonts w:ascii="Times New Roman" w:hAnsi="Times New Roman"/>
              </w:rPr>
            </w:pPr>
            <w:r>
              <w:rPr>
                <w:rFonts w:ascii="Times New Roman" w:hAnsi="Times New Roman"/>
              </w:rPr>
              <w:t>TiO</w:t>
            </w:r>
            <w:r>
              <w:rPr>
                <w:rFonts w:ascii="Times New Roman" w:hAnsi="Times New Roman"/>
                <w:vertAlign w:val="subscript"/>
              </w:rPr>
              <w:t>2</w:t>
            </w:r>
            <w:r>
              <w:rPr>
                <w:rFonts w:ascii="Times New Roman" w:hAnsi="Times New Roman"/>
              </w:rPr>
              <w:t>-Fly ash Composite</w:t>
            </w:r>
          </w:p>
        </w:tc>
        <w:tc>
          <w:tcPr>
            <w:tcW w:w="1417" w:type="dxa"/>
            <w:tcBorders>
              <w:top w:val="nil"/>
              <w:left w:val="nil"/>
              <w:bottom w:val="nil"/>
              <w:right w:val="nil"/>
              <w:tl2br w:val="nil"/>
              <w:tr2bl w:val="nil"/>
            </w:tcBorders>
          </w:tcPr>
          <w:p w14:paraId="4440C14E" w14:textId="77777777" w:rsidR="00BD7383" w:rsidRDefault="00000000" w:rsidP="0003216F">
            <w:pPr>
              <w:snapToGrid w:val="0"/>
              <w:spacing w:after="0" w:line="240" w:lineRule="auto"/>
              <w:rPr>
                <w:rFonts w:ascii="Times New Roman" w:hAnsi="Times New Roman"/>
              </w:rPr>
            </w:pPr>
            <w:r>
              <w:rPr>
                <w:rFonts w:ascii="Times New Roman" w:hAnsi="Times New Roman"/>
                <w:color w:val="1F1F1F"/>
              </w:rPr>
              <w:t>110.7 mg/g</w:t>
            </w:r>
          </w:p>
        </w:tc>
        <w:tc>
          <w:tcPr>
            <w:tcW w:w="3686" w:type="dxa"/>
            <w:tcBorders>
              <w:top w:val="nil"/>
              <w:left w:val="nil"/>
              <w:bottom w:val="nil"/>
              <w:right w:val="nil"/>
              <w:tl2br w:val="nil"/>
              <w:tr2bl w:val="nil"/>
            </w:tcBorders>
          </w:tcPr>
          <w:p w14:paraId="03449964" w14:textId="77777777" w:rsidR="00BD7383" w:rsidRDefault="00000000" w:rsidP="0003216F">
            <w:pPr>
              <w:snapToGrid w:val="0"/>
              <w:spacing w:after="0" w:line="240" w:lineRule="auto"/>
              <w:rPr>
                <w:rFonts w:ascii="Times New Roman" w:hAnsi="Times New Roman"/>
              </w:rPr>
            </w:pPr>
            <w:r>
              <w:rPr>
                <w:rFonts w:ascii="Times New Roman" w:hAnsi="Times New Roman"/>
                <w:color w:val="1F1F1F"/>
              </w:rPr>
              <w:t>Adsorbent dosage, Dye concentration, pH, Temperature</w:t>
            </w:r>
          </w:p>
        </w:tc>
        <w:tc>
          <w:tcPr>
            <w:tcW w:w="1270" w:type="dxa"/>
            <w:tcBorders>
              <w:top w:val="nil"/>
              <w:left w:val="nil"/>
              <w:bottom w:val="nil"/>
              <w:right w:val="nil"/>
              <w:tl2br w:val="nil"/>
              <w:tr2bl w:val="nil"/>
            </w:tcBorders>
          </w:tcPr>
          <w:p w14:paraId="79BD52D0" w14:textId="77777777" w:rsidR="00BD7383" w:rsidRDefault="00000000" w:rsidP="0003216F">
            <w:pPr>
              <w:snapToGrid w:val="0"/>
              <w:spacing w:after="0" w:line="240" w:lineRule="auto"/>
              <w:jc w:val="both"/>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&lt;EndNote&gt;&lt;Cite&gt;&lt;Author&gt;Singh&lt;/Author&gt;&lt;Year&gt;2023&lt;/Year&gt;&lt;RecNum&gt;3839&lt;/RecNum&gt;&lt;DisplayText&gt;[4]&lt;/DisplayText&gt;&lt;record&gt;&lt;rec-number&gt;3839&lt;/rec-number&gt;&lt;foreign-keys&gt;&lt;key app="EN" db-id="0x2wvsv00xaztkerzr3xpvrlvsste2s0wdfe" timestamp="1699958150" guid="3e4ddbcb-82ec-4e38-9ac6-ce5d11a7963f"&gt;3839&lt;/key&gt;&lt;/foreign-keys&gt;&lt;ref-type name="Journal Article"&gt;17&lt;/ref-type&gt;&lt;contributors&gt;&lt;authors&gt;&lt;author&gt;Singh, Kaman&lt;/author&gt;&lt;author&gt;Kumar, Arun&lt;/author&gt;&lt;author&gt;Singh, Alok Kumar&lt;/author&gt;&lt;author&gt;Agarwal, Ankita&lt;/author&gt;&lt;/authors&gt;&lt;/contributors&gt;&lt;titles&gt;&lt;title&gt;Fly ash and TiO2 modified fly ash as adsorbing materials for effective removal of methylene blue and malachite green from aqueous solutions&lt;/title&gt;&lt;secondary-title&gt;Journal of the Indian Chemical Society&lt;/secondary-title&gt;&lt;/titles&gt;&lt;periodical&gt;&lt;full-title&gt;Journal of the Indian Chemical Society&lt;/full-title&gt;&lt;/periodical&gt;&lt;pages&gt;100942&lt;/pages&gt;&lt;volume&gt;100&lt;/volume&gt;&lt;number&gt;3&lt;/number&gt;&lt;keywords&gt;&lt;keyword&gt;Malachite green (MG)&lt;/keyword&gt;&lt;keyword&gt;Methylene blue (MB)&lt;/keyword&gt;&lt;keyword&gt;Fly ash (FA)&lt;/keyword&gt;&lt;keyword&gt;FA-TiO (MFA)&lt;/keyword&gt;&lt;keyword&gt;BET&lt;/keyword&gt;&lt;keyword&gt;Langmuir isotherm&lt;/keyword&gt;&lt;/keywords&gt;&lt;dates&gt;&lt;year&gt;2023&lt;/year&gt;&lt;pub-dates&gt;&lt;date&gt;2023/03/01/&lt;/date&gt;&lt;/pub-dates&gt;&lt;/dates&gt;&lt;isbn&gt;0019-4522&lt;/isbn&gt;&lt;urls&gt;&lt;related-urls&gt;&lt;url&gt;https://www.sciencedirect.com/science/article/pii/S0019452223000651&lt;/url&gt;&lt;/related-urls&gt;&lt;/urls&gt;&lt;electronic-resource-num&gt;https://doi.org/10.1016/j.jics.2023.100942&lt;/electronic-resource-num&gt;&lt;/record&gt;&lt;/Cite&gt;&lt;/EndNote&gt;</w:instrText>
            </w:r>
            <w:r>
              <w:rPr>
                <w:rFonts w:ascii="Times New Roman" w:hAnsi="Times New Roman"/>
                <w:color w:val="0000FF"/>
              </w:rPr>
              <w:fldChar w:fldCharType="separate"/>
            </w:r>
            <w:r>
              <w:rPr>
                <w:rFonts w:ascii="Times New Roman" w:hAnsi="Times New Roman"/>
                <w:color w:val="0000FF"/>
              </w:rPr>
              <w:t>[4]</w:t>
            </w:r>
            <w:r>
              <w:rPr>
                <w:rFonts w:ascii="Times New Roman" w:hAnsi="Times New Roman"/>
                <w:color w:val="0000FF"/>
              </w:rPr>
              <w:fldChar w:fldCharType="end"/>
            </w:r>
          </w:p>
        </w:tc>
      </w:tr>
      <w:tr w:rsidR="00BD7383" w14:paraId="1C9313BC" w14:textId="77777777" w:rsidTr="0003216F">
        <w:trPr>
          <w:trHeight w:val="302"/>
        </w:trPr>
        <w:tc>
          <w:tcPr>
            <w:tcW w:w="2552" w:type="dxa"/>
            <w:tcBorders>
              <w:top w:val="nil"/>
              <w:left w:val="nil"/>
              <w:bottom w:val="nil"/>
              <w:right w:val="nil"/>
              <w:tl2br w:val="nil"/>
              <w:tr2bl w:val="nil"/>
            </w:tcBorders>
          </w:tcPr>
          <w:p w14:paraId="105D192D" w14:textId="77777777" w:rsidR="00BD7383" w:rsidRDefault="00000000" w:rsidP="0003216F">
            <w:pPr>
              <w:snapToGrid w:val="0"/>
              <w:spacing w:after="0" w:line="240" w:lineRule="auto"/>
              <w:rPr>
                <w:rFonts w:ascii="Times New Roman" w:hAnsi="Times New Roman"/>
              </w:rPr>
            </w:pPr>
            <w:r>
              <w:rPr>
                <w:rFonts w:ascii="Times New Roman" w:hAnsi="Times New Roman"/>
              </w:rPr>
              <w:t>A coal fly ash/CoFe</w:t>
            </w:r>
            <w:r>
              <w:rPr>
                <w:rFonts w:ascii="Times New Roman" w:hAnsi="Times New Roman"/>
                <w:vertAlign w:val="subscript"/>
              </w:rPr>
              <w:t>2</w:t>
            </w:r>
            <w:r>
              <w:rPr>
                <w:rFonts w:ascii="Times New Roman" w:hAnsi="Times New Roman"/>
              </w:rPr>
              <w:t>O</w:t>
            </w:r>
            <w:r>
              <w:rPr>
                <w:rFonts w:ascii="Times New Roman" w:hAnsi="Times New Roman"/>
                <w:vertAlign w:val="subscript"/>
              </w:rPr>
              <w:t>4</w:t>
            </w:r>
          </w:p>
        </w:tc>
        <w:tc>
          <w:tcPr>
            <w:tcW w:w="1417" w:type="dxa"/>
            <w:tcBorders>
              <w:top w:val="nil"/>
              <w:left w:val="nil"/>
              <w:bottom w:val="nil"/>
              <w:right w:val="nil"/>
              <w:tl2br w:val="nil"/>
              <w:tr2bl w:val="nil"/>
            </w:tcBorders>
          </w:tcPr>
          <w:p w14:paraId="5E9B91E9" w14:textId="77777777" w:rsidR="00BD7383" w:rsidRDefault="00000000" w:rsidP="0003216F">
            <w:pPr>
              <w:snapToGrid w:val="0"/>
              <w:spacing w:after="0" w:line="240" w:lineRule="auto"/>
              <w:rPr>
                <w:rFonts w:ascii="Times New Roman" w:hAnsi="Times New Roman"/>
              </w:rPr>
            </w:pPr>
            <w:r>
              <w:rPr>
                <w:rFonts w:ascii="Times New Roman" w:hAnsi="Times New Roman"/>
              </w:rPr>
              <w:t>89.3 mg/g</w:t>
            </w:r>
          </w:p>
        </w:tc>
        <w:tc>
          <w:tcPr>
            <w:tcW w:w="3686" w:type="dxa"/>
            <w:tcBorders>
              <w:top w:val="nil"/>
              <w:left w:val="nil"/>
              <w:bottom w:val="nil"/>
              <w:right w:val="nil"/>
              <w:tl2br w:val="nil"/>
              <w:tr2bl w:val="nil"/>
            </w:tcBorders>
          </w:tcPr>
          <w:p w14:paraId="11398B30" w14:textId="77777777" w:rsidR="00BD7383" w:rsidRDefault="00000000" w:rsidP="0003216F">
            <w:pPr>
              <w:snapToGrid w:val="0"/>
              <w:spacing w:after="0" w:line="240" w:lineRule="auto"/>
              <w:rPr>
                <w:rFonts w:ascii="Times New Roman" w:hAnsi="Times New Roman"/>
              </w:rPr>
            </w:pPr>
            <w:r>
              <w:rPr>
                <w:rFonts w:ascii="Times New Roman" w:hAnsi="Times New Roman"/>
              </w:rPr>
              <w:t>Adsorbent dose, Dye concentration, pH contact time.</w:t>
            </w:r>
          </w:p>
        </w:tc>
        <w:tc>
          <w:tcPr>
            <w:tcW w:w="1270" w:type="dxa"/>
            <w:tcBorders>
              <w:top w:val="nil"/>
              <w:left w:val="nil"/>
              <w:bottom w:val="nil"/>
              <w:right w:val="nil"/>
              <w:tl2br w:val="nil"/>
              <w:tr2bl w:val="nil"/>
            </w:tcBorders>
          </w:tcPr>
          <w:p w14:paraId="679D675C" w14:textId="77777777" w:rsidR="00BD7383" w:rsidRDefault="00000000" w:rsidP="0003216F">
            <w:pPr>
              <w:snapToGrid w:val="0"/>
              <w:spacing w:after="0" w:line="240" w:lineRule="auto"/>
              <w:jc w:val="both"/>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&lt;EndNote&gt;&lt;Cite&gt;&lt;Author&gt;Zhang&lt;/Author&gt;&lt;Year&gt;2016&lt;/Year&gt;&lt;RecNum&gt;4618&lt;/RecNum&gt;&lt;DisplayText&gt;[5]&lt;/DisplayText&gt;&lt;record&gt;&lt;rec-number&gt;4618&lt;/rec-number&gt;&lt;foreign-keys&gt;&lt;key app="EN" db-id="0x2wvsv00xaztkerzr3xpvrlvsste2s0wdfe" timestamp="1712985374" guid="f39b24f7-42e9-447f-9d5c-f864a652ce80"&gt;4618&lt;/key&gt;&lt;/foreign-keys&gt;&lt;ref-type name="Journal Article"&gt;17&lt;/ref-type&gt;&lt;contributors&gt;&lt;authors&gt;&lt;author&gt;Zhang, Miaomiao&lt;/author&gt;&lt;author&gt;Mao, Yanpeng&lt;/author&gt;&lt;author&gt;Wang, Wenlong&lt;/author&gt;&lt;author&gt;Yang, Shanxiu&lt;/author&gt;&lt;author&gt;Song, Zhanlong&lt;/author&gt;&lt;author&gt;Zhao, Xiqiang&lt;/author&gt;&lt;/authors&gt;&lt;/contributors&gt;&lt;titles&gt;&lt;title&gt;Coal fly ash/CoFe 2 O 4 composites: a magnetic adsorbent for the removal of malachite green from aqueous solution&lt;/title&gt;&lt;secondary-title&gt;RSC Adv.&lt;/secondary-title&gt;&lt;/titles&gt;&lt;periodical&gt;&lt;full-title&gt;RSC Adv.&lt;/full-title&gt;&lt;/periodical&gt;&lt;pages&gt;93564-93574&lt;/pages&gt;&lt;volume&gt;6&lt;/volume&gt;&lt;number&gt;96&lt;/number&gt;&lt;dates&gt;&lt;year&gt;2016&lt;/year&gt;&lt;/dates&gt;&lt;urls&gt;&lt;/urls&gt;&lt;/record&gt;&lt;/Cite&gt;&lt;/EndNote&gt;</w:instrText>
            </w:r>
            <w:r>
              <w:rPr>
                <w:rFonts w:ascii="Times New Roman" w:hAnsi="Times New Roman"/>
                <w:color w:val="0000FF"/>
              </w:rPr>
              <w:fldChar w:fldCharType="separate"/>
            </w:r>
            <w:r>
              <w:rPr>
                <w:rFonts w:ascii="Times New Roman" w:hAnsi="Times New Roman"/>
                <w:color w:val="0000FF"/>
              </w:rPr>
              <w:t>[5]</w:t>
            </w:r>
            <w:r>
              <w:rPr>
                <w:rFonts w:ascii="Times New Roman" w:hAnsi="Times New Roman"/>
                <w:color w:val="0000FF"/>
              </w:rPr>
              <w:fldChar w:fldCharType="end"/>
            </w:r>
          </w:p>
        </w:tc>
      </w:tr>
      <w:tr w:rsidR="00BD7383" w14:paraId="29AC7134" w14:textId="77777777" w:rsidTr="0003216F">
        <w:trPr>
          <w:trHeight w:val="302"/>
        </w:trPr>
        <w:tc>
          <w:tcPr>
            <w:tcW w:w="2552" w:type="dxa"/>
            <w:tcBorders>
              <w:top w:val="nil"/>
              <w:left w:val="nil"/>
              <w:bottom w:val="nil"/>
              <w:right w:val="nil"/>
              <w:tl2br w:val="nil"/>
              <w:tr2bl w:val="nil"/>
            </w:tcBorders>
          </w:tcPr>
          <w:p w14:paraId="5168C892" w14:textId="77777777" w:rsidR="00BD7383" w:rsidRDefault="00000000" w:rsidP="0003216F">
            <w:pPr>
              <w:snapToGrid w:val="0"/>
              <w:spacing w:after="0" w:line="240" w:lineRule="auto"/>
              <w:rPr>
                <w:rFonts w:ascii="Times New Roman" w:hAnsi="Times New Roman"/>
              </w:rPr>
            </w:pPr>
            <w:r>
              <w:rPr>
                <w:rFonts w:ascii="Times New Roman" w:hAnsi="Times New Roman"/>
              </w:rPr>
              <w:t>zeolite-magnetite nanocomposite</w:t>
            </w:r>
          </w:p>
        </w:tc>
        <w:tc>
          <w:tcPr>
            <w:tcW w:w="1417" w:type="dxa"/>
            <w:tcBorders>
              <w:top w:val="nil"/>
              <w:left w:val="nil"/>
              <w:bottom w:val="nil"/>
              <w:right w:val="nil"/>
              <w:tl2br w:val="nil"/>
              <w:tr2bl w:val="nil"/>
            </w:tcBorders>
          </w:tcPr>
          <w:p w14:paraId="3BE36880" w14:textId="77777777" w:rsidR="00BD7383" w:rsidRDefault="00000000" w:rsidP="0003216F">
            <w:pPr>
              <w:snapToGrid w:val="0"/>
              <w:spacing w:after="0" w:line="240" w:lineRule="auto"/>
              <w:rPr>
                <w:rFonts w:ascii="Times New Roman" w:hAnsi="Times New Roman"/>
              </w:rPr>
            </w:pPr>
            <w:r>
              <w:rPr>
                <w:rFonts w:ascii="Times New Roman" w:hAnsi="Times New Roman"/>
              </w:rPr>
              <w:t>21.05 mg/ g</w:t>
            </w:r>
          </w:p>
        </w:tc>
        <w:tc>
          <w:tcPr>
            <w:tcW w:w="3686" w:type="dxa"/>
            <w:tcBorders>
              <w:top w:val="nil"/>
              <w:left w:val="nil"/>
              <w:bottom w:val="nil"/>
              <w:right w:val="nil"/>
              <w:tl2br w:val="nil"/>
              <w:tr2bl w:val="nil"/>
            </w:tcBorders>
          </w:tcPr>
          <w:p w14:paraId="1E2CB9B7" w14:textId="77777777" w:rsidR="00BD7383" w:rsidRDefault="00000000" w:rsidP="0003216F">
            <w:pPr>
              <w:snapToGrid w:val="0"/>
              <w:spacing w:after="0" w:line="240" w:lineRule="auto"/>
              <w:rPr>
                <w:rFonts w:ascii="Times New Roman" w:hAnsi="Times New Roman"/>
              </w:rPr>
            </w:pPr>
            <w:r>
              <w:rPr>
                <w:rFonts w:ascii="Times New Roman" w:hAnsi="Times New Roman"/>
              </w:rPr>
              <w:t>Adsorbent dosage, Dye concentration, pH contact time, and temperature.</w:t>
            </w:r>
          </w:p>
        </w:tc>
        <w:tc>
          <w:tcPr>
            <w:tcW w:w="1270" w:type="dxa"/>
            <w:tcBorders>
              <w:top w:val="nil"/>
              <w:left w:val="nil"/>
              <w:bottom w:val="nil"/>
              <w:right w:val="nil"/>
              <w:tl2br w:val="nil"/>
              <w:tr2bl w:val="nil"/>
            </w:tcBorders>
          </w:tcPr>
          <w:p w14:paraId="34DD5256" w14:textId="77777777" w:rsidR="00BD7383" w:rsidRDefault="00000000" w:rsidP="0003216F">
            <w:pPr>
              <w:snapToGrid w:val="0"/>
              <w:spacing w:after="0" w:line="240" w:lineRule="auto"/>
              <w:jc w:val="both"/>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&lt;EndNote&gt;&lt;Cite&gt;&lt;Author&gt;Tanyol&lt;/Author&gt;&lt;Year&gt;2017&lt;/Year&gt;&lt;RecNum&gt;4619&lt;/RecNum&gt;&lt;DisplayText&gt;[6]&lt;/DisplayText&gt;&lt;record&gt;&lt;rec-number&gt;4619&lt;/rec-number&gt;&lt;foreign-keys&gt;&lt;key app="EN" db-id="0x2wvsv00xaztkerzr3xpvrlvsste2s0wdfe" timestamp="1712985425" guid="e747f3aa-9db1-4fee-91d7-49b754a43ca3"&gt;4619&lt;/key&gt;&lt;/foreign-keys&gt;&lt;ref-type name="Journal Article"&gt;17&lt;/ref-type&gt;&lt;contributors&gt;&lt;authors&gt;&lt;author&gt;Tanyol, Mehtap&lt;/author&gt;&lt;/authors&gt;&lt;/contributors&gt;&lt;titles&gt;&lt;title&gt;Rapid malachite green removal from aqueous solution by natural zeolite: process optimization by response surface methodology&lt;/title&gt;&lt;secondary-title&gt;Desal. Water Treatment&lt;/secondary-title&gt;&lt;/titles&gt;&lt;periodical&gt;&lt;full-title&gt;Desal. Water Treatment&lt;/full-title&gt;&lt;/periodical&gt;&lt;pages&gt;294-303&lt;/pages&gt;&lt;volume&gt;65&lt;/volume&gt;&lt;number&gt;11&lt;/number&gt;&lt;dates&gt;&lt;year&gt;2017&lt;/year&gt;&lt;/dates&gt;&lt;urls&gt;&lt;/urls&gt;&lt;/record&gt;&lt;/Cite&gt;&lt;/EndNote&gt;</w:instrText>
            </w:r>
            <w:r>
              <w:rPr>
                <w:rFonts w:ascii="Times New Roman" w:hAnsi="Times New Roman"/>
                <w:color w:val="0000FF"/>
              </w:rPr>
              <w:fldChar w:fldCharType="separate"/>
            </w:r>
            <w:r>
              <w:rPr>
                <w:rFonts w:ascii="Times New Roman" w:hAnsi="Times New Roman"/>
                <w:color w:val="0000FF"/>
              </w:rPr>
              <w:t>[6]</w:t>
            </w:r>
            <w:r>
              <w:rPr>
                <w:rFonts w:ascii="Times New Roman" w:hAnsi="Times New Roman"/>
                <w:color w:val="0000FF"/>
              </w:rPr>
              <w:fldChar w:fldCharType="end"/>
            </w:r>
          </w:p>
        </w:tc>
      </w:tr>
      <w:tr w:rsidR="00BD7383" w14:paraId="35EA1ED7" w14:textId="77777777" w:rsidTr="0003216F">
        <w:trPr>
          <w:trHeight w:val="302"/>
        </w:trPr>
        <w:tc>
          <w:tcPr>
            <w:tcW w:w="2552" w:type="dxa"/>
            <w:tcBorders>
              <w:top w:val="nil"/>
              <w:left w:val="nil"/>
              <w:bottom w:val="nil"/>
              <w:right w:val="nil"/>
              <w:tl2br w:val="nil"/>
              <w:tr2bl w:val="nil"/>
            </w:tcBorders>
          </w:tcPr>
          <w:p w14:paraId="577FA810" w14:textId="77777777" w:rsidR="00BD7383" w:rsidRDefault="00000000" w:rsidP="0003216F">
            <w:pPr>
              <w:snapToGrid w:val="0"/>
              <w:spacing w:after="0" w:line="240" w:lineRule="auto"/>
              <w:rPr>
                <w:rFonts w:ascii="Times New Roman" w:hAnsi="Times New Roman"/>
              </w:rPr>
            </w:pPr>
            <w:r>
              <w:rPr>
                <w:rFonts w:ascii="Times New Roman" w:hAnsi="Times New Roman"/>
                <w:color w:val="1F1F1F"/>
              </w:rPr>
              <w:t>Steel slag wastes</w:t>
            </w:r>
          </w:p>
        </w:tc>
        <w:tc>
          <w:tcPr>
            <w:tcW w:w="1417" w:type="dxa"/>
            <w:tcBorders>
              <w:top w:val="nil"/>
              <w:left w:val="nil"/>
              <w:bottom w:val="nil"/>
              <w:right w:val="nil"/>
              <w:tl2br w:val="nil"/>
              <w:tr2bl w:val="nil"/>
            </w:tcBorders>
          </w:tcPr>
          <w:p w14:paraId="575F554A" w14:textId="77777777" w:rsidR="00BD7383" w:rsidRDefault="00000000" w:rsidP="0003216F">
            <w:pPr>
              <w:snapToGrid w:val="0"/>
              <w:spacing w:after="0" w:line="240" w:lineRule="auto"/>
              <w:rPr>
                <w:rFonts w:ascii="Times New Roman" w:hAnsi="Times New Roman"/>
              </w:rPr>
            </w:pPr>
            <w:r>
              <w:rPr>
                <w:rFonts w:ascii="Times New Roman" w:hAnsi="Times New Roman"/>
                <w:color w:val="1F1F1F"/>
              </w:rPr>
              <w:t>88.26 mg/g</w:t>
            </w:r>
          </w:p>
        </w:tc>
        <w:tc>
          <w:tcPr>
            <w:tcW w:w="3686" w:type="dxa"/>
            <w:tcBorders>
              <w:top w:val="nil"/>
              <w:left w:val="nil"/>
              <w:bottom w:val="nil"/>
              <w:right w:val="nil"/>
              <w:tl2br w:val="nil"/>
              <w:tr2bl w:val="nil"/>
            </w:tcBorders>
          </w:tcPr>
          <w:p w14:paraId="7F57CBCD" w14:textId="77777777" w:rsidR="00BD7383" w:rsidRDefault="00000000" w:rsidP="0003216F">
            <w:pPr>
              <w:snapToGrid w:val="0"/>
              <w:spacing w:after="0" w:line="240" w:lineRule="auto"/>
              <w:rPr>
                <w:rFonts w:ascii="Times New Roman" w:hAnsi="Times New Roman"/>
              </w:rPr>
            </w:pPr>
            <w:r>
              <w:rPr>
                <w:rFonts w:ascii="Times New Roman" w:hAnsi="Times New Roman"/>
              </w:rPr>
              <w:t>Adsorbent dosage, Dye concentration.</w:t>
            </w:r>
          </w:p>
        </w:tc>
        <w:tc>
          <w:tcPr>
            <w:tcW w:w="1270" w:type="dxa"/>
            <w:tcBorders>
              <w:top w:val="nil"/>
              <w:left w:val="nil"/>
              <w:bottom w:val="nil"/>
              <w:right w:val="nil"/>
              <w:tl2br w:val="nil"/>
              <w:tr2bl w:val="nil"/>
            </w:tcBorders>
          </w:tcPr>
          <w:p w14:paraId="66326218" w14:textId="77777777" w:rsidR="00BD7383" w:rsidRDefault="00000000" w:rsidP="0003216F">
            <w:pPr>
              <w:snapToGrid w:val="0"/>
              <w:spacing w:after="0" w:line="240" w:lineRule="auto"/>
              <w:jc w:val="both"/>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&lt;EndNote&gt;&lt;Cite&gt;&lt;Author&gt;Blanco-Flores&lt;/Author&gt;&lt;Year&gt;2020&lt;/Year&gt;&lt;RecNum&gt;4620&lt;/RecNum&gt;&lt;DisplayText&gt;[7]&lt;/DisplayText&gt;&lt;record&gt;&lt;rec-number&gt;4620&lt;/rec-number&gt;&lt;foreign-keys&gt;&lt;key app="EN" db-id="0x2wvsv00xaztkerzr3xpvrlvsste2s0wdfe" timestamp="1712985473" guid="12d4114d-21f1-46fb-ac01-4ef9c29566a1"&gt;4620&lt;/key&gt;&lt;/foreign-keys&gt;&lt;ref-type name="Journal Article"&gt;17&lt;/ref-type&gt;&lt;contributors&gt;&lt;authors&gt;&lt;author&gt;Blanco-Flores, Alien&lt;/author&gt;&lt;author&gt;Toledo-Jaldin, Helen P&lt;/author&gt;&lt;author&gt;Vilchis-Néstor, Alfredo R&lt;/author&gt;&lt;author&gt;López-Téllez, Gustavo&lt;/author&gt;&lt;author&gt;Sánchez-Mendieta, Víctor&lt;/author&gt;&lt;author&gt;Ávila-Márquez, Delia M&lt;/author&gt;&lt;/authors&gt;&lt;/contributors&gt;&lt;titles&gt;&lt;title&gt;Metallurgical slag properties as a support material for bimetallic nanoparticles and their use in the removal of malachite green dye&lt;/title&gt;&lt;secondary-title&gt;Adv. Powder Technol.&lt;/secondary-title&gt;&lt;/titles&gt;&lt;periodical&gt;&lt;full-title&gt;Adv. Powder Technol.&lt;/full-title&gt;&lt;/periodical&gt;&lt;pages&gt;2853-2865&lt;/pages&gt;&lt;volume&gt;31&lt;/volume&gt;&lt;number&gt;7&lt;/number&gt;&lt;dates&gt;&lt;year&gt;2020&lt;/year&gt;&lt;/dates&gt;&lt;isbn&gt;0921-8831&lt;/isbn&gt;&lt;urls&gt;&lt;/urls&gt;&lt;/record&gt;&lt;/Cite&gt;&lt;/EndNote&gt;</w:instrText>
            </w:r>
            <w:r>
              <w:rPr>
                <w:rFonts w:ascii="Times New Roman" w:hAnsi="Times New Roman"/>
                <w:color w:val="0000FF"/>
              </w:rPr>
              <w:fldChar w:fldCharType="separate"/>
            </w:r>
            <w:r>
              <w:rPr>
                <w:rFonts w:ascii="Times New Roman" w:hAnsi="Times New Roman"/>
                <w:color w:val="0000FF"/>
              </w:rPr>
              <w:t>[7]</w:t>
            </w:r>
            <w:r>
              <w:rPr>
                <w:rFonts w:ascii="Times New Roman" w:hAnsi="Times New Roman"/>
                <w:color w:val="0000FF"/>
              </w:rPr>
              <w:fldChar w:fldCharType="end"/>
            </w:r>
          </w:p>
        </w:tc>
      </w:tr>
      <w:tr w:rsidR="00BD7383" w14:paraId="7032C873" w14:textId="77777777" w:rsidTr="0003216F">
        <w:trPr>
          <w:trHeight w:val="315"/>
        </w:trPr>
        <w:tc>
          <w:tcPr>
            <w:tcW w:w="2552" w:type="dxa"/>
            <w:tcBorders>
              <w:top w:val="nil"/>
              <w:left w:val="nil"/>
              <w:bottom w:val="nil"/>
              <w:right w:val="nil"/>
              <w:tl2br w:val="nil"/>
              <w:tr2bl w:val="nil"/>
            </w:tcBorders>
          </w:tcPr>
          <w:p w14:paraId="71ADFC10" w14:textId="77777777" w:rsidR="00BD7383" w:rsidRDefault="00000000" w:rsidP="0003216F">
            <w:pPr>
              <w:snapToGrid w:val="0"/>
              <w:spacing w:after="0" w:line="240" w:lineRule="auto"/>
              <w:rPr>
                <w:rFonts w:ascii="Times New Roman" w:hAnsi="Times New Roman"/>
              </w:rPr>
            </w:pPr>
            <w:r>
              <w:rPr>
                <w:rFonts w:ascii="Times New Roman" w:hAnsi="Times New Roman"/>
              </w:rPr>
              <w:t>Coconut-activated carbon</w:t>
            </w:r>
          </w:p>
        </w:tc>
        <w:tc>
          <w:tcPr>
            <w:tcW w:w="1417" w:type="dxa"/>
            <w:tcBorders>
              <w:top w:val="nil"/>
              <w:left w:val="nil"/>
              <w:bottom w:val="nil"/>
              <w:right w:val="nil"/>
              <w:tl2br w:val="nil"/>
              <w:tr2bl w:val="nil"/>
            </w:tcBorders>
          </w:tcPr>
          <w:p w14:paraId="3AABE979" w14:textId="77777777" w:rsidR="00BD7383" w:rsidRDefault="00000000" w:rsidP="0003216F">
            <w:pPr>
              <w:snapToGrid w:val="0"/>
              <w:spacing w:after="0" w:line="240" w:lineRule="auto"/>
              <w:rPr>
                <w:rFonts w:ascii="Times New Roman" w:hAnsi="Times New Roman"/>
              </w:rPr>
            </w:pPr>
            <w:r>
              <w:rPr>
                <w:rFonts w:ascii="Times New Roman" w:hAnsi="Times New Roman"/>
              </w:rPr>
              <w:t>91.24 mg/ g</w:t>
            </w:r>
          </w:p>
        </w:tc>
        <w:tc>
          <w:tcPr>
            <w:tcW w:w="3686" w:type="dxa"/>
            <w:tcBorders>
              <w:top w:val="nil"/>
              <w:left w:val="nil"/>
              <w:bottom w:val="nil"/>
              <w:right w:val="nil"/>
              <w:tl2br w:val="nil"/>
              <w:tr2bl w:val="nil"/>
            </w:tcBorders>
          </w:tcPr>
          <w:p w14:paraId="7028A3F1" w14:textId="77777777" w:rsidR="00BD7383" w:rsidRDefault="00000000" w:rsidP="0003216F">
            <w:pPr>
              <w:snapToGrid w:val="0"/>
              <w:spacing w:after="0" w:line="240" w:lineRule="auto"/>
              <w:rPr>
                <w:rFonts w:ascii="Times New Roman" w:hAnsi="Times New Roman"/>
              </w:rPr>
            </w:pPr>
            <w:r>
              <w:rPr>
                <w:rFonts w:ascii="Times New Roman" w:hAnsi="Times New Roman"/>
              </w:rPr>
              <w:t>Contact time, pH, Temperature.</w:t>
            </w:r>
          </w:p>
        </w:tc>
        <w:tc>
          <w:tcPr>
            <w:tcW w:w="1270" w:type="dxa"/>
            <w:tcBorders>
              <w:top w:val="nil"/>
              <w:left w:val="nil"/>
              <w:bottom w:val="nil"/>
              <w:right w:val="nil"/>
              <w:tl2br w:val="nil"/>
              <w:tr2bl w:val="nil"/>
            </w:tcBorders>
          </w:tcPr>
          <w:p w14:paraId="62263E59" w14:textId="77777777" w:rsidR="00BD7383" w:rsidRDefault="00000000" w:rsidP="0003216F">
            <w:pPr>
              <w:snapToGrid w:val="0"/>
              <w:spacing w:after="0" w:line="240" w:lineRule="auto"/>
              <w:jc w:val="both"/>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&lt;EndNote&gt;&lt;Cite&gt;&lt;Author&gt;Qu&lt;/Author&gt;&lt;Year&gt;2019&lt;/Year&gt;&lt;RecNum&gt;4621&lt;/RecNum&gt;&lt;DisplayText&gt;[8]&lt;/DisplayText&gt;&lt;record&gt;&lt;rec-number&gt;4621&lt;/rec-number&gt;&lt;foreign-keys&gt;&lt;key app="EN" db-id="0x2wvsv00xaztkerzr3xpvrlvsste2s0wdfe" timestamp="1712985524" guid="f8ac956b-9dbf-406c-b327-260de026f0ed"&gt;4621&lt;/key&gt;&lt;/foreign-keys&gt;&lt;ref-type name="Journal Article"&gt;17&lt;/ref-type&gt;&lt;contributors&gt;&lt;authors&gt;&lt;author&gt;Qu, Wenyuan&lt;/author&gt;&lt;author&gt;Yuan, Tong&lt;/author&gt;&lt;author&gt;Yin, Guojun&lt;/author&gt;&lt;author&gt;Xu, Shiai&lt;/author&gt;&lt;author&gt;Zhang, Qing&lt;/author&gt;&lt;author&gt;Su, Hongjun&lt;/author&gt;&lt;/authors&gt;&lt;/contributors&gt;&lt;titles&gt;&lt;title&gt;Effect of properties of activated carbon on malachite green adsorption&lt;/title&gt;&lt;secondary-title&gt;Fuel&lt;/secondary-title&gt;&lt;/titles&gt;&lt;periodical&gt;&lt;full-title&gt;Fuel&lt;/full-title&gt;&lt;abbr-1&gt;Fuel&lt;/abbr-1&gt;&lt;/periodical&gt;&lt;pages&gt;45-53&lt;/pages&gt;&lt;volume&gt;249&lt;/volume&gt;&lt;dates&gt;&lt;year&gt;2019&lt;/year&gt;&lt;/dates&gt;&lt;isbn&gt;0016-2361&lt;/isbn&gt;&lt;urls&gt;&lt;/urls&gt;&lt;/record&gt;&lt;/Cite&gt;&lt;/EndNote&gt;</w:instrText>
            </w:r>
            <w:r>
              <w:rPr>
                <w:rFonts w:ascii="Times New Roman" w:hAnsi="Times New Roman"/>
                <w:color w:val="0000FF"/>
              </w:rPr>
              <w:fldChar w:fldCharType="separate"/>
            </w:r>
            <w:r>
              <w:rPr>
                <w:rFonts w:ascii="Times New Roman" w:hAnsi="Times New Roman"/>
                <w:color w:val="0000FF"/>
              </w:rPr>
              <w:t>[8]</w:t>
            </w:r>
            <w:r>
              <w:rPr>
                <w:rFonts w:ascii="Times New Roman" w:hAnsi="Times New Roman"/>
                <w:color w:val="0000FF"/>
              </w:rPr>
              <w:fldChar w:fldCharType="end"/>
            </w:r>
          </w:p>
        </w:tc>
      </w:tr>
      <w:tr w:rsidR="00BD7383" w14:paraId="000F5152" w14:textId="77777777" w:rsidTr="0003216F">
        <w:trPr>
          <w:trHeight w:val="315"/>
        </w:trPr>
        <w:tc>
          <w:tcPr>
            <w:tcW w:w="2552" w:type="dxa"/>
            <w:tcBorders>
              <w:top w:val="nil"/>
              <w:left w:val="nil"/>
              <w:bottom w:val="nil"/>
              <w:right w:val="nil"/>
              <w:tl2br w:val="nil"/>
              <w:tr2bl w:val="nil"/>
            </w:tcBorders>
          </w:tcPr>
          <w:p w14:paraId="6740E819" w14:textId="77777777" w:rsidR="00BD7383" w:rsidRDefault="00000000" w:rsidP="0003216F">
            <w:pPr>
              <w:snapToGrid w:val="0"/>
              <w:spacing w:after="0" w:line="240" w:lineRule="auto"/>
              <w:rPr>
                <w:rFonts w:ascii="Times New Roman" w:hAnsi="Times New Roman"/>
              </w:rPr>
            </w:pPr>
            <w:r>
              <w:rPr>
                <w:rFonts w:ascii="Times New Roman" w:hAnsi="Times New Roman"/>
                <w:color w:val="131314"/>
                <w:shd w:val="clear" w:color="auto" w:fill="FFFFFF"/>
              </w:rPr>
              <w:t>The industrial waste coffee husk</w:t>
            </w:r>
          </w:p>
        </w:tc>
        <w:tc>
          <w:tcPr>
            <w:tcW w:w="1417" w:type="dxa"/>
            <w:tcBorders>
              <w:top w:val="nil"/>
              <w:left w:val="nil"/>
              <w:bottom w:val="nil"/>
              <w:right w:val="nil"/>
              <w:tl2br w:val="nil"/>
              <w:tr2bl w:val="nil"/>
            </w:tcBorders>
          </w:tcPr>
          <w:p w14:paraId="4014FEE5" w14:textId="77777777" w:rsidR="00BD7383" w:rsidRDefault="00000000" w:rsidP="0003216F">
            <w:pPr>
              <w:snapToGrid w:val="0"/>
              <w:spacing w:after="0" w:line="240" w:lineRule="auto"/>
              <w:rPr>
                <w:rFonts w:ascii="Times New Roman" w:hAnsi="Times New Roman"/>
              </w:rPr>
            </w:pPr>
            <w:r>
              <w:rPr>
                <w:rFonts w:ascii="Times New Roman" w:hAnsi="Times New Roman"/>
                <w:color w:val="131314"/>
                <w:shd w:val="clear" w:color="auto" w:fill="FFFFFF"/>
              </w:rPr>
              <w:t>78 mg/g</w:t>
            </w:r>
          </w:p>
        </w:tc>
        <w:tc>
          <w:tcPr>
            <w:tcW w:w="3686" w:type="dxa"/>
            <w:tcBorders>
              <w:top w:val="nil"/>
              <w:left w:val="nil"/>
              <w:bottom w:val="nil"/>
              <w:right w:val="nil"/>
              <w:tl2br w:val="nil"/>
              <w:tr2bl w:val="nil"/>
            </w:tcBorders>
          </w:tcPr>
          <w:p w14:paraId="00835BAE" w14:textId="77777777" w:rsidR="00BD7383" w:rsidRDefault="00000000" w:rsidP="0003216F">
            <w:pPr>
              <w:snapToGrid w:val="0"/>
              <w:spacing w:after="0" w:line="240" w:lineRule="auto"/>
              <w:rPr>
                <w:rFonts w:ascii="Times New Roman" w:hAnsi="Times New Roman"/>
              </w:rPr>
            </w:pPr>
            <w:r>
              <w:rPr>
                <w:rFonts w:ascii="Times New Roman" w:hAnsi="Times New Roman"/>
              </w:rPr>
              <w:t xml:space="preserve">Contact time, pH, Dye concentration </w:t>
            </w:r>
          </w:p>
        </w:tc>
        <w:tc>
          <w:tcPr>
            <w:tcW w:w="1270" w:type="dxa"/>
            <w:tcBorders>
              <w:top w:val="nil"/>
              <w:left w:val="nil"/>
              <w:bottom w:val="nil"/>
              <w:right w:val="nil"/>
              <w:tl2br w:val="nil"/>
              <w:tr2bl w:val="nil"/>
            </w:tcBorders>
          </w:tcPr>
          <w:p w14:paraId="4A60D670" w14:textId="77777777" w:rsidR="00BD7383" w:rsidRDefault="00000000" w:rsidP="0003216F">
            <w:pPr>
              <w:snapToGrid w:val="0"/>
              <w:spacing w:after="0" w:line="240" w:lineRule="auto"/>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&lt;EndNote&gt;&lt;Cite&gt;&lt;Author&gt;Mohamad&lt;/Author&gt;&lt;Year&gt;2021&lt;/Year&gt;&lt;RecNum&gt;4622&lt;/RecNum&gt;&lt;DisplayText&gt;[9]&lt;/DisplayText&gt;&lt;record&gt;&lt;rec-number&gt;4622&lt;/rec-number&gt;&lt;foreign-keys&gt;&lt;key app="EN" db-id="0x2wvsv00xaztkerzr3xpvrlvsste2s0wdfe" timestamp="1712985567" guid="3fe6bed8-956e-44e5-8000-c6cc1df2d70a"&gt;4622&lt;/key&gt;&lt;/foreign-keys&gt;&lt;ref-type name="Journal Article"&gt;17&lt;/ref-type&gt;&lt;contributors&gt;&lt;authors&gt;&lt;author&gt;Mohamad, Mardawani&lt;/author&gt;&lt;author&gt;Wannahari, Rizki&lt;/author&gt;&lt;author&gt;Mohammad, Rosmawani&lt;/author&gt;&lt;author&gt;Shoparwe, Noor Fazliani&lt;/author&gt;&lt;author&gt;Nawi, Ahmad Saufi Mohd&lt;/author&gt;&lt;author&gt;Lun, Kwan Wei&lt;/author&gt;&lt;author&gt;Wei, Lim Jun&lt;/author&gt;&lt;/authors&gt;&lt;/contributors&gt;&lt;titles&gt;&lt;title&gt;Adsorption of malachite green dye using spent coffee ground biochar: optimisation using response surface methodology&lt;/title&gt;&lt;secondary-title&gt;Jurnal Teknologi&lt;/secondary-title&gt;&lt;/titles&gt;&lt;periodical&gt;&lt;full-title&gt;Jurnal Teknologi&lt;/full-title&gt;&lt;/periodical&gt;&lt;dates&gt;&lt;year&gt;2021&lt;/year&gt;&lt;/dates&gt;&lt;urls&gt;&lt;/urls&gt;&lt;/record&gt;&lt;/Cite&gt;&lt;/EndNote&gt;</w:instrText>
            </w:r>
            <w:r>
              <w:rPr>
                <w:rFonts w:ascii="Times New Roman" w:hAnsi="Times New Roman"/>
                <w:color w:val="0000FF"/>
              </w:rPr>
              <w:fldChar w:fldCharType="separate"/>
            </w:r>
            <w:r>
              <w:rPr>
                <w:rFonts w:ascii="Times New Roman" w:hAnsi="Times New Roman"/>
                <w:color w:val="0000FF"/>
              </w:rPr>
              <w:t>[9]</w:t>
            </w:r>
            <w:r>
              <w:rPr>
                <w:rFonts w:ascii="Times New Roman" w:hAnsi="Times New Roman"/>
                <w:color w:val="0000FF"/>
              </w:rPr>
              <w:fldChar w:fldCharType="end"/>
            </w:r>
          </w:p>
        </w:tc>
      </w:tr>
      <w:tr w:rsidR="00BD7383" w14:paraId="0C56678A" w14:textId="77777777" w:rsidTr="0003216F">
        <w:trPr>
          <w:trHeight w:val="315"/>
        </w:trPr>
        <w:tc>
          <w:tcPr>
            <w:tcW w:w="2552" w:type="dxa"/>
            <w:tcBorders>
              <w:top w:val="nil"/>
              <w:left w:val="nil"/>
              <w:bottom w:val="nil"/>
              <w:right w:val="nil"/>
              <w:tl2br w:val="nil"/>
              <w:tr2bl w:val="nil"/>
            </w:tcBorders>
          </w:tcPr>
          <w:p w14:paraId="66AF726E" w14:textId="77777777" w:rsidR="00BD7383" w:rsidRDefault="00000000" w:rsidP="0003216F">
            <w:pPr>
              <w:snapToGrid w:val="0"/>
              <w:spacing w:after="0" w:line="240" w:lineRule="auto"/>
              <w:rPr>
                <w:rFonts w:ascii="Times New Roman" w:hAnsi="Times New Roman"/>
              </w:rPr>
            </w:pPr>
            <w:r>
              <w:rPr>
                <w:rFonts w:ascii="Times New Roman" w:hAnsi="Times New Roman"/>
              </w:rPr>
              <w:t>Industrial solid</w:t>
            </w:r>
          </w:p>
        </w:tc>
        <w:tc>
          <w:tcPr>
            <w:tcW w:w="1417" w:type="dxa"/>
            <w:tcBorders>
              <w:top w:val="nil"/>
              <w:left w:val="nil"/>
              <w:bottom w:val="nil"/>
              <w:right w:val="nil"/>
              <w:tl2br w:val="nil"/>
              <w:tr2bl w:val="nil"/>
            </w:tcBorders>
          </w:tcPr>
          <w:p w14:paraId="73C5D647" w14:textId="77777777" w:rsidR="00BD7383" w:rsidRDefault="00000000" w:rsidP="0003216F">
            <w:pPr>
              <w:snapToGrid w:val="0"/>
              <w:spacing w:after="0" w:line="240" w:lineRule="auto"/>
              <w:rPr>
                <w:rFonts w:ascii="Times New Roman" w:hAnsi="Times New Roman"/>
              </w:rPr>
            </w:pPr>
            <w:r>
              <w:rPr>
                <w:rFonts w:ascii="Times New Roman" w:hAnsi="Times New Roman"/>
              </w:rPr>
              <w:t>10.058 mg/g</w:t>
            </w:r>
          </w:p>
        </w:tc>
        <w:tc>
          <w:tcPr>
            <w:tcW w:w="3686" w:type="dxa"/>
            <w:tcBorders>
              <w:top w:val="nil"/>
              <w:left w:val="nil"/>
              <w:bottom w:val="nil"/>
              <w:right w:val="nil"/>
              <w:tl2br w:val="nil"/>
              <w:tr2bl w:val="nil"/>
            </w:tcBorders>
          </w:tcPr>
          <w:p w14:paraId="07BA53FD" w14:textId="77777777" w:rsidR="00BD7383" w:rsidRDefault="00000000" w:rsidP="0003216F">
            <w:pPr>
              <w:snapToGrid w:val="0"/>
              <w:spacing w:after="0" w:line="240" w:lineRule="auto"/>
              <w:rPr>
                <w:rFonts w:ascii="Times New Roman" w:hAnsi="Times New Roman"/>
              </w:rPr>
            </w:pPr>
            <w:r>
              <w:rPr>
                <w:rFonts w:ascii="Times New Roman" w:hAnsi="Times New Roman"/>
              </w:rPr>
              <w:t xml:space="preserve">Contact time, pH, Dye concentration </w:t>
            </w:r>
          </w:p>
        </w:tc>
        <w:tc>
          <w:tcPr>
            <w:tcW w:w="1270" w:type="dxa"/>
            <w:tcBorders>
              <w:top w:val="nil"/>
              <w:left w:val="nil"/>
              <w:bottom w:val="nil"/>
              <w:right w:val="nil"/>
              <w:tl2br w:val="nil"/>
              <w:tr2bl w:val="nil"/>
            </w:tcBorders>
          </w:tcPr>
          <w:p w14:paraId="1234BD7F" w14:textId="77777777" w:rsidR="00BD7383" w:rsidRDefault="00000000" w:rsidP="0003216F">
            <w:pPr>
              <w:snapToGrid w:val="0"/>
              <w:spacing w:after="0" w:line="240" w:lineRule="auto"/>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&lt;EndNote&gt;&lt;Cite&gt;&lt;Author&gt;Savcı&lt;/Author&gt;&lt;Year&gt;2023&lt;/Year&gt;&lt;RecNum&gt;4623&lt;/RecNum&gt;&lt;DisplayText&gt;[10]&lt;/DisplayText&gt;&lt;record&gt;&lt;rec-number&gt;4623&lt;/rec-number&gt;&lt;foreign-keys&gt;&lt;key app="EN" db-id="0x2wvsv00xaztkerzr3xpvrlvsste2s0wdfe" timestamp="1712985633" guid="9b4b1e34-2571-4d8d-882a-85344c582a20"&gt;4623&lt;/key&gt;&lt;/foreign-keys&gt;&lt;ref-type name="Journal Article"&gt;17&lt;/ref-type&gt;&lt;contributors&gt;&lt;authors&gt;&lt;author&gt;&lt;style face="normal" font="default" size="100%"&gt;Savc&lt;/style&gt;&lt;style face="normal" font="default" charset="238" size="100%"&gt;ı, Serpil&lt;/style&gt;&lt;/author&gt;&lt;author&gt;&lt;style face="normal" font="default" charset="238" size="100%"&gt;D&lt;/style&gt;&lt;style face="normal" font="default" size="100%"&gt;önmez, Serhat&lt;/style&gt;&lt;/author&gt;&lt;author&gt;&lt;style face="normal" font="default" size="100%"&gt;Mazmanc&lt;/style&gt;&lt;style face="normal" font="default" charset="238" size="100%"&gt;ı, Mehmet Ali&lt;/style&gt;&lt;/author&gt;&lt;/authors&gt;&lt;/contributors&gt;&lt;titles&gt;&lt;title&gt;PERFORMANCE AND MECHANISMS OF MALACHITE GREEN DYE ADSORPTION USING INDUSTRIAL SOLID WASTE AS ADSORBENT&lt;/title&gt;&lt;secondary-title&gt;Environ. Eng. Manag. J. (EEMJ)&lt;/secondary-title&gt;&lt;/titles&gt;&lt;periodical&gt;&lt;full-title&gt;Environ. Eng. Manag. J. (EEMJ)&lt;/full-title&gt;&lt;/periodical&gt;&lt;volume&gt;22&lt;/volume&gt;&lt;number&gt;1&lt;/number&gt;&lt;dates&gt;&lt;year&gt;2023&lt;/year&gt;&lt;/dates&gt;&lt;isbn&gt;1582-9596&lt;/isbn&gt;&lt;urls&gt;&lt;/urls&gt;&lt;/record&gt;&lt;/Cite&gt;&lt;/EndNote&gt;</w:instrText>
            </w:r>
            <w:r>
              <w:rPr>
                <w:rFonts w:ascii="Times New Roman" w:hAnsi="Times New Roman"/>
                <w:color w:val="0000FF"/>
              </w:rPr>
              <w:fldChar w:fldCharType="separate"/>
            </w:r>
            <w:r>
              <w:rPr>
                <w:rFonts w:ascii="Times New Roman" w:hAnsi="Times New Roman"/>
                <w:color w:val="0000FF"/>
              </w:rPr>
              <w:t>[10]</w:t>
            </w:r>
            <w:r>
              <w:rPr>
                <w:rFonts w:ascii="Times New Roman" w:hAnsi="Times New Roman"/>
                <w:color w:val="0000FF"/>
              </w:rPr>
              <w:fldChar w:fldCharType="end"/>
            </w:r>
          </w:p>
        </w:tc>
      </w:tr>
      <w:tr w:rsidR="00BD7383" w14:paraId="028497B5" w14:textId="77777777" w:rsidTr="0003216F">
        <w:trPr>
          <w:trHeight w:val="315"/>
        </w:trPr>
        <w:tc>
          <w:tcPr>
            <w:tcW w:w="2552" w:type="dxa"/>
            <w:tcBorders>
              <w:top w:val="nil"/>
              <w:left w:val="nil"/>
              <w:bottom w:val="nil"/>
              <w:right w:val="nil"/>
              <w:tl2br w:val="nil"/>
              <w:tr2bl w:val="nil"/>
            </w:tcBorders>
          </w:tcPr>
          <w:p w14:paraId="69CEC7A9" w14:textId="77777777" w:rsidR="00BD7383" w:rsidRDefault="00000000" w:rsidP="0003216F">
            <w:pPr>
              <w:snapToGrid w:val="0"/>
              <w:spacing w:after="0" w:line="240" w:lineRule="auto"/>
              <w:rPr>
                <w:rFonts w:ascii="Times New Roman" w:hAnsi="Times New Roman"/>
              </w:rPr>
            </w:pPr>
            <w:r>
              <w:rPr>
                <w:rFonts w:ascii="Times New Roman" w:hAnsi="Times New Roman"/>
                <w:color w:val="1F1F1F"/>
              </w:rPr>
              <w:t>Clayey soil of Indian origin</w:t>
            </w:r>
          </w:p>
        </w:tc>
        <w:tc>
          <w:tcPr>
            <w:tcW w:w="1417" w:type="dxa"/>
            <w:tcBorders>
              <w:top w:val="nil"/>
              <w:left w:val="nil"/>
              <w:bottom w:val="nil"/>
              <w:right w:val="nil"/>
              <w:tl2br w:val="nil"/>
              <w:tr2bl w:val="nil"/>
            </w:tcBorders>
          </w:tcPr>
          <w:p w14:paraId="3CCE96E1" w14:textId="77777777" w:rsidR="00BD7383" w:rsidRDefault="00000000" w:rsidP="0003216F">
            <w:pPr>
              <w:snapToGrid w:val="0"/>
              <w:spacing w:after="0" w:line="240" w:lineRule="auto"/>
              <w:rPr>
                <w:rFonts w:ascii="Times New Roman" w:hAnsi="Times New Roman"/>
              </w:rPr>
            </w:pPr>
            <w:r>
              <w:rPr>
                <w:rFonts w:ascii="Times New Roman" w:hAnsi="Times New Roman"/>
                <w:color w:val="1F1F1F"/>
              </w:rPr>
              <w:t>78.57 mg/g</w:t>
            </w:r>
          </w:p>
        </w:tc>
        <w:tc>
          <w:tcPr>
            <w:tcW w:w="3686" w:type="dxa"/>
            <w:tcBorders>
              <w:top w:val="nil"/>
              <w:left w:val="nil"/>
              <w:bottom w:val="nil"/>
              <w:right w:val="nil"/>
              <w:tl2br w:val="nil"/>
              <w:tr2bl w:val="nil"/>
            </w:tcBorders>
          </w:tcPr>
          <w:p w14:paraId="5C7F1293" w14:textId="77777777" w:rsidR="00BD7383" w:rsidRDefault="00000000" w:rsidP="0003216F">
            <w:pPr>
              <w:snapToGrid w:val="0"/>
              <w:spacing w:after="0" w:line="240" w:lineRule="auto"/>
              <w:rPr>
                <w:rFonts w:ascii="Times New Roman" w:hAnsi="Times New Roman"/>
              </w:rPr>
            </w:pPr>
            <w:r>
              <w:rPr>
                <w:rFonts w:ascii="Times New Roman" w:hAnsi="Times New Roman"/>
                <w:color w:val="1F1F1F"/>
              </w:rPr>
              <w:t>pH, Adsorbent dosage, Contact time, Dye concentration, Temperature</w:t>
            </w:r>
          </w:p>
        </w:tc>
        <w:tc>
          <w:tcPr>
            <w:tcW w:w="1270" w:type="dxa"/>
            <w:tcBorders>
              <w:top w:val="nil"/>
              <w:left w:val="nil"/>
              <w:bottom w:val="nil"/>
              <w:right w:val="nil"/>
              <w:tl2br w:val="nil"/>
              <w:tr2bl w:val="nil"/>
            </w:tcBorders>
          </w:tcPr>
          <w:p w14:paraId="11F86D44" w14:textId="77777777" w:rsidR="00BD7383" w:rsidRDefault="00000000" w:rsidP="0003216F">
            <w:pPr>
              <w:snapToGrid w:val="0"/>
              <w:spacing w:after="0" w:line="240" w:lineRule="auto"/>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&lt;EndNote&gt;&lt;Cite&gt;&lt;Author&gt;Saha&lt;/Author&gt;&lt;Year&gt;2010&lt;/Year&gt;&lt;RecNum&gt;4624&lt;/RecNum&gt;&lt;DisplayText&gt;[11]&lt;/DisplayText&gt;&lt;record&gt;&lt;rec-number&gt;4624&lt;/rec-number&gt;&lt;foreign-keys&gt;&lt;key app="EN" db-id="0x2wvsv00xaztkerzr3xpvrlvsste2s0wdfe" timestamp="1712985702" guid="93210346-ad04-4b4d-9c55-ef559c336e04"&gt;4624&lt;/key&gt;&lt;/foreign-keys&gt;&lt;ref-type name="Journal Article"&gt;17&lt;/ref-type&gt;&lt;contributors&gt;&lt;authors&gt;&lt;author&gt;Saha, Papita&lt;/author&gt;&lt;author&gt;Chowdhury, Shamik&lt;/author&gt;&lt;author&gt;Gupta, Suyash&lt;/author&gt;&lt;author&gt;Kumar, Indresh&lt;/author&gt;&lt;/authors&gt;&lt;/contributors&gt;&lt;titles&gt;&lt;title&gt;Insight into adsorption equilibrium, kinetics and thermodynamics of Malachite Green onto clayey soil of Indian origin&lt;/title&gt;&lt;secondary-title&gt;Chem. Eng. J.&lt;/secondary-title&gt;&lt;/titles&gt;&lt;periodical&gt;&lt;full-title&gt;Chem. Eng. J.&lt;/full-title&gt;&lt;/periodical&gt;&lt;pages&gt;874-882&lt;/pages&gt;&lt;volume&gt;165&lt;/volume&gt;&lt;number&gt;3&lt;/number&gt;&lt;dates&gt;&lt;year&gt;2010&lt;/year&gt;&lt;/dates&gt;&lt;isbn&gt;1385-8947&lt;/isbn&gt;&lt;urls&gt;&lt;/urls&gt;&lt;/record&gt;&lt;/Cite&gt;&lt;/EndNote&gt;</w:instrText>
            </w:r>
            <w:r>
              <w:rPr>
                <w:rFonts w:ascii="Times New Roman" w:hAnsi="Times New Roman"/>
                <w:color w:val="0000FF"/>
              </w:rPr>
              <w:fldChar w:fldCharType="separate"/>
            </w:r>
            <w:r>
              <w:rPr>
                <w:rFonts w:ascii="Times New Roman" w:hAnsi="Times New Roman"/>
                <w:color w:val="0000FF"/>
              </w:rPr>
              <w:t>[11]</w:t>
            </w:r>
            <w:r>
              <w:rPr>
                <w:rFonts w:ascii="Times New Roman" w:hAnsi="Times New Roman"/>
                <w:color w:val="0000FF"/>
              </w:rPr>
              <w:fldChar w:fldCharType="end"/>
            </w:r>
          </w:p>
        </w:tc>
      </w:tr>
      <w:tr w:rsidR="00BD7383" w14:paraId="1D0F21E8" w14:textId="77777777" w:rsidTr="0003216F">
        <w:trPr>
          <w:trHeight w:val="315"/>
        </w:trPr>
        <w:tc>
          <w:tcPr>
            <w:tcW w:w="2552" w:type="dxa"/>
            <w:tcBorders>
              <w:top w:val="nil"/>
              <w:left w:val="nil"/>
              <w:bottom w:val="nil"/>
              <w:right w:val="nil"/>
              <w:tl2br w:val="nil"/>
              <w:tr2bl w:val="nil"/>
            </w:tcBorders>
          </w:tcPr>
          <w:p w14:paraId="33BCB19A" w14:textId="77777777" w:rsidR="00BD7383" w:rsidRDefault="00000000" w:rsidP="0003216F">
            <w:pPr>
              <w:snapToGrid w:val="0"/>
              <w:spacing w:after="0" w:line="240" w:lineRule="auto"/>
              <w:rPr>
                <w:rFonts w:ascii="Times New Roman" w:hAnsi="Times New Roman"/>
              </w:rPr>
            </w:pPr>
            <w:r>
              <w:rPr>
                <w:rFonts w:ascii="Times New Roman" w:hAnsi="Times New Roman"/>
                <w:color w:val="1F1F1F"/>
              </w:rPr>
              <w:t>carbonized pomegranate peel</w:t>
            </w:r>
          </w:p>
        </w:tc>
        <w:tc>
          <w:tcPr>
            <w:tcW w:w="1417" w:type="dxa"/>
            <w:tcBorders>
              <w:top w:val="nil"/>
              <w:left w:val="nil"/>
              <w:bottom w:val="nil"/>
              <w:right w:val="nil"/>
              <w:tl2br w:val="nil"/>
              <w:tr2bl w:val="nil"/>
            </w:tcBorders>
          </w:tcPr>
          <w:p w14:paraId="68F63949" w14:textId="77777777" w:rsidR="00BD7383" w:rsidRDefault="00000000" w:rsidP="0003216F">
            <w:pPr>
              <w:snapToGrid w:val="0"/>
              <w:spacing w:after="0" w:line="240" w:lineRule="auto"/>
              <w:rPr>
                <w:rFonts w:ascii="Times New Roman" w:hAnsi="Times New Roman"/>
              </w:rPr>
            </w:pPr>
            <w:r>
              <w:rPr>
                <w:rFonts w:ascii="Times New Roman" w:hAnsi="Times New Roman"/>
              </w:rPr>
              <w:t>31.45 mg/g</w:t>
            </w:r>
          </w:p>
        </w:tc>
        <w:tc>
          <w:tcPr>
            <w:tcW w:w="3686" w:type="dxa"/>
            <w:tcBorders>
              <w:top w:val="nil"/>
              <w:left w:val="nil"/>
              <w:bottom w:val="nil"/>
              <w:right w:val="nil"/>
              <w:tl2br w:val="nil"/>
              <w:tr2bl w:val="nil"/>
            </w:tcBorders>
          </w:tcPr>
          <w:p w14:paraId="49009C48" w14:textId="77777777" w:rsidR="00BD7383" w:rsidRDefault="00000000" w:rsidP="0003216F">
            <w:pPr>
              <w:snapToGrid w:val="0"/>
              <w:spacing w:after="0" w:line="240" w:lineRule="auto"/>
              <w:rPr>
                <w:rFonts w:ascii="Times New Roman" w:hAnsi="Times New Roman"/>
              </w:rPr>
            </w:pPr>
            <w:r>
              <w:rPr>
                <w:rFonts w:ascii="Times New Roman" w:hAnsi="Times New Roman"/>
              </w:rPr>
              <w:t>pH, Dye concentration, Adsorbent dosage, Temperature, Contact time.</w:t>
            </w:r>
          </w:p>
        </w:tc>
        <w:tc>
          <w:tcPr>
            <w:tcW w:w="1270" w:type="dxa"/>
            <w:tcBorders>
              <w:top w:val="nil"/>
              <w:left w:val="nil"/>
              <w:bottom w:val="nil"/>
              <w:right w:val="nil"/>
              <w:tl2br w:val="nil"/>
              <w:tr2bl w:val="nil"/>
            </w:tcBorders>
          </w:tcPr>
          <w:p w14:paraId="37784C2D" w14:textId="77777777" w:rsidR="00BD7383" w:rsidRDefault="00000000" w:rsidP="0003216F">
            <w:pPr>
              <w:snapToGrid w:val="0"/>
              <w:spacing w:after="0" w:line="240" w:lineRule="auto"/>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&lt;EndNote&gt;&lt;Cite&gt;&lt;Author&gt;Gündüz&lt;/Author&gt;&lt;Year&gt;2017&lt;/Year&gt;&lt;RecNum&gt;4625&lt;/RecNum&gt;&lt;DisplayText&gt;[12]&lt;/DisplayText&gt;&lt;record&gt;&lt;rec-number&gt;4625&lt;/rec-number&gt;&lt;foreign-keys&gt;&lt;key app="EN" db-id="0x2wvsv00xaztkerzr3xpvrlvsste2s0wdfe" timestamp="1712985824" guid="bd4e787c-e91f-461d-aac1-4aea8864de2d"&gt;4625&lt;/key&gt;&lt;/foreign-keys&gt;&lt;ref-type name="Journal Article"&gt;17&lt;/ref-type&gt;&lt;contributors&gt;&lt;authors&gt;&lt;author&gt;Gündüz, Figen&lt;/author&gt;&lt;author&gt;Bayrak, Bahar&lt;/author&gt;&lt;/authors&gt;&lt;/contributors&gt;&lt;titles&gt;&lt;title&gt;Biosorption of malachite green from an aqueous solution using pomegranate peel: equilibrium modelling, kinetic and thermodynamic studies&lt;/title&gt;&lt;secondary-title&gt;J. Molecul. Liq.&lt;/secondary-title&gt;&lt;/titles&gt;&lt;periodical&gt;&lt;full-title&gt;J. Molecul. Liq.&lt;/full-title&gt;&lt;/periodical&gt;&lt;pages&gt;790-798&lt;/pages&gt;&lt;volume&gt;243&lt;/volume&gt;&lt;dates&gt;&lt;year&gt;2017&lt;/year&gt;&lt;/dates&gt;&lt;isbn&gt;0167-7322&lt;/isbn&gt;&lt;urls&gt;&lt;/urls&gt;&lt;/record&gt;&lt;/Cite&gt;&lt;/EndNote&gt;</w:instrText>
            </w:r>
            <w:r>
              <w:rPr>
                <w:rFonts w:ascii="Times New Roman" w:hAnsi="Times New Roman"/>
                <w:color w:val="0000FF"/>
              </w:rPr>
              <w:fldChar w:fldCharType="separate"/>
            </w:r>
            <w:r>
              <w:rPr>
                <w:rFonts w:ascii="Times New Roman" w:hAnsi="Times New Roman"/>
                <w:color w:val="0000FF"/>
              </w:rPr>
              <w:t>[12]</w:t>
            </w:r>
            <w:r>
              <w:rPr>
                <w:rFonts w:ascii="Times New Roman" w:hAnsi="Times New Roman"/>
                <w:color w:val="0000FF"/>
              </w:rPr>
              <w:fldChar w:fldCharType="end"/>
            </w:r>
          </w:p>
        </w:tc>
      </w:tr>
      <w:tr w:rsidR="00BD7383" w14:paraId="15EAC046" w14:textId="77777777" w:rsidTr="0003216F">
        <w:trPr>
          <w:trHeight w:val="315"/>
        </w:trPr>
        <w:tc>
          <w:tcPr>
            <w:tcW w:w="2552" w:type="dxa"/>
            <w:tcBorders>
              <w:top w:val="nil"/>
              <w:left w:val="nil"/>
              <w:bottom w:val="nil"/>
              <w:right w:val="nil"/>
              <w:tl2br w:val="nil"/>
              <w:tr2bl w:val="nil"/>
            </w:tcBorders>
          </w:tcPr>
          <w:p w14:paraId="689486AA" w14:textId="77777777" w:rsidR="00BD7383" w:rsidRDefault="00000000" w:rsidP="0003216F">
            <w:pPr>
              <w:snapToGrid w:val="0"/>
              <w:spacing w:after="0" w:line="240" w:lineRule="auto"/>
              <w:rPr>
                <w:rFonts w:ascii="Times New Roman" w:hAnsi="Times New Roman"/>
                <w:i/>
                <w:lang w:val="pt-BR"/>
              </w:rPr>
            </w:pPr>
            <w:r>
              <w:rPr>
                <w:rStyle w:val="Emphasis"/>
                <w:rFonts w:ascii="Times New Roman" w:hAnsi="Times New Roman"/>
                <w:color w:val="1F1F1F"/>
                <w:lang w:val="pt-BR"/>
              </w:rPr>
              <w:t xml:space="preserve">Formaldehyde treated Prosopis Cineraria </w:t>
            </w:r>
            <w:r>
              <w:rPr>
                <w:rFonts w:ascii="Times New Roman" w:hAnsi="Times New Roman"/>
                <w:color w:val="1F1F1F"/>
                <w:lang w:val="pt-BR"/>
              </w:rPr>
              <w:t>sawdust</w:t>
            </w:r>
          </w:p>
        </w:tc>
        <w:tc>
          <w:tcPr>
            <w:tcW w:w="1417" w:type="dxa"/>
            <w:tcBorders>
              <w:top w:val="nil"/>
              <w:left w:val="nil"/>
              <w:bottom w:val="nil"/>
              <w:right w:val="nil"/>
              <w:tl2br w:val="nil"/>
              <w:tr2bl w:val="nil"/>
            </w:tcBorders>
          </w:tcPr>
          <w:p w14:paraId="24FF093E" w14:textId="77777777" w:rsidR="00BD7383" w:rsidRDefault="00000000" w:rsidP="0003216F">
            <w:pPr>
              <w:snapToGrid w:val="0"/>
              <w:spacing w:after="0" w:line="240" w:lineRule="auto"/>
              <w:rPr>
                <w:rFonts w:ascii="Times New Roman" w:hAnsi="Times New Roman"/>
              </w:rPr>
            </w:pPr>
            <w:r>
              <w:rPr>
                <w:rFonts w:ascii="Times New Roman" w:hAnsi="Times New Roman"/>
              </w:rPr>
              <w:t>65.80 mg/g</w:t>
            </w:r>
          </w:p>
        </w:tc>
        <w:tc>
          <w:tcPr>
            <w:tcW w:w="3686" w:type="dxa"/>
            <w:tcBorders>
              <w:top w:val="nil"/>
              <w:left w:val="nil"/>
              <w:bottom w:val="nil"/>
              <w:right w:val="nil"/>
              <w:tl2br w:val="nil"/>
              <w:tr2bl w:val="nil"/>
            </w:tcBorders>
          </w:tcPr>
          <w:p w14:paraId="67124F10" w14:textId="77777777" w:rsidR="00BD7383" w:rsidRDefault="00000000" w:rsidP="0003216F">
            <w:pPr>
              <w:snapToGrid w:val="0"/>
              <w:spacing w:after="0" w:line="240" w:lineRule="auto"/>
              <w:rPr>
                <w:rFonts w:ascii="Times New Roman" w:hAnsi="Times New Roman"/>
              </w:rPr>
            </w:pPr>
            <w:r>
              <w:rPr>
                <w:rFonts w:ascii="Times New Roman" w:hAnsi="Times New Roman"/>
              </w:rPr>
              <w:t>Surface change, pH, Dye concentration, Adsorbent dosage, Contact time</w:t>
            </w:r>
          </w:p>
        </w:tc>
        <w:tc>
          <w:tcPr>
            <w:tcW w:w="1270" w:type="dxa"/>
            <w:tcBorders>
              <w:top w:val="nil"/>
              <w:left w:val="nil"/>
              <w:bottom w:val="nil"/>
              <w:right w:val="nil"/>
              <w:tl2br w:val="nil"/>
              <w:tr2bl w:val="nil"/>
            </w:tcBorders>
          </w:tcPr>
          <w:p w14:paraId="446FF3DA" w14:textId="77777777" w:rsidR="00BD7383" w:rsidRDefault="00000000" w:rsidP="0003216F">
            <w:pPr>
              <w:snapToGrid w:val="0"/>
              <w:spacing w:after="0" w:line="240" w:lineRule="auto"/>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&lt;EndNote&gt;&lt;Cite&gt;&lt;Author&gt;Garg&lt;/Author&gt;&lt;Year&gt;2004&lt;/Year&gt;&lt;RecNum&gt;4626&lt;/RecNum&gt;&lt;DisplayText&gt;[13]&lt;/DisplayText&gt;&lt;record&gt;&lt;rec-number&gt;4626&lt;/rec-number&gt;&lt;foreign-keys&gt;&lt;key app="EN" db-id="0x2wvsv00xaztkerzr3xpvrlvsste2s0wdfe" timestamp="1712985878" guid="43d06fca-a5af-4ea3-b945-43364f710e0f"&gt;4626&lt;/key&gt;&lt;/foreign-keys&gt;&lt;ref-type name="Journal Article"&gt;17&lt;/ref-type&gt;&lt;contributors&gt;&lt;authors&gt;&lt;author&gt;Garg, VK&lt;/author&gt;&lt;author&gt;Kumar, Rakesh&lt;/author&gt;&lt;author&gt;Gupta, Renuka&lt;/author&gt;&lt;/authors&gt;&lt;/contributors&gt;&lt;titles&gt;&lt;title&gt;Removal of malachite green dye from aqueous solution by adsorption using agro-industry waste: a case study of Prosopis cineraria&lt;/title&gt;&lt;secondary-title&gt;Dyes Pigments&lt;/secondary-title&gt;&lt;/titles&gt;&lt;periodical&gt;&lt;full-title&gt;Dyes Pigments&lt;/full-title&gt;&lt;/periodical&gt;&lt;pages&gt;1-10&lt;/pages&gt;&lt;volume&gt;62&lt;/volume&gt;&lt;number&gt;1&lt;/number&gt;&lt;dates&gt;&lt;year&gt;2004&lt;/year&gt;&lt;/dates&gt;&lt;isbn&gt;0143-7208&lt;/isbn&gt;&lt;urls&gt;&lt;/urls&gt;&lt;/record&gt;&lt;/Cite&gt;&lt;/EndNote&gt;</w:instrText>
            </w:r>
            <w:r>
              <w:rPr>
                <w:rFonts w:ascii="Times New Roman" w:hAnsi="Times New Roman"/>
                <w:color w:val="0000FF"/>
              </w:rPr>
              <w:fldChar w:fldCharType="separate"/>
            </w:r>
            <w:r>
              <w:rPr>
                <w:rFonts w:ascii="Times New Roman" w:hAnsi="Times New Roman"/>
                <w:color w:val="0000FF"/>
              </w:rPr>
              <w:t>[13]</w:t>
            </w:r>
            <w:r>
              <w:rPr>
                <w:rFonts w:ascii="Times New Roman" w:hAnsi="Times New Roman"/>
                <w:color w:val="0000FF"/>
              </w:rPr>
              <w:fldChar w:fldCharType="end"/>
            </w:r>
          </w:p>
        </w:tc>
      </w:tr>
      <w:tr w:rsidR="00BD7383" w14:paraId="25F86D07" w14:textId="77777777" w:rsidTr="0003216F">
        <w:trPr>
          <w:trHeight w:val="315"/>
        </w:trPr>
        <w:tc>
          <w:tcPr>
            <w:tcW w:w="2552" w:type="dxa"/>
            <w:tcBorders>
              <w:top w:val="nil"/>
              <w:left w:val="nil"/>
              <w:bottom w:val="nil"/>
              <w:right w:val="nil"/>
              <w:tl2br w:val="nil"/>
              <w:tr2bl w:val="nil"/>
            </w:tcBorders>
          </w:tcPr>
          <w:p w14:paraId="69DEFB3E" w14:textId="77777777" w:rsidR="00BD7383" w:rsidRDefault="00000000" w:rsidP="0003216F">
            <w:pPr>
              <w:snapToGrid w:val="0"/>
              <w:spacing w:after="0" w:line="240" w:lineRule="auto"/>
              <w:rPr>
                <w:rFonts w:ascii="Times New Roman" w:hAnsi="Times New Roman"/>
              </w:rPr>
            </w:pPr>
            <w:r>
              <w:rPr>
                <w:rFonts w:ascii="Times New Roman" w:hAnsi="Times New Roman"/>
              </w:rPr>
              <w:t xml:space="preserve">Multi-walled carbon nanotubes functionalized with the carboxylate group </w:t>
            </w:r>
          </w:p>
        </w:tc>
        <w:tc>
          <w:tcPr>
            <w:tcW w:w="1417" w:type="dxa"/>
            <w:tcBorders>
              <w:top w:val="nil"/>
              <w:left w:val="nil"/>
              <w:bottom w:val="nil"/>
              <w:right w:val="nil"/>
              <w:tl2br w:val="nil"/>
              <w:tr2bl w:val="nil"/>
            </w:tcBorders>
          </w:tcPr>
          <w:p w14:paraId="2A59741C" w14:textId="77777777" w:rsidR="00BD7383" w:rsidRDefault="00000000" w:rsidP="0003216F">
            <w:pPr>
              <w:snapToGrid w:val="0"/>
              <w:spacing w:after="0" w:line="240" w:lineRule="auto"/>
              <w:rPr>
                <w:rFonts w:ascii="Times New Roman" w:hAnsi="Times New Roman"/>
              </w:rPr>
            </w:pPr>
            <w:r>
              <w:rPr>
                <w:rFonts w:ascii="Times New Roman" w:hAnsi="Times New Roman"/>
              </w:rPr>
              <w:t>11.73 mg/g</w:t>
            </w:r>
          </w:p>
        </w:tc>
        <w:tc>
          <w:tcPr>
            <w:tcW w:w="3686" w:type="dxa"/>
            <w:tcBorders>
              <w:top w:val="nil"/>
              <w:left w:val="nil"/>
              <w:bottom w:val="nil"/>
              <w:right w:val="nil"/>
              <w:tl2br w:val="nil"/>
              <w:tr2bl w:val="nil"/>
            </w:tcBorders>
          </w:tcPr>
          <w:p w14:paraId="44C80FF1" w14:textId="77777777" w:rsidR="00BD7383" w:rsidRDefault="00000000" w:rsidP="0003216F">
            <w:pPr>
              <w:snapToGrid w:val="0"/>
              <w:spacing w:after="0" w:line="240" w:lineRule="auto"/>
              <w:rPr>
                <w:rFonts w:ascii="Times New Roman" w:hAnsi="Times New Roman"/>
              </w:rPr>
            </w:pPr>
            <w:r>
              <w:rPr>
                <w:rFonts w:ascii="Times New Roman" w:hAnsi="Times New Roman"/>
                <w:color w:val="1F1F1F"/>
              </w:rPr>
              <w:t>Contact time, pH,</w:t>
            </w:r>
            <w:r>
              <w:rPr>
                <w:rFonts w:ascii="Times New Roman" w:hAnsi="Times New Roman"/>
              </w:rPr>
              <w:t xml:space="preserve"> T</w:t>
            </w:r>
            <w:r>
              <w:rPr>
                <w:rFonts w:ascii="Times New Roman" w:hAnsi="Times New Roman"/>
                <w:color w:val="1F1F1F"/>
              </w:rPr>
              <w:t>emperature,</w:t>
            </w:r>
            <w:r>
              <w:rPr>
                <w:rFonts w:ascii="Times New Roman" w:hAnsi="Times New Roman"/>
              </w:rPr>
              <w:t xml:space="preserve"> Dye concentration</w:t>
            </w:r>
          </w:p>
        </w:tc>
        <w:tc>
          <w:tcPr>
            <w:tcW w:w="1270" w:type="dxa"/>
            <w:tcBorders>
              <w:top w:val="nil"/>
              <w:left w:val="nil"/>
              <w:bottom w:val="nil"/>
              <w:right w:val="nil"/>
              <w:tl2br w:val="nil"/>
              <w:tr2bl w:val="nil"/>
            </w:tcBorders>
          </w:tcPr>
          <w:p w14:paraId="4A186C1D" w14:textId="77777777" w:rsidR="00BD7383" w:rsidRDefault="00000000" w:rsidP="0003216F">
            <w:pPr>
              <w:snapToGrid w:val="0"/>
              <w:spacing w:after="0" w:line="240" w:lineRule="auto"/>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&lt;EndNote&gt;&lt;Cite&gt;&lt;Author&gt;Rajabi&lt;/Author&gt;&lt;Year&gt;2016&lt;/Year&gt;&lt;RecNum&gt;4627&lt;/RecNum&gt;&lt;DisplayText&gt;[14]&lt;/DisplayText&gt;&lt;record&gt;&lt;rec-number&gt;4627&lt;/rec-number&gt;&lt;foreign-keys&gt;&lt;key app="EN" db-id="0x2wvsv00xaztkerzr3xpvrlvsste2s0wdfe" timestamp="1712985929" guid="51155f16-1ab5-4209-b8c6-67e3219de80a"&gt;4627&lt;/key&gt;&lt;/foreign-keys&gt;&lt;ref-type name="Journal Article"&gt;17&lt;/ref-type&gt;&lt;contributors&gt;&lt;authors&gt;&lt;author&gt;Rajabi, M&lt;/author&gt;&lt;author&gt;Mirza, B&lt;/author&gt;&lt;author&gt;Mahanpoor, K&lt;/author&gt;&lt;author&gt;Mirjalili, M&lt;/author&gt;&lt;author&gt;Najafi, F&lt;/author&gt;&lt;author&gt;Moradi, O&lt;/author&gt;&lt;author&gt;Sadegh, H&lt;/author&gt;&lt;author&gt;Shahryari-Ghoshekandi, R&lt;/author&gt;&lt;author&gt;Asif, M&lt;/author&gt;&lt;author&gt;Tyagi, I&lt;/author&gt;&lt;/authors&gt;&lt;/contributors&gt;&lt;titles&gt;&lt;title&gt;Adsorption of malachite green from aqueous solution by carboxylate group functionalized multi-walled carbon nanotubes: determination of equilibrium and kinetics parameters&lt;/title&gt;&lt;secondary-title&gt;J. Ind. Eng. Chem.&lt;/secondary-title&gt;&lt;/titles&gt;&lt;periodical&gt;&lt;full-title&gt;J. Ind. Eng. Chem.&lt;/full-title&gt;&lt;/periodical&gt;&lt;pages&gt;130-138&lt;/pages&gt;&lt;volume&gt;34&lt;/volume&gt;&lt;dates&gt;&lt;year&gt;2016&lt;/year&gt;&lt;/dates&gt;&lt;isbn&gt;1226-086X&lt;/isbn&gt;&lt;urls&gt;&lt;/urls&gt;&lt;/record&gt;&lt;/Cite&gt;&lt;/EndNote&gt;</w:instrText>
            </w:r>
            <w:r>
              <w:rPr>
                <w:rFonts w:ascii="Times New Roman" w:hAnsi="Times New Roman"/>
                <w:color w:val="0000FF"/>
              </w:rPr>
              <w:fldChar w:fldCharType="separate"/>
            </w:r>
            <w:r>
              <w:rPr>
                <w:rFonts w:ascii="Times New Roman" w:hAnsi="Times New Roman"/>
                <w:color w:val="0000FF"/>
              </w:rPr>
              <w:t>[14]</w:t>
            </w:r>
            <w:r>
              <w:rPr>
                <w:rFonts w:ascii="Times New Roman" w:hAnsi="Times New Roman"/>
                <w:color w:val="0000FF"/>
              </w:rPr>
              <w:fldChar w:fldCharType="end"/>
            </w:r>
          </w:p>
        </w:tc>
      </w:tr>
      <w:tr w:rsidR="00BD7383" w14:paraId="4377EF90" w14:textId="77777777" w:rsidTr="0003216F">
        <w:trPr>
          <w:trHeight w:val="315"/>
        </w:trPr>
        <w:tc>
          <w:tcPr>
            <w:tcW w:w="2552" w:type="dxa"/>
            <w:tcBorders>
              <w:top w:val="nil"/>
              <w:left w:val="nil"/>
              <w:bottom w:val="nil"/>
              <w:right w:val="nil"/>
              <w:tl2br w:val="nil"/>
              <w:tr2bl w:val="nil"/>
            </w:tcBorders>
          </w:tcPr>
          <w:p w14:paraId="467B6CE0" w14:textId="77777777" w:rsidR="00BD7383" w:rsidRDefault="00000000" w:rsidP="0003216F">
            <w:pPr>
              <w:snapToGrid w:val="0"/>
              <w:spacing w:after="0" w:line="240" w:lineRule="auto"/>
              <w:rPr>
                <w:rFonts w:ascii="Times New Roman" w:hAnsi="Times New Roman"/>
              </w:rPr>
            </w:pPr>
            <w:r>
              <w:rPr>
                <w:rFonts w:ascii="Times New Roman" w:hAnsi="Times New Roman"/>
                <w:color w:val="000000"/>
                <w:shd w:val="clear" w:color="auto" w:fill="FFFFFF"/>
              </w:rPr>
              <w:t>Fig (</w:t>
            </w:r>
            <w:r>
              <w:rPr>
                <w:rFonts w:ascii="Times New Roman" w:hAnsi="Times New Roman"/>
                <w:i/>
                <w:color w:val="000000"/>
                <w:shd w:val="clear" w:color="auto" w:fill="FFFFFF"/>
              </w:rPr>
              <w:t xml:space="preserve">Ficus </w:t>
            </w:r>
            <w:proofErr w:type="spellStart"/>
            <w:r>
              <w:rPr>
                <w:rFonts w:ascii="Times New Roman" w:hAnsi="Times New Roman"/>
                <w:i/>
                <w:color w:val="000000"/>
                <w:shd w:val="clear" w:color="auto" w:fill="FFFFFF"/>
              </w:rPr>
              <w:t>cartia</w:t>
            </w:r>
            <w:proofErr w:type="spellEnd"/>
            <w:r>
              <w:rPr>
                <w:rFonts w:ascii="Times New Roman" w:hAnsi="Times New Roman"/>
                <w:color w:val="000000"/>
                <w:shd w:val="clear" w:color="auto" w:fill="FFFFFF"/>
              </w:rPr>
              <w:t>)</w:t>
            </w:r>
          </w:p>
        </w:tc>
        <w:tc>
          <w:tcPr>
            <w:tcW w:w="1417" w:type="dxa"/>
            <w:tcBorders>
              <w:top w:val="nil"/>
              <w:left w:val="nil"/>
              <w:bottom w:val="nil"/>
              <w:right w:val="nil"/>
              <w:tl2br w:val="nil"/>
              <w:tr2bl w:val="nil"/>
            </w:tcBorders>
          </w:tcPr>
          <w:p w14:paraId="080CA438" w14:textId="77777777" w:rsidR="00BD7383" w:rsidRDefault="00000000" w:rsidP="0003216F">
            <w:pPr>
              <w:snapToGrid w:val="0"/>
              <w:spacing w:after="0" w:line="240" w:lineRule="auto"/>
              <w:rPr>
                <w:rFonts w:ascii="Times New Roman" w:hAnsi="Times New Roman"/>
              </w:rPr>
            </w:pPr>
            <w:r>
              <w:rPr>
                <w:rFonts w:ascii="Times New Roman" w:hAnsi="Times New Roman"/>
                <w:color w:val="000000"/>
                <w:shd w:val="clear" w:color="auto" w:fill="FFFFFF"/>
              </w:rPr>
              <w:t>51.79 mg/g</w:t>
            </w:r>
          </w:p>
        </w:tc>
        <w:tc>
          <w:tcPr>
            <w:tcW w:w="3686" w:type="dxa"/>
            <w:tcBorders>
              <w:top w:val="nil"/>
              <w:left w:val="nil"/>
              <w:bottom w:val="nil"/>
              <w:right w:val="nil"/>
              <w:tl2br w:val="nil"/>
              <w:tr2bl w:val="nil"/>
            </w:tcBorders>
          </w:tcPr>
          <w:p w14:paraId="6804BFD3" w14:textId="77777777" w:rsidR="00BD7383" w:rsidRDefault="00000000" w:rsidP="0003216F">
            <w:pPr>
              <w:snapToGrid w:val="0"/>
              <w:spacing w:after="0" w:line="240" w:lineRule="auto"/>
              <w:rPr>
                <w:rFonts w:ascii="Times New Roman" w:hAnsi="Times New Roman"/>
              </w:rPr>
            </w:pPr>
            <w:r>
              <w:rPr>
                <w:rFonts w:ascii="Times New Roman" w:hAnsi="Times New Roman"/>
                <w:color w:val="000000"/>
                <w:shd w:val="clear" w:color="auto" w:fill="FFFFFF"/>
              </w:rPr>
              <w:t>Dye concentration, Adsorbent dosages, pH, Contact time, Temperature</w:t>
            </w:r>
          </w:p>
        </w:tc>
        <w:tc>
          <w:tcPr>
            <w:tcW w:w="1270" w:type="dxa"/>
            <w:tcBorders>
              <w:top w:val="nil"/>
              <w:left w:val="nil"/>
              <w:bottom w:val="nil"/>
              <w:right w:val="nil"/>
              <w:tl2br w:val="nil"/>
              <w:tr2bl w:val="nil"/>
            </w:tcBorders>
          </w:tcPr>
          <w:p w14:paraId="193FE66F" w14:textId="77777777" w:rsidR="00BD7383" w:rsidRDefault="00000000" w:rsidP="0003216F">
            <w:pPr>
              <w:snapToGrid w:val="0"/>
              <w:spacing w:after="0" w:line="240" w:lineRule="auto"/>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&lt;EndNote&gt;&lt;Cite&gt;&lt;Author&gt;Gebreslassie&lt;/Author&gt;&lt;Year&gt;2020&lt;/Year&gt;&lt;RecNum&gt;4628&lt;/RecNum&gt;&lt;DisplayText&gt;[15]&lt;/DisplayText&gt;&lt;record&gt;&lt;rec-number&gt;4628&lt;/rec-number&gt;&lt;foreign-keys&gt;&lt;key app="EN" db-id="0x2wvsv00xaztkerzr3xpvrlvsste2s0wdfe" timestamp="1712985987" guid="19814e2c-c704-4c31-96ce-dfe14fac2c0c"&gt;4628&lt;/key&gt;&lt;/foreign-keys&gt;&lt;ref-type name="Journal Article"&gt;17&lt;/ref-type&gt;&lt;contributors&gt;&lt;authors&gt;&lt;author&gt;Gebreslassie, Yemane Tadesse&lt;/author&gt;&lt;/authors&gt;&lt;/contributors&gt;&lt;titles&gt;&lt;title&gt;Equilibrium, kinetics, and thermodynamic studies of malachite green adsorption onto Fig (Ficus cartia) leaves&lt;/title&gt;&lt;secondary-title&gt;J. Analy. Methods Chem.&lt;/secondary-title&gt;&lt;/titles&gt;&lt;periodical&gt;&lt;full-title&gt;J. Analy. Methods Chem.&lt;/full-title&gt;&lt;/periodical&gt;&lt;volume&gt;2020&lt;/volume&gt;&lt;dates&gt;&lt;year&gt;2020&lt;/year&gt;&lt;/dates&gt;&lt;isbn&gt;2090-8865&lt;/isbn&gt;&lt;urls&gt;&lt;/urls&gt;&lt;/record&gt;&lt;/Cite&gt;&lt;/EndNote&gt;</w:instrText>
            </w:r>
            <w:r>
              <w:rPr>
                <w:rFonts w:ascii="Times New Roman" w:hAnsi="Times New Roman"/>
                <w:color w:val="0000FF"/>
              </w:rPr>
              <w:fldChar w:fldCharType="separate"/>
            </w:r>
            <w:r>
              <w:rPr>
                <w:rFonts w:ascii="Times New Roman" w:hAnsi="Times New Roman"/>
                <w:color w:val="0000FF"/>
              </w:rPr>
              <w:t>[15]</w:t>
            </w:r>
            <w:r>
              <w:rPr>
                <w:rFonts w:ascii="Times New Roman" w:hAnsi="Times New Roman"/>
                <w:color w:val="0000FF"/>
              </w:rPr>
              <w:fldChar w:fldCharType="end"/>
            </w:r>
          </w:p>
        </w:tc>
      </w:tr>
      <w:tr w:rsidR="00BD7383" w14:paraId="043E41E3" w14:textId="77777777" w:rsidTr="0003216F">
        <w:trPr>
          <w:trHeight w:val="315"/>
        </w:trPr>
        <w:tc>
          <w:tcPr>
            <w:tcW w:w="2552" w:type="dxa"/>
            <w:tcBorders>
              <w:top w:val="nil"/>
              <w:left w:val="nil"/>
              <w:bottom w:val="nil"/>
              <w:right w:val="nil"/>
              <w:tl2br w:val="nil"/>
              <w:tr2bl w:val="nil"/>
            </w:tcBorders>
          </w:tcPr>
          <w:p w14:paraId="6B2E4CD7" w14:textId="77777777" w:rsidR="00BD7383" w:rsidRDefault="00000000" w:rsidP="0003216F">
            <w:pPr>
              <w:snapToGrid w:val="0"/>
              <w:spacing w:after="0" w:line="240" w:lineRule="auto"/>
              <w:rPr>
                <w:rFonts w:ascii="Times New Roman" w:hAnsi="Times New Roman"/>
              </w:rPr>
            </w:pPr>
            <w:r>
              <w:rPr>
                <w:rFonts w:ascii="Times New Roman" w:hAnsi="Times New Roman"/>
              </w:rPr>
              <w:t>Pumice stone</w:t>
            </w:r>
          </w:p>
        </w:tc>
        <w:tc>
          <w:tcPr>
            <w:tcW w:w="1417" w:type="dxa"/>
            <w:tcBorders>
              <w:top w:val="nil"/>
              <w:left w:val="nil"/>
              <w:bottom w:val="nil"/>
              <w:right w:val="nil"/>
              <w:tl2br w:val="nil"/>
              <w:tr2bl w:val="nil"/>
            </w:tcBorders>
          </w:tcPr>
          <w:p w14:paraId="6A46B2AA" w14:textId="77777777" w:rsidR="00BD7383" w:rsidRDefault="00000000" w:rsidP="0003216F">
            <w:pPr>
              <w:snapToGrid w:val="0"/>
              <w:spacing w:after="0" w:line="240" w:lineRule="auto"/>
              <w:rPr>
                <w:rFonts w:ascii="Times New Roman" w:hAnsi="Times New Roman"/>
              </w:rPr>
            </w:pPr>
            <w:r>
              <w:rPr>
                <w:rFonts w:ascii="Times New Roman" w:hAnsi="Times New Roman"/>
                <w:color w:val="333333"/>
              </w:rPr>
              <w:t>22.57 mg/g</w:t>
            </w:r>
          </w:p>
        </w:tc>
        <w:tc>
          <w:tcPr>
            <w:tcW w:w="3686" w:type="dxa"/>
            <w:tcBorders>
              <w:top w:val="nil"/>
              <w:left w:val="nil"/>
              <w:bottom w:val="nil"/>
              <w:right w:val="nil"/>
              <w:tl2br w:val="nil"/>
              <w:tr2bl w:val="nil"/>
            </w:tcBorders>
          </w:tcPr>
          <w:p w14:paraId="35410697" w14:textId="77777777" w:rsidR="00BD7383" w:rsidRDefault="00000000" w:rsidP="0003216F">
            <w:pPr>
              <w:snapToGrid w:val="0"/>
              <w:spacing w:after="0" w:line="240" w:lineRule="auto"/>
              <w:rPr>
                <w:rFonts w:ascii="Times New Roman" w:hAnsi="Times New Roman"/>
              </w:rPr>
            </w:pPr>
            <w:r>
              <w:rPr>
                <w:rFonts w:ascii="Times New Roman" w:hAnsi="Times New Roman"/>
              </w:rPr>
              <w:t>Contact time, Particle size, Absorbent dosages, pH, Dye concentration, Temperature</w:t>
            </w:r>
          </w:p>
        </w:tc>
        <w:tc>
          <w:tcPr>
            <w:tcW w:w="1270" w:type="dxa"/>
            <w:tcBorders>
              <w:top w:val="nil"/>
              <w:left w:val="nil"/>
              <w:bottom w:val="nil"/>
              <w:right w:val="nil"/>
              <w:tl2br w:val="nil"/>
              <w:tr2bl w:val="nil"/>
            </w:tcBorders>
          </w:tcPr>
          <w:p w14:paraId="1AA698BD" w14:textId="77777777" w:rsidR="00BD7383" w:rsidRDefault="00000000" w:rsidP="0003216F">
            <w:pPr>
              <w:snapToGrid w:val="0"/>
              <w:spacing w:after="0" w:line="240" w:lineRule="auto"/>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&lt;EndNote&gt;&lt;Cite&gt;&lt;Author&gt;Shayesteh&lt;/Author&gt;&lt;Year&gt;2016&lt;/Year&gt;&lt;RecNum&gt;4629&lt;/RecNum&gt;&lt;DisplayText&gt;[16]&lt;/DisplayText&gt;&lt;record&gt;&lt;rec-number&gt;4629&lt;/rec-number&gt;&lt;foreign-keys&gt;&lt;key app="EN" db-id="0x2wvsv00xaztkerzr3xpvrlvsste2s0wdfe" timestamp="1712986050" guid="9990da52-c4a0-42aa-9733-7a78b2cfe359"&gt;4629&lt;/key&gt;&lt;/foreign-keys&gt;&lt;ref-type name="Journal Article"&gt;17&lt;/ref-type&gt;&lt;contributors&gt;&lt;authors&gt;&lt;author&gt;Shayesteh, Hadi&lt;/author&gt;&lt;author&gt;Rahbar-Kelishami, Ahmad&lt;/author&gt;&lt;author&gt;Norouzbeigi, Reza&lt;/author&gt;&lt;/authors&gt;&lt;/contributors&gt;&lt;titles&gt;&lt;title&gt;Adsorption of malachite green and crystal violet cationic dyes from aqueous solution using pumice stone as a low-cost adsorbent: kinetic, equilibrium, and thermodynamic studies&lt;/title&gt;&lt;secondary-title&gt;Desal. Water Treatment&lt;/secondary-title&gt;&lt;/titles&gt;&lt;periodical&gt;&lt;full-title&gt;Desal. Water Treatment&lt;/full-title&gt;&lt;/periodical&gt;&lt;pages&gt;12822-12831&lt;/pages&gt;&lt;volume&gt;57&lt;/volume&gt;&lt;number&gt;27&lt;/number&gt;&lt;dates&gt;&lt;year&gt;2016&lt;/year&gt;&lt;/dates&gt;&lt;isbn&gt;1944-3994&lt;/isbn&gt;&lt;urls&gt;&lt;/urls&gt;&lt;/record&gt;&lt;/Cite&gt;&lt;/EndNote&gt;</w:instrText>
            </w:r>
            <w:r>
              <w:rPr>
                <w:rFonts w:ascii="Times New Roman" w:hAnsi="Times New Roman"/>
                <w:color w:val="0000FF"/>
              </w:rPr>
              <w:fldChar w:fldCharType="separate"/>
            </w:r>
            <w:r>
              <w:rPr>
                <w:rFonts w:ascii="Times New Roman" w:hAnsi="Times New Roman"/>
                <w:color w:val="0000FF"/>
              </w:rPr>
              <w:t>[16]</w:t>
            </w:r>
            <w:r>
              <w:rPr>
                <w:rFonts w:ascii="Times New Roman" w:hAnsi="Times New Roman"/>
                <w:color w:val="0000FF"/>
              </w:rPr>
              <w:fldChar w:fldCharType="end"/>
            </w:r>
          </w:p>
        </w:tc>
      </w:tr>
      <w:tr w:rsidR="00BD7383" w14:paraId="436040BB" w14:textId="77777777" w:rsidTr="0003216F">
        <w:trPr>
          <w:trHeight w:val="315"/>
        </w:trPr>
        <w:tc>
          <w:tcPr>
            <w:tcW w:w="2552" w:type="dxa"/>
            <w:tcBorders>
              <w:top w:val="nil"/>
              <w:left w:val="nil"/>
              <w:bottom w:val="nil"/>
              <w:right w:val="nil"/>
              <w:tl2br w:val="nil"/>
              <w:tr2bl w:val="nil"/>
            </w:tcBorders>
          </w:tcPr>
          <w:p w14:paraId="63724FEB" w14:textId="77777777" w:rsidR="00BD7383" w:rsidRDefault="00000000" w:rsidP="0003216F">
            <w:pPr>
              <w:snapToGrid w:val="0"/>
              <w:spacing w:after="0" w:line="240" w:lineRule="auto"/>
              <w:rPr>
                <w:rFonts w:ascii="Times New Roman" w:hAnsi="Times New Roman"/>
              </w:rPr>
            </w:pPr>
            <w:r>
              <w:rPr>
                <w:rFonts w:ascii="Times New Roman" w:hAnsi="Times New Roman"/>
              </w:rPr>
              <w:t>Microwave-assisted synthesis of graphene as adsorbent.</w:t>
            </w:r>
          </w:p>
        </w:tc>
        <w:tc>
          <w:tcPr>
            <w:tcW w:w="1417" w:type="dxa"/>
            <w:tcBorders>
              <w:top w:val="nil"/>
              <w:left w:val="nil"/>
              <w:bottom w:val="nil"/>
              <w:right w:val="nil"/>
              <w:tl2br w:val="nil"/>
              <w:tr2bl w:val="nil"/>
            </w:tcBorders>
          </w:tcPr>
          <w:p w14:paraId="3370DBE3" w14:textId="77777777" w:rsidR="00BD7383" w:rsidRDefault="00000000" w:rsidP="0003216F">
            <w:pPr>
              <w:snapToGrid w:val="0"/>
              <w:spacing w:after="0" w:line="240" w:lineRule="auto"/>
              <w:rPr>
                <w:rFonts w:ascii="Times New Roman" w:hAnsi="Times New Roman"/>
              </w:rPr>
            </w:pPr>
            <w:r>
              <w:rPr>
                <w:rFonts w:ascii="Times New Roman" w:hAnsi="Times New Roman"/>
                <w:color w:val="333333"/>
              </w:rPr>
              <w:t>23.8095 mg/g</w:t>
            </w:r>
          </w:p>
        </w:tc>
        <w:tc>
          <w:tcPr>
            <w:tcW w:w="3686" w:type="dxa"/>
            <w:tcBorders>
              <w:top w:val="nil"/>
              <w:left w:val="nil"/>
              <w:bottom w:val="nil"/>
              <w:right w:val="nil"/>
              <w:tl2br w:val="nil"/>
              <w:tr2bl w:val="nil"/>
            </w:tcBorders>
          </w:tcPr>
          <w:p w14:paraId="0BB0746D" w14:textId="77777777" w:rsidR="00BD7383" w:rsidRDefault="00000000" w:rsidP="0003216F">
            <w:pPr>
              <w:snapToGrid w:val="0"/>
              <w:spacing w:after="0" w:line="240" w:lineRule="auto"/>
              <w:rPr>
                <w:rFonts w:ascii="Times New Roman" w:hAnsi="Times New Roman"/>
              </w:rPr>
            </w:pPr>
            <w:r>
              <w:rPr>
                <w:rFonts w:ascii="Times New Roman" w:hAnsi="Times New Roman"/>
              </w:rPr>
              <w:t>pH, Dye concentration, Contact time,</w:t>
            </w:r>
          </w:p>
        </w:tc>
        <w:tc>
          <w:tcPr>
            <w:tcW w:w="1270" w:type="dxa"/>
            <w:tcBorders>
              <w:top w:val="nil"/>
              <w:left w:val="nil"/>
              <w:bottom w:val="nil"/>
              <w:right w:val="nil"/>
              <w:tl2br w:val="nil"/>
              <w:tr2bl w:val="nil"/>
            </w:tcBorders>
          </w:tcPr>
          <w:p w14:paraId="0B6F2EBA" w14:textId="77777777" w:rsidR="00BD7383" w:rsidRDefault="00000000" w:rsidP="0003216F">
            <w:pPr>
              <w:snapToGrid w:val="0"/>
              <w:spacing w:after="0" w:line="240" w:lineRule="auto"/>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&lt;EndNote&gt;&lt;Cite&gt;&lt;Author&gt;Rathour&lt;/Author&gt;&lt;Year&gt;2016&lt;/Year&gt;&lt;RecNum&gt;4630&lt;/RecNum&gt;&lt;DisplayText&gt;[17]&lt;/DisplayText&gt;&lt;record&gt;&lt;rec-number&gt;4630&lt;/rec-number&gt;&lt;foreign-keys&gt;&lt;key app="EN" db-id="0x2wvsv00xaztkerzr3xpvrlvsste2s0wdfe" timestamp="1712986099" guid="57e372fb-68da-4024-9763-6dadd558551f"&gt;4630&lt;/key&gt;&lt;/foreign-keys&gt;&lt;ref-type name="Journal Article"&gt;17&lt;/ref-type&gt;&lt;contributors&gt;&lt;authors&gt;&lt;author&gt;Rathour, Rishi&lt;/author&gt;&lt;author&gt;Das, Papita&lt;/author&gt;&lt;author&gt;Aikat, Kaustav&lt;/author&gt;&lt;/authors&gt;&lt;/contributors&gt;&lt;titles&gt;&lt;title&gt;Microwave-assisted synthesis of graphene and its application for adsorptive removal of malachite green: thermodynamics, kinetics and isotherm study&lt;/title&gt;&lt;secondary-title&gt;Desal. Water Treatment&lt;/secondary-title&gt;&lt;/titles&gt;&lt;periodical&gt;&lt;full-title&gt;Desal. Water Treatment&lt;/full-title&gt;&lt;/periodical&gt;&lt;pages&gt;7312-7321&lt;/pages&gt;&lt;volume&gt;57&lt;/volume&gt;&lt;number&gt;16&lt;/number&gt;&lt;dates&gt;&lt;year&gt;2016&lt;/year&gt;&lt;/dates&gt;&lt;isbn&gt;1944-3994&lt;/isbn&gt;&lt;urls&gt;&lt;/urls&gt;&lt;/record&gt;&lt;/Cite&gt;&lt;/EndNote&gt;</w:instrText>
            </w:r>
            <w:r>
              <w:rPr>
                <w:rFonts w:ascii="Times New Roman" w:hAnsi="Times New Roman"/>
                <w:color w:val="0000FF"/>
              </w:rPr>
              <w:fldChar w:fldCharType="separate"/>
            </w:r>
            <w:r>
              <w:rPr>
                <w:rFonts w:ascii="Times New Roman" w:hAnsi="Times New Roman"/>
                <w:color w:val="0000FF"/>
              </w:rPr>
              <w:t>[17]</w:t>
            </w:r>
            <w:r>
              <w:rPr>
                <w:rFonts w:ascii="Times New Roman" w:hAnsi="Times New Roman"/>
                <w:color w:val="0000FF"/>
              </w:rPr>
              <w:fldChar w:fldCharType="end"/>
            </w:r>
          </w:p>
        </w:tc>
      </w:tr>
      <w:tr w:rsidR="00BD7383" w14:paraId="40F56280" w14:textId="77777777" w:rsidTr="0003216F">
        <w:trPr>
          <w:trHeight w:val="315"/>
        </w:trPr>
        <w:tc>
          <w:tcPr>
            <w:tcW w:w="2552" w:type="dxa"/>
            <w:tcBorders>
              <w:top w:val="nil"/>
              <w:left w:val="nil"/>
              <w:bottom w:val="nil"/>
              <w:right w:val="nil"/>
              <w:tl2br w:val="nil"/>
              <w:tr2bl w:val="nil"/>
            </w:tcBorders>
          </w:tcPr>
          <w:p w14:paraId="5EA01163" w14:textId="77777777" w:rsidR="00BD7383" w:rsidRDefault="00000000" w:rsidP="0003216F">
            <w:pPr>
              <w:snapToGrid w:val="0"/>
              <w:spacing w:after="0" w:line="240" w:lineRule="auto"/>
              <w:rPr>
                <w:rFonts w:ascii="Times New Roman" w:hAnsi="Times New Roman"/>
              </w:rPr>
            </w:pPr>
            <w:r>
              <w:rPr>
                <w:rFonts w:ascii="Times New Roman" w:hAnsi="Times New Roman"/>
                <w:color w:val="131314"/>
                <w:shd w:val="clear" w:color="auto" w:fill="FFFFFF"/>
              </w:rPr>
              <w:t>lotus leaf as an adsorbent</w:t>
            </w:r>
          </w:p>
        </w:tc>
        <w:tc>
          <w:tcPr>
            <w:tcW w:w="1417" w:type="dxa"/>
            <w:tcBorders>
              <w:top w:val="nil"/>
              <w:left w:val="nil"/>
              <w:bottom w:val="nil"/>
              <w:right w:val="nil"/>
              <w:tl2br w:val="nil"/>
              <w:tr2bl w:val="nil"/>
            </w:tcBorders>
          </w:tcPr>
          <w:p w14:paraId="3DC7D96F" w14:textId="77777777" w:rsidR="00BD7383" w:rsidRDefault="00000000" w:rsidP="0003216F">
            <w:pPr>
              <w:snapToGrid w:val="0"/>
              <w:spacing w:after="0" w:line="240" w:lineRule="auto"/>
              <w:rPr>
                <w:rFonts w:ascii="Times New Roman" w:hAnsi="Times New Roman"/>
              </w:rPr>
            </w:pPr>
            <w:r>
              <w:rPr>
                <w:rFonts w:ascii="Times New Roman" w:hAnsi="Times New Roman"/>
                <w:color w:val="131314"/>
                <w:shd w:val="clear" w:color="auto" w:fill="FFFFFF"/>
              </w:rPr>
              <w:t>125.3 mg/g </w:t>
            </w:r>
          </w:p>
        </w:tc>
        <w:tc>
          <w:tcPr>
            <w:tcW w:w="3686" w:type="dxa"/>
            <w:tcBorders>
              <w:top w:val="nil"/>
              <w:left w:val="nil"/>
              <w:bottom w:val="nil"/>
              <w:right w:val="nil"/>
              <w:tl2br w:val="nil"/>
              <w:tr2bl w:val="nil"/>
            </w:tcBorders>
          </w:tcPr>
          <w:p w14:paraId="36ED4254" w14:textId="77777777" w:rsidR="00BD7383" w:rsidRDefault="00000000" w:rsidP="0003216F">
            <w:pPr>
              <w:snapToGrid w:val="0"/>
              <w:spacing w:after="0" w:line="240" w:lineRule="auto"/>
              <w:rPr>
                <w:rFonts w:ascii="Times New Roman" w:hAnsi="Times New Roman"/>
              </w:rPr>
            </w:pPr>
            <w:r>
              <w:rPr>
                <w:rFonts w:ascii="Times New Roman" w:hAnsi="Times New Roman"/>
                <w:color w:val="131314"/>
                <w:shd w:val="clear" w:color="auto" w:fill="FFFFFF"/>
              </w:rPr>
              <w:t>Contact time, Adsorbent dosages, Dye concentration, pH, salt ionic strength, Temperature.</w:t>
            </w:r>
          </w:p>
        </w:tc>
        <w:tc>
          <w:tcPr>
            <w:tcW w:w="1270" w:type="dxa"/>
            <w:tcBorders>
              <w:top w:val="nil"/>
              <w:left w:val="nil"/>
              <w:bottom w:val="nil"/>
              <w:right w:val="nil"/>
              <w:tl2br w:val="nil"/>
              <w:tr2bl w:val="nil"/>
            </w:tcBorders>
          </w:tcPr>
          <w:p w14:paraId="47166389" w14:textId="77777777" w:rsidR="00BD7383" w:rsidRDefault="00000000" w:rsidP="0003216F">
            <w:pPr>
              <w:snapToGrid w:val="0"/>
              <w:spacing w:after="0" w:line="240" w:lineRule="auto"/>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&lt;EndNote&gt;&lt;Cite&gt;&lt;Author&gt;Han&lt;/Author&gt;&lt;Year&gt;2014&lt;/Year&gt;&lt;RecNum&gt;4631&lt;/RecNum&gt;&lt;DisplayText&gt;[18]&lt;/DisplayText&gt;&lt;record&gt;&lt;rec-number&gt;4631&lt;/rec-number&gt;&lt;foreign-keys&gt;&lt;key app="EN" db-id="0x2wvsv00xaztkerzr3xpvrlvsste2s0wdfe" timestamp="1712986159" guid="d4c37b98-099f-4ff8-b037-0eb5ff5ccd97"&gt;4631&lt;/key&gt;&lt;/foreign-keys&gt;&lt;ref-type name="Journal Article"&gt;17&lt;/ref-type&gt;&lt;contributors&gt;&lt;authors&gt;&lt;author&gt;Han, Xiuli&lt;/author&gt;&lt;author&gt;Yuan, Jinyi&lt;/author&gt;&lt;author&gt;Ma, Xiaojian&lt;/author&gt;&lt;/authors&gt;&lt;/contributors&gt;&lt;titles&gt;&lt;title&gt;Adsorption of malachite green from aqueous solutions onto lotus leaf: equilibrium, kinetic, and thermodynamic studies&lt;/title&gt;&lt;secondary-title&gt;Desal. Water Treatment&lt;/secondary-title&gt;&lt;/titles&gt;&lt;periodical&gt;&lt;full-title&gt;Desal. Water Treatment&lt;/full-title&gt;&lt;/periodical&gt;&lt;pages&gt;5563-5574&lt;/pages&gt;&lt;volume&gt;52&lt;/volume&gt;&lt;number&gt;28-30&lt;/number&gt;&lt;dates&gt;&lt;year&gt;2014&lt;/year&gt;&lt;/dates&gt;&lt;isbn&gt;1944-3994&lt;/isbn&gt;&lt;urls&gt;&lt;/urls&gt;&lt;/record&gt;&lt;/Cite&gt;&lt;/EndNote&gt;</w:instrText>
            </w:r>
            <w:r>
              <w:rPr>
                <w:rFonts w:ascii="Times New Roman" w:hAnsi="Times New Roman"/>
                <w:color w:val="0000FF"/>
              </w:rPr>
              <w:fldChar w:fldCharType="separate"/>
            </w:r>
            <w:r>
              <w:rPr>
                <w:rFonts w:ascii="Times New Roman" w:hAnsi="Times New Roman"/>
                <w:color w:val="0000FF"/>
              </w:rPr>
              <w:t>[18]</w:t>
            </w:r>
            <w:r>
              <w:rPr>
                <w:rFonts w:ascii="Times New Roman" w:hAnsi="Times New Roman"/>
                <w:color w:val="0000FF"/>
              </w:rPr>
              <w:fldChar w:fldCharType="end"/>
            </w:r>
          </w:p>
        </w:tc>
      </w:tr>
      <w:tr w:rsidR="00BD7383" w14:paraId="58540D13" w14:textId="77777777" w:rsidTr="0003216F">
        <w:trPr>
          <w:trHeight w:val="315"/>
        </w:trPr>
        <w:tc>
          <w:tcPr>
            <w:tcW w:w="2552" w:type="dxa"/>
            <w:tcBorders>
              <w:top w:val="nil"/>
              <w:left w:val="nil"/>
              <w:bottom w:val="single" w:sz="4" w:space="0" w:color="auto"/>
              <w:right w:val="nil"/>
              <w:tl2br w:val="nil"/>
              <w:tr2bl w:val="nil"/>
            </w:tcBorders>
          </w:tcPr>
          <w:p w14:paraId="20D09946" w14:textId="77777777" w:rsidR="00BD7383" w:rsidRDefault="00000000" w:rsidP="0003216F">
            <w:pPr>
              <w:snapToGrid w:val="0"/>
              <w:spacing w:after="0" w:line="240" w:lineRule="auto"/>
              <w:rPr>
                <w:rFonts w:ascii="Times New Roman" w:hAnsi="Times New Roman"/>
              </w:rPr>
            </w:pPr>
            <w:r>
              <w:rPr>
                <w:rFonts w:ascii="Times New Roman" w:hAnsi="Times New Roman"/>
              </w:rPr>
              <w:t>Rattan sawdust</w:t>
            </w:r>
          </w:p>
        </w:tc>
        <w:tc>
          <w:tcPr>
            <w:tcW w:w="1417" w:type="dxa"/>
            <w:tcBorders>
              <w:top w:val="nil"/>
              <w:left w:val="nil"/>
              <w:bottom w:val="single" w:sz="4" w:space="0" w:color="auto"/>
              <w:right w:val="nil"/>
              <w:tl2br w:val="nil"/>
              <w:tr2bl w:val="nil"/>
            </w:tcBorders>
          </w:tcPr>
          <w:p w14:paraId="7D94E4EC" w14:textId="77777777" w:rsidR="00BD7383" w:rsidRDefault="00000000" w:rsidP="0003216F">
            <w:pPr>
              <w:snapToGrid w:val="0"/>
              <w:spacing w:after="0" w:line="240" w:lineRule="auto"/>
              <w:rPr>
                <w:rFonts w:ascii="Times New Roman" w:hAnsi="Times New Roman"/>
              </w:rPr>
            </w:pPr>
            <w:r>
              <w:rPr>
                <w:rFonts w:ascii="Times New Roman" w:hAnsi="Times New Roman"/>
                <w:color w:val="131314"/>
                <w:shd w:val="clear" w:color="auto" w:fill="FFFFFF"/>
              </w:rPr>
              <w:t>62.71 mg/g</w:t>
            </w:r>
          </w:p>
        </w:tc>
        <w:tc>
          <w:tcPr>
            <w:tcW w:w="3686" w:type="dxa"/>
            <w:tcBorders>
              <w:top w:val="nil"/>
              <w:left w:val="nil"/>
              <w:bottom w:val="single" w:sz="4" w:space="0" w:color="auto"/>
              <w:right w:val="nil"/>
              <w:tl2br w:val="nil"/>
              <w:tr2bl w:val="nil"/>
            </w:tcBorders>
          </w:tcPr>
          <w:p w14:paraId="541F3169" w14:textId="77777777" w:rsidR="00BD7383" w:rsidRDefault="00000000" w:rsidP="0003216F">
            <w:pPr>
              <w:snapToGrid w:val="0"/>
              <w:spacing w:after="0" w:line="240" w:lineRule="auto"/>
              <w:rPr>
                <w:rFonts w:ascii="Times New Roman" w:hAnsi="Times New Roman"/>
              </w:rPr>
            </w:pPr>
            <w:r>
              <w:rPr>
                <w:rFonts w:ascii="Times New Roman" w:hAnsi="Times New Roman"/>
              </w:rPr>
              <w:t>pH, Dye concentration, Temperature</w:t>
            </w:r>
          </w:p>
        </w:tc>
        <w:tc>
          <w:tcPr>
            <w:tcW w:w="1270" w:type="dxa"/>
            <w:tcBorders>
              <w:top w:val="nil"/>
              <w:left w:val="nil"/>
              <w:bottom w:val="single" w:sz="4" w:space="0" w:color="auto"/>
              <w:right w:val="nil"/>
              <w:tl2br w:val="nil"/>
              <w:tr2bl w:val="nil"/>
            </w:tcBorders>
          </w:tcPr>
          <w:p w14:paraId="4BB776C4" w14:textId="77777777" w:rsidR="00BD7383" w:rsidRDefault="00000000" w:rsidP="0003216F">
            <w:pPr>
              <w:snapToGrid w:val="0"/>
              <w:spacing w:after="0" w:line="240" w:lineRule="auto"/>
              <w:rPr>
                <w:rFonts w:ascii="Times New Roman" w:hAnsi="Times New Roman"/>
                <w:color w:val="0000FF"/>
              </w:rPr>
            </w:pPr>
            <w:r>
              <w:rPr>
                <w:rFonts w:ascii="Times New Roman" w:hAnsi="Times New Roman"/>
                <w:color w:val="0000FF"/>
              </w:rPr>
              <w:fldChar w:fldCharType="begin"/>
            </w:r>
            <w:r>
              <w:rPr>
                <w:rFonts w:ascii="Times New Roman" w:hAnsi="Times New Roman"/>
                <w:color w:val="0000FF"/>
              </w:rPr>
              <w:instrText xml:space="preserve"> ADDIN EN.CITE &lt;EndNote&gt;&lt;Cite&gt;&lt;Author&gt;Hameed&lt;/Author&gt;&lt;Year&gt;2008&lt;/Year&gt;&lt;RecNum&gt;4632&lt;/RecNum&gt;&lt;DisplayText&gt;[19]&lt;/DisplayText&gt;&lt;record&gt;&lt;rec-number&gt;4632&lt;/rec-number&gt;&lt;foreign-keys&gt;&lt;key app="EN" db-id="0x2wvsv00xaztkerzr3xpvrlvsste2s0wdfe" timestamp="1712986218" guid="30dec5ac-083c-43f6-aa49-4eddd3c92faa"&gt;4632&lt;/key&gt;&lt;/foreign-keys&gt;&lt;ref-type name="Journal Article"&gt;17&lt;/ref-type&gt;&lt;contributors&gt;&lt;authors&gt;&lt;author&gt;Hameed, BH&lt;/author&gt;&lt;author&gt;El-Khaiary, MI&lt;/author&gt;&lt;/authors&gt;&lt;/contributors&gt;&lt;titles&gt;&lt;title&gt;Malachite green adsorption by rattan sawdust: Isotherm, kinetic and mechanism modeling&lt;/title&gt;&lt;secondary-title&gt;J. Hazard. Mater.&lt;/secondary-title&gt;&lt;/titles&gt;&lt;periodical&gt;&lt;full-title&gt;J. Hazard. Mater.&lt;/full-title&gt;&lt;/periodical&gt;&lt;pages&gt;574-579&lt;/pages&gt;&lt;volume&gt;159&lt;/volume&gt;&lt;number&gt;2-3&lt;/number&gt;&lt;dates&gt;&lt;year&gt;2008&lt;/year&gt;&lt;/dates&gt;&lt;isbn&gt;0304-3894&lt;/isbn&gt;&lt;urls&gt;&lt;/urls&gt;&lt;/record&gt;&lt;/Cite&gt;&lt;/EndNote&gt;</w:instrText>
            </w:r>
            <w:r>
              <w:rPr>
                <w:rFonts w:ascii="Times New Roman" w:hAnsi="Times New Roman"/>
                <w:color w:val="0000FF"/>
              </w:rPr>
              <w:fldChar w:fldCharType="separate"/>
            </w:r>
            <w:r>
              <w:rPr>
                <w:rFonts w:ascii="Times New Roman" w:hAnsi="Times New Roman"/>
                <w:color w:val="0000FF"/>
              </w:rPr>
              <w:t>[19]</w:t>
            </w:r>
            <w:r>
              <w:rPr>
                <w:rFonts w:ascii="Times New Roman" w:hAnsi="Times New Roman"/>
                <w:color w:val="0000FF"/>
              </w:rPr>
              <w:fldChar w:fldCharType="end"/>
            </w:r>
          </w:p>
        </w:tc>
      </w:tr>
    </w:tbl>
    <w:p w14:paraId="2B8683DF" w14:textId="77777777" w:rsidR="00BD7383" w:rsidRDefault="00BD7383">
      <w:pPr>
        <w:sectPr w:rsidR="00BD7383" w:rsidSect="00B862A9">
          <w:pgSz w:w="11906" w:h="16838"/>
          <w:pgMar w:top="1440" w:right="1440" w:bottom="1440" w:left="1440" w:header="708" w:footer="708" w:gutter="0"/>
          <w:cols w:space="708"/>
          <w:docGrid w:linePitch="360"/>
        </w:sectPr>
      </w:pPr>
    </w:p>
    <w:p w14:paraId="627DC00D" w14:textId="77777777" w:rsidR="00BD7383" w:rsidRDefault="00BD7383"/>
    <w:p w14:paraId="0D3D9BDA" w14:textId="77777777" w:rsidR="00BD7383" w:rsidRDefault="00000000">
      <w:r>
        <w:rPr>
          <w:noProof/>
        </w:rPr>
        <w:drawing>
          <wp:inline distT="0" distB="0" distL="0" distR="0" wp14:anchorId="5ECD20B6" wp14:editId="7E6CD229">
            <wp:extent cx="4210050" cy="3389630"/>
            <wp:effectExtent l="0" t="0" r="0" b="1270"/>
            <wp:docPr id="495772688" name="Picture 1" descr="A graph showing the temper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772688" name="Picture 1" descr="A graph showing the temperatur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213753" cy="3392571"/>
                    </a:xfrm>
                    <a:prstGeom prst="rect">
                      <a:avLst/>
                    </a:prstGeom>
                    <a:noFill/>
                    <a:ln>
                      <a:noFill/>
                    </a:ln>
                  </pic:spPr>
                </pic:pic>
              </a:graphicData>
            </a:graphic>
          </wp:inline>
        </w:drawing>
      </w:r>
    </w:p>
    <w:p w14:paraId="79E2B15E" w14:textId="77777777" w:rsidR="00553B34" w:rsidRDefault="00000000">
      <w:pPr>
        <w:rPr>
          <w:rFonts w:ascii="Times New Roman" w:hAnsi="Times New Roman" w:cs="Times New Roman"/>
          <w:sz w:val="24"/>
          <w:szCs w:val="24"/>
        </w:rPr>
        <w:sectPr w:rsidR="00553B34" w:rsidSect="00B862A9">
          <w:pgSz w:w="11906" w:h="16838"/>
          <w:pgMar w:top="1440" w:right="1440" w:bottom="1440" w:left="1440" w:header="708" w:footer="708" w:gutter="0"/>
          <w:cols w:space="708"/>
          <w:docGrid w:linePitch="360"/>
        </w:sectPr>
      </w:pPr>
      <w:r>
        <w:rPr>
          <w:rFonts w:ascii="Times New Roman" w:hAnsi="Times New Roman" w:cs="Times New Roman"/>
          <w:b/>
          <w:bCs/>
          <w:sz w:val="24"/>
          <w:szCs w:val="24"/>
        </w:rPr>
        <w:t>Fig. S1</w:t>
      </w:r>
      <w:r>
        <w:rPr>
          <w:rFonts w:ascii="Times New Roman" w:hAnsi="Times New Roman" w:cs="Times New Roman"/>
          <w:sz w:val="24"/>
          <w:szCs w:val="24"/>
        </w:rPr>
        <w:t xml:space="preserve"> TGA spectra of PG-Zn</w:t>
      </w:r>
    </w:p>
    <w:p w14:paraId="51B6346E" w14:textId="77777777" w:rsidR="00BD7383" w:rsidRDefault="00BD7383">
      <w:pPr>
        <w:rPr>
          <w:rFonts w:ascii="Times New Roman" w:hAnsi="Times New Roman" w:cs="Times New Roman"/>
          <w:sz w:val="24"/>
          <w:szCs w:val="24"/>
        </w:rPr>
      </w:pPr>
    </w:p>
    <w:p w14:paraId="56063797" w14:textId="77777777" w:rsidR="00BD7383" w:rsidRDefault="00000000">
      <w:pPr>
        <w:jc w:val="center"/>
      </w:pPr>
      <w:r>
        <w:rPr>
          <w:noProof/>
        </w:rPr>
        <w:drawing>
          <wp:inline distT="0" distB="0" distL="0" distR="0" wp14:anchorId="18A66488" wp14:editId="426B7146">
            <wp:extent cx="3807460" cy="3463925"/>
            <wp:effectExtent l="0" t="0" r="2540" b="3175"/>
            <wp:docPr id="309339431" name="Picture 2" descr="A graph of a different color spectru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339431" name="Picture 2" descr="A graph of a different color spectrum&#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3814247" cy="3470005"/>
                    </a:xfrm>
                    <a:prstGeom prst="rect">
                      <a:avLst/>
                    </a:prstGeom>
                    <a:noFill/>
                    <a:ln>
                      <a:noFill/>
                    </a:ln>
                  </pic:spPr>
                </pic:pic>
              </a:graphicData>
            </a:graphic>
          </wp:inline>
        </w:drawing>
      </w:r>
    </w:p>
    <w:p w14:paraId="5CE63917" w14:textId="12AFC1BC" w:rsidR="0070073D" w:rsidRDefault="00000000">
      <w:pPr>
        <w:rPr>
          <w:rFonts w:ascii="Times New Roman" w:hAnsi="Times New Roman" w:cs="Times New Roman"/>
          <w:sz w:val="24"/>
          <w:szCs w:val="24"/>
        </w:rPr>
        <w:sectPr w:rsidR="0070073D" w:rsidSect="00B862A9">
          <w:pgSz w:w="11906" w:h="16838"/>
          <w:pgMar w:top="1440" w:right="1440" w:bottom="1440" w:left="1440" w:header="708" w:footer="708" w:gutter="0"/>
          <w:cols w:space="708"/>
          <w:docGrid w:linePitch="360"/>
        </w:sectPr>
      </w:pPr>
      <w:r>
        <w:rPr>
          <w:rFonts w:ascii="Times New Roman" w:hAnsi="Times New Roman" w:cs="Times New Roman"/>
          <w:b/>
          <w:bCs/>
          <w:sz w:val="24"/>
          <w:szCs w:val="24"/>
        </w:rPr>
        <w:t>Fig. S</w:t>
      </w:r>
      <w:r w:rsidR="0070073D">
        <w:rPr>
          <w:rFonts w:ascii="Times New Roman" w:hAnsi="Times New Roman" w:cs="Times New Roman"/>
          <w:b/>
          <w:bCs/>
          <w:sz w:val="24"/>
          <w:szCs w:val="24"/>
        </w:rPr>
        <w:t>2</w:t>
      </w:r>
      <w:r>
        <w:rPr>
          <w:rFonts w:ascii="Times New Roman" w:hAnsi="Times New Roman" w:cs="Times New Roman"/>
          <w:sz w:val="24"/>
          <w:szCs w:val="24"/>
        </w:rPr>
        <w:t xml:space="preserve"> FTIR spectra of PG-Zn before and after sorption of MG Dye</w:t>
      </w:r>
    </w:p>
    <w:p w14:paraId="4BBDC5B9" w14:textId="77777777" w:rsidR="00BD7383" w:rsidRDefault="00BD7383">
      <w:pPr>
        <w:rPr>
          <w:rFonts w:ascii="Times New Roman" w:hAnsi="Times New Roman" w:cs="Times New Roman"/>
          <w:sz w:val="24"/>
          <w:szCs w:val="24"/>
        </w:rPr>
      </w:pPr>
    </w:p>
    <w:p w14:paraId="7B537317" w14:textId="77777777" w:rsidR="0070073D" w:rsidRDefault="0070073D">
      <w:pPr>
        <w:rPr>
          <w:rFonts w:ascii="Times New Roman" w:hAnsi="Times New Roman" w:cs="Times New Roman"/>
          <w:sz w:val="24"/>
          <w:szCs w:val="24"/>
        </w:rPr>
      </w:pPr>
      <w:r>
        <w:rPr>
          <w:noProof/>
          <w:lang w:eastAsia="en-IN"/>
        </w:rPr>
        <w:drawing>
          <wp:inline distT="0" distB="0" distL="0" distR="0" wp14:anchorId="0C848CBB" wp14:editId="44C3EFC1">
            <wp:extent cx="6152645" cy="2495550"/>
            <wp:effectExtent l="0" t="0" r="635" b="0"/>
            <wp:docPr id="163069216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69216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a:xfrm>
                      <a:off x="0" y="0"/>
                      <a:ext cx="6152918" cy="2495661"/>
                    </a:xfrm>
                    <a:prstGeom prst="rect">
                      <a:avLst/>
                    </a:prstGeom>
                    <a:noFill/>
                    <a:ln>
                      <a:noFill/>
                    </a:ln>
                  </pic:spPr>
                </pic:pic>
              </a:graphicData>
            </a:graphic>
          </wp:inline>
        </w:drawing>
      </w:r>
    </w:p>
    <w:p w14:paraId="4B7332BD" w14:textId="252FFFEF" w:rsidR="0070073D" w:rsidRDefault="0070073D" w:rsidP="0070073D">
      <w:pPr>
        <w:jc w:val="both"/>
        <w:rPr>
          <w:rFonts w:ascii="Times New Roman" w:hAnsi="Times New Roman" w:cs="Times New Roman"/>
          <w:sz w:val="24"/>
          <w:szCs w:val="24"/>
        </w:rPr>
      </w:pPr>
      <w:r>
        <w:rPr>
          <w:rFonts w:ascii="Times New Roman" w:hAnsi="Times New Roman" w:cs="Times New Roman"/>
          <w:b/>
          <w:bCs/>
          <w:sz w:val="24"/>
          <w:szCs w:val="24"/>
        </w:rPr>
        <w:t>Fig. S</w:t>
      </w:r>
      <w:r>
        <w:rPr>
          <w:rFonts w:ascii="Times New Roman" w:hAnsi="Times New Roman" w:cs="Times New Roman"/>
          <w:b/>
          <w:bCs/>
          <w:sz w:val="24"/>
          <w:szCs w:val="24"/>
        </w:rPr>
        <w:t>3</w:t>
      </w:r>
      <w:r>
        <w:rPr>
          <w:rFonts w:ascii="Times New Roman" w:hAnsi="Times New Roman" w:cs="Times New Roman"/>
          <w:sz w:val="24"/>
          <w:szCs w:val="24"/>
        </w:rPr>
        <w:t xml:space="preserve"> UV/Vis plot for (a) Sorption of MG dye on raw PG, (b) Sorption of MG dye on PG-Zn</w:t>
      </w:r>
    </w:p>
    <w:p w14:paraId="478F89ED" w14:textId="4A57271E" w:rsidR="0070073D" w:rsidRPr="0070073D" w:rsidRDefault="0070073D">
      <w:pPr>
        <w:rPr>
          <w:rFonts w:ascii="Times New Roman" w:hAnsi="Times New Roman" w:cs="Times New Roman"/>
          <w:sz w:val="24"/>
          <w:szCs w:val="24"/>
        </w:rPr>
        <w:sectPr w:rsidR="0070073D" w:rsidRPr="0070073D" w:rsidSect="00B862A9">
          <w:pgSz w:w="11906" w:h="16838"/>
          <w:pgMar w:top="1440" w:right="1440" w:bottom="1440" w:left="1440" w:header="708" w:footer="708" w:gutter="0"/>
          <w:cols w:space="708"/>
          <w:docGrid w:linePitch="360"/>
        </w:sectPr>
      </w:pPr>
    </w:p>
    <w:p w14:paraId="68AB1C6A" w14:textId="77777777" w:rsidR="00BD7383" w:rsidRDefault="00000000">
      <w:pPr>
        <w:jc w:val="center"/>
        <w:rPr>
          <w:rFonts w:ascii="Times New Roman" w:hAnsi="Times New Roman" w:cs="Times New Roman"/>
          <w:sz w:val="24"/>
          <w:szCs w:val="24"/>
          <w:lang w:val="en-US"/>
        </w:rPr>
      </w:pPr>
      <w:r>
        <w:rPr>
          <w:noProof/>
        </w:rPr>
        <w:lastRenderedPageBreak/>
        <w:drawing>
          <wp:inline distT="0" distB="0" distL="0" distR="0" wp14:anchorId="2EE5694A" wp14:editId="32051413">
            <wp:extent cx="5731510" cy="4154805"/>
            <wp:effectExtent l="0" t="0" r="2540" b="17145"/>
            <wp:docPr id="808881715" name="Picture 4" descr="A diagram of a chemical rea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881715" name="Picture 4" descr="A diagram of a chemical reac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a:xfrm>
                      <a:off x="0" y="0"/>
                      <a:ext cx="5731510" cy="4154805"/>
                    </a:xfrm>
                    <a:prstGeom prst="rect">
                      <a:avLst/>
                    </a:prstGeom>
                    <a:noFill/>
                    <a:ln>
                      <a:noFill/>
                    </a:ln>
                  </pic:spPr>
                </pic:pic>
              </a:graphicData>
            </a:graphic>
          </wp:inline>
        </w:drawing>
      </w:r>
    </w:p>
    <w:p w14:paraId="076E0E1D" w14:textId="77777777" w:rsidR="00BD7383" w:rsidRDefault="00000000">
      <w:pPr>
        <w:spacing w:line="360" w:lineRule="auto"/>
        <w:rPr>
          <w:rFonts w:ascii="Times New Roman" w:hAnsi="Times New Roman" w:cs="Times New Roman"/>
          <w:sz w:val="24"/>
          <w:szCs w:val="24"/>
          <w:lang w:val="en-US"/>
        </w:rPr>
      </w:pPr>
      <w:r>
        <w:rPr>
          <w:rFonts w:ascii="Times New Roman" w:hAnsi="Times New Roman" w:cs="Times New Roman"/>
          <w:b/>
          <w:bCs/>
          <w:sz w:val="24"/>
          <w:szCs w:val="24"/>
          <w:lang w:val="en-US"/>
        </w:rPr>
        <w:t>Fig. S</w:t>
      </w:r>
      <w:r>
        <w:rPr>
          <w:rFonts w:ascii="Times New Roman" w:hAnsi="Times New Roman" w:cs="Times New Roman"/>
          <w:b/>
          <w:bCs/>
          <w:sz w:val="24"/>
          <w:szCs w:val="24"/>
        </w:rPr>
        <w:t>4</w:t>
      </w:r>
      <w:r>
        <w:rPr>
          <w:rFonts w:ascii="Times New Roman" w:hAnsi="Times New Roman" w:cs="Times New Roman"/>
          <w:sz w:val="24"/>
          <w:szCs w:val="24"/>
          <w:lang w:val="en-US"/>
        </w:rPr>
        <w:t>. Proposed mechanism of adsorption of MG on PG-Zn</w:t>
      </w:r>
    </w:p>
    <w:p w14:paraId="24202ED3" w14:textId="77777777" w:rsidR="00BD7383" w:rsidRDefault="00BD7383">
      <w:pPr>
        <w:rPr>
          <w:rFonts w:ascii="Times New Roman" w:hAnsi="Times New Roman" w:cs="Times New Roman"/>
          <w:sz w:val="24"/>
          <w:szCs w:val="24"/>
        </w:rPr>
      </w:pPr>
    </w:p>
    <w:p w14:paraId="01B128A7" w14:textId="77777777" w:rsidR="00BD7383" w:rsidRDefault="00BD7383">
      <w:pPr>
        <w:rPr>
          <w:rFonts w:ascii="Times New Roman" w:hAnsi="Times New Roman" w:cs="Times New Roman"/>
          <w:sz w:val="24"/>
          <w:szCs w:val="24"/>
        </w:rPr>
      </w:pPr>
    </w:p>
    <w:p w14:paraId="04713389" w14:textId="77777777" w:rsidR="00BD7383" w:rsidRDefault="00BD7383">
      <w:pPr>
        <w:rPr>
          <w:rFonts w:ascii="Times New Roman" w:hAnsi="Times New Roman" w:cs="Times New Roman"/>
          <w:sz w:val="24"/>
          <w:szCs w:val="24"/>
        </w:rPr>
      </w:pPr>
    </w:p>
    <w:p w14:paraId="05D2D057" w14:textId="77777777" w:rsidR="00BD7383" w:rsidRDefault="00BD7383">
      <w:pPr>
        <w:jc w:val="both"/>
        <w:rPr>
          <w:rFonts w:ascii="Times New Roman" w:hAnsi="Times New Roman" w:cs="Times New Roman"/>
          <w:sz w:val="24"/>
          <w:szCs w:val="24"/>
        </w:rPr>
      </w:pPr>
    </w:p>
    <w:p w14:paraId="038F3B3E" w14:textId="77777777" w:rsidR="00BD7383" w:rsidRDefault="00000000">
      <w:pPr>
        <w:jc w:val="center"/>
        <w:rPr>
          <w:rFonts w:ascii="Times New Roman" w:hAnsi="Times New Roman" w:cs="Times New Roman"/>
          <w:b/>
          <w:bCs/>
          <w:sz w:val="24"/>
          <w:szCs w:val="24"/>
        </w:rPr>
      </w:pPr>
      <w:r>
        <w:rPr>
          <w:noProof/>
        </w:rPr>
        <w:lastRenderedPageBreak/>
        <w:drawing>
          <wp:inline distT="0" distB="0" distL="0" distR="0" wp14:anchorId="07DFEEBA" wp14:editId="34D61689">
            <wp:extent cx="4762500" cy="3869055"/>
            <wp:effectExtent l="0" t="0" r="0" b="0"/>
            <wp:docPr id="1146948445" name="Picture 3" descr="A graph of a number of sopportion study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948445" name="Picture 3" descr="A graph of a number of sopportion study cycl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4769587" cy="3874431"/>
                    </a:xfrm>
                    <a:prstGeom prst="rect">
                      <a:avLst/>
                    </a:prstGeom>
                    <a:noFill/>
                    <a:ln>
                      <a:noFill/>
                    </a:ln>
                  </pic:spPr>
                </pic:pic>
              </a:graphicData>
            </a:graphic>
          </wp:inline>
        </w:drawing>
      </w:r>
    </w:p>
    <w:p w14:paraId="28E07319" w14:textId="77777777" w:rsidR="00BD7383" w:rsidRDefault="00000000">
      <w:pPr>
        <w:rPr>
          <w:rFonts w:ascii="Times New Roman"/>
          <w:bCs/>
          <w:sz w:val="24"/>
        </w:rPr>
        <w:sectPr w:rsidR="00BD7383" w:rsidSect="00B862A9">
          <w:pgSz w:w="11906" w:h="16838"/>
          <w:pgMar w:top="1440" w:right="1440" w:bottom="1440" w:left="1440" w:header="708" w:footer="708" w:gutter="0"/>
          <w:cols w:space="708"/>
          <w:docGrid w:linePitch="360"/>
        </w:sectPr>
      </w:pPr>
      <w:r>
        <w:rPr>
          <w:rFonts w:ascii="Times New Roman" w:hAnsi="Times New Roman" w:cs="Times New Roman"/>
          <w:b/>
          <w:bCs/>
          <w:sz w:val="24"/>
          <w:szCs w:val="24"/>
        </w:rPr>
        <w:t>Fig. S5</w:t>
      </w:r>
      <w:r>
        <w:rPr>
          <w:rFonts w:ascii="Times New Roman" w:hAnsi="Times New Roman" w:cs="Times New Roman"/>
          <w:sz w:val="24"/>
          <w:szCs w:val="24"/>
        </w:rPr>
        <w:t xml:space="preserve"> </w:t>
      </w:r>
      <w:r>
        <w:rPr>
          <w:rFonts w:ascii="Times New Roman" w:hAnsi="Times New Roman" w:cs="Times New Roman"/>
          <w:sz w:val="24"/>
          <w:szCs w:val="24"/>
          <w:lang w:val="en-US"/>
        </w:rPr>
        <w:t>Sorption</w:t>
      </w:r>
      <w:r>
        <w:rPr>
          <w:rFonts w:ascii="Times New Roman"/>
          <w:bCs/>
          <w:sz w:val="24"/>
        </w:rPr>
        <w:t xml:space="preserve"> efficiency of MG dye (%) on PG-Zn with respect to number of cycles</w:t>
      </w:r>
    </w:p>
    <w:p w14:paraId="45AC5426" w14:textId="77777777" w:rsidR="00BD7383" w:rsidRDefault="00BD7383">
      <w:pPr>
        <w:rPr>
          <w:rFonts w:ascii="Times New Roman" w:hAnsi="Times New Roman" w:cs="Times New Roman"/>
          <w:sz w:val="24"/>
          <w:szCs w:val="24"/>
          <w:lang w:val="en-US"/>
        </w:rPr>
      </w:pPr>
    </w:p>
    <w:p w14:paraId="7F250ABB" w14:textId="77777777" w:rsidR="00BD7383" w:rsidRDefault="00BD7383">
      <w:pPr>
        <w:rPr>
          <w:rFonts w:ascii="Times New Roman" w:hAnsi="Times New Roman" w:cs="Times New Roman"/>
          <w:sz w:val="24"/>
          <w:szCs w:val="24"/>
          <w:lang w:val="en-US"/>
        </w:rPr>
      </w:pPr>
    </w:p>
    <w:p w14:paraId="4B19B70C" w14:textId="77777777" w:rsidR="00BD7383" w:rsidRDefault="00000000">
      <w:pPr>
        <w:jc w:val="center"/>
        <w:rPr>
          <w:rFonts w:ascii="Times New Roman" w:hAnsi="Times New Roman" w:cs="Times New Roman"/>
          <w:sz w:val="24"/>
          <w:szCs w:val="24"/>
          <w:lang w:val="en-US"/>
        </w:rPr>
      </w:pPr>
      <w:r>
        <w:rPr>
          <w:noProof/>
        </w:rPr>
        <w:drawing>
          <wp:inline distT="0" distB="0" distL="0" distR="0" wp14:anchorId="142B4BC1" wp14:editId="5C05F79D">
            <wp:extent cx="3630295" cy="3418840"/>
            <wp:effectExtent l="0" t="0" r="8255" b="0"/>
            <wp:docPr id="70766646" name="Picture 5" descr="A hand holding a petri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66646" name="Picture 5" descr="A hand holding a petri dish&#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3630295" cy="3418840"/>
                    </a:xfrm>
                    <a:prstGeom prst="rect">
                      <a:avLst/>
                    </a:prstGeom>
                    <a:noFill/>
                    <a:ln>
                      <a:noFill/>
                    </a:ln>
                  </pic:spPr>
                </pic:pic>
              </a:graphicData>
            </a:graphic>
          </wp:inline>
        </w:drawing>
      </w:r>
    </w:p>
    <w:p w14:paraId="34901ECD" w14:textId="77777777" w:rsidR="00BD7383" w:rsidRDefault="00000000">
      <w:pPr>
        <w:spacing w:line="480" w:lineRule="auto"/>
        <w:rPr>
          <w:rFonts w:ascii="Times New Roman" w:hAnsi="Times New Roman" w:cs="Times New Roman"/>
          <w:sz w:val="24"/>
          <w:szCs w:val="24"/>
          <w:lang w:val="en-US"/>
        </w:rPr>
      </w:pPr>
      <w:r>
        <w:rPr>
          <w:rFonts w:ascii="Times New Roman" w:hAnsi="Times New Roman" w:cs="Times New Roman"/>
          <w:b/>
          <w:bCs/>
          <w:sz w:val="24"/>
          <w:szCs w:val="24"/>
          <w:lang w:val="en-US"/>
        </w:rPr>
        <w:t>Fig. S</w:t>
      </w:r>
      <w:r>
        <w:rPr>
          <w:rFonts w:ascii="Times New Roman" w:hAnsi="Times New Roman" w:cs="Times New Roman"/>
          <w:b/>
          <w:bCs/>
          <w:sz w:val="24"/>
          <w:szCs w:val="24"/>
        </w:rPr>
        <w:t>6</w:t>
      </w:r>
      <w:r>
        <w:rPr>
          <w:rFonts w:ascii="Times New Roman" w:hAnsi="Times New Roman" w:cs="Times New Roman"/>
          <w:sz w:val="24"/>
          <w:szCs w:val="24"/>
          <w:lang w:val="en-US"/>
        </w:rPr>
        <w:t>. Toxicity test of MG dye after adsorption; DW- Distilled Water; CW-Contaminated Water (containing MG dye); TW - Treated Water</w:t>
      </w:r>
    </w:p>
    <w:p w14:paraId="17FA7757" w14:textId="77777777" w:rsidR="00BD7383" w:rsidRDefault="00BD7383">
      <w:pPr>
        <w:rPr>
          <w:rFonts w:ascii="Times New Roman" w:hAnsi="Times New Roman" w:cs="Times New Roman"/>
          <w:sz w:val="24"/>
          <w:szCs w:val="24"/>
          <w:lang w:val="en-US"/>
        </w:rPr>
        <w:sectPr w:rsidR="00BD7383" w:rsidSect="00B862A9">
          <w:pgSz w:w="11906" w:h="16838"/>
          <w:pgMar w:top="1440" w:right="1440" w:bottom="1440" w:left="1440" w:header="708" w:footer="708" w:gutter="0"/>
          <w:cols w:space="708"/>
          <w:docGrid w:linePitch="360"/>
        </w:sectPr>
      </w:pPr>
    </w:p>
    <w:p w14:paraId="7EC10869" w14:textId="77777777" w:rsidR="00BD7383" w:rsidRDefault="00000000">
      <w:pPr>
        <w:rPr>
          <w:rFonts w:ascii="Times New Roman" w:hAnsi="Times New Roman" w:cs="Times New Roman"/>
          <w:b/>
          <w:bCs/>
          <w:sz w:val="24"/>
          <w:szCs w:val="24"/>
          <w:lang w:val="en-US"/>
        </w:rPr>
      </w:pPr>
      <w:r>
        <w:rPr>
          <w:rFonts w:ascii="Times New Roman" w:hAnsi="Times New Roman" w:cs="Times New Roman"/>
          <w:b/>
          <w:bCs/>
          <w:sz w:val="24"/>
          <w:szCs w:val="24"/>
          <w:lang w:val="en-US"/>
        </w:rPr>
        <w:lastRenderedPageBreak/>
        <w:t>References</w:t>
      </w:r>
    </w:p>
    <w:p w14:paraId="4E6CB31B"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 xml:space="preserve">[1] </w:t>
      </w:r>
      <w:proofErr w:type="spellStart"/>
      <w:r>
        <w:rPr>
          <w:rFonts w:ascii="Times New Roman" w:hAnsi="Times New Roman" w:cs="Times New Roman"/>
          <w:sz w:val="24"/>
          <w:szCs w:val="24"/>
        </w:rPr>
        <w:t>Taqui</w:t>
      </w:r>
      <w:proofErr w:type="spellEnd"/>
      <w:r>
        <w:rPr>
          <w:rFonts w:ascii="Times New Roman" w:hAnsi="Times New Roman" w:cs="Times New Roman"/>
          <w:sz w:val="24"/>
          <w:szCs w:val="24"/>
        </w:rPr>
        <w:t xml:space="preserve"> SN, Mohan C, Khatoon BA, Soudagar MEM, Khan TY, Mujtaba M, et al. Sustainable adsorption method for the remediation of malachite green dye using nutraceutical industrial fenugreek seed spent. Biomass Conver</w:t>
      </w:r>
      <w:proofErr w:type="spellStart"/>
      <w:r>
        <w:rPr>
          <w:rFonts w:ascii="Times New Roman" w:hAnsi="Times New Roman" w:cs="Times New Roman"/>
          <w:sz w:val="24"/>
          <w:szCs w:val="24"/>
          <w:lang w:val="en-US"/>
        </w:rPr>
        <w:t>sion</w:t>
      </w:r>
      <w:proofErr w:type="spellEnd"/>
      <w:r>
        <w:rPr>
          <w:rFonts w:ascii="Times New Roman" w:hAnsi="Times New Roman" w:cs="Times New Roman"/>
          <w:sz w:val="24"/>
          <w:szCs w:val="24"/>
          <w:lang w:val="en-US"/>
        </w:rPr>
        <w:t xml:space="preserve"> and</w:t>
      </w:r>
      <w:r>
        <w:rPr>
          <w:rFonts w:ascii="Times New Roman" w:hAnsi="Times New Roman" w:cs="Times New Roman"/>
          <w:sz w:val="24"/>
          <w:szCs w:val="24"/>
        </w:rPr>
        <w:t xml:space="preserve"> </w:t>
      </w:r>
      <w:proofErr w:type="spellStart"/>
      <w:r>
        <w:rPr>
          <w:rFonts w:ascii="Times New Roman" w:hAnsi="Times New Roman" w:cs="Times New Roman"/>
          <w:sz w:val="24"/>
          <w:szCs w:val="24"/>
        </w:rPr>
        <w:t>Bioref</w:t>
      </w:r>
      <w:r>
        <w:rPr>
          <w:rFonts w:ascii="Times New Roman" w:hAnsi="Times New Roman" w:cs="Times New Roman"/>
          <w:sz w:val="24"/>
          <w:szCs w:val="24"/>
          <w:lang w:val="en-US"/>
        </w:rPr>
        <w:t>inary</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2023</w:t>
      </w:r>
      <w:r>
        <w:rPr>
          <w:rFonts w:ascii="Times New Roman" w:hAnsi="Times New Roman" w:cs="Times New Roman"/>
          <w:sz w:val="24"/>
          <w:szCs w:val="24"/>
          <w:lang w:val="en-US"/>
        </w:rPr>
        <w:t xml:space="preserve">, </w:t>
      </w:r>
      <w:r>
        <w:rPr>
          <w:rFonts w:ascii="Times New Roman" w:hAnsi="Times New Roman" w:cs="Times New Roman"/>
          <w:sz w:val="24"/>
          <w:szCs w:val="24"/>
        </w:rPr>
        <w:t>13:9119-30.</w:t>
      </w:r>
    </w:p>
    <w:p w14:paraId="3B200287"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 xml:space="preserve">[2] Mall ID, Srivastava VC, Agarwal NK, Mishra IM. Adsorptive removal of malachite green dye from aqueous solution by bagasse fly ash and activated carbon-kinetic study and equilibrium isotherm analyses. </w:t>
      </w:r>
      <w:hyperlink r:id="rId16" w:history="1">
        <w:r>
          <w:rPr>
            <w:rFonts w:ascii="Times New Roman" w:hAnsi="Times New Roman" w:cs="Times New Roman"/>
            <w:sz w:val="24"/>
            <w:szCs w:val="24"/>
          </w:rPr>
          <w:t>Colloids and Surfaces A: Physicochemical and Engineering Aspects</w:t>
        </w:r>
      </w:hyperlink>
      <w:r>
        <w:rPr>
          <w:rFonts w:ascii="Times New Roman" w:hAnsi="Times New Roman" w:cs="Times New Roman"/>
          <w:sz w:val="24"/>
          <w:szCs w:val="24"/>
          <w:lang w:val="en-US"/>
        </w:rPr>
        <w:t>,</w:t>
      </w:r>
      <w:r>
        <w:rPr>
          <w:rFonts w:ascii="Times New Roman" w:hAnsi="Times New Roman" w:cs="Times New Roman"/>
          <w:sz w:val="24"/>
          <w:szCs w:val="24"/>
        </w:rPr>
        <w:t xml:space="preserve"> 2005</w:t>
      </w:r>
      <w:r>
        <w:rPr>
          <w:rFonts w:ascii="Times New Roman" w:hAnsi="Times New Roman" w:cs="Times New Roman"/>
          <w:sz w:val="24"/>
          <w:szCs w:val="24"/>
          <w:lang w:val="en-US"/>
        </w:rPr>
        <w:t xml:space="preserve">, </w:t>
      </w:r>
      <w:r>
        <w:rPr>
          <w:rFonts w:ascii="Times New Roman" w:hAnsi="Times New Roman" w:cs="Times New Roman"/>
          <w:sz w:val="24"/>
          <w:szCs w:val="24"/>
        </w:rPr>
        <w:t>264:17-28.</w:t>
      </w:r>
    </w:p>
    <w:p w14:paraId="560DC836"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 xml:space="preserve">[3] Dubey S, Uma, </w:t>
      </w:r>
      <w:proofErr w:type="spellStart"/>
      <w:r>
        <w:rPr>
          <w:rFonts w:ascii="Times New Roman" w:hAnsi="Times New Roman" w:cs="Times New Roman"/>
          <w:sz w:val="24"/>
          <w:szCs w:val="24"/>
        </w:rPr>
        <w:t>Sujarittanonta</w:t>
      </w:r>
      <w:proofErr w:type="spellEnd"/>
      <w:r>
        <w:rPr>
          <w:rFonts w:ascii="Times New Roman" w:hAnsi="Times New Roman" w:cs="Times New Roman"/>
          <w:sz w:val="24"/>
          <w:szCs w:val="24"/>
        </w:rPr>
        <w:t xml:space="preserve"> L, Sharma YC. Application of fly ash for adsorptive removal of malachite green from aqueous solutions. Desal</w:t>
      </w:r>
      <w:proofErr w:type="spellStart"/>
      <w:r>
        <w:rPr>
          <w:rFonts w:ascii="Times New Roman" w:hAnsi="Times New Roman" w:cs="Times New Roman"/>
          <w:sz w:val="24"/>
          <w:szCs w:val="24"/>
          <w:lang w:val="en-US"/>
        </w:rPr>
        <w:t>lination</w:t>
      </w:r>
      <w:proofErr w:type="spellEnd"/>
      <w:r>
        <w:rPr>
          <w:rFonts w:ascii="Times New Roman" w:hAnsi="Times New Roman" w:cs="Times New Roman"/>
          <w:sz w:val="24"/>
          <w:szCs w:val="24"/>
          <w:lang w:val="en-US"/>
        </w:rPr>
        <w:t xml:space="preserve"> and</w:t>
      </w:r>
      <w:r>
        <w:rPr>
          <w:rFonts w:ascii="Times New Roman" w:hAnsi="Times New Roman" w:cs="Times New Roman"/>
          <w:sz w:val="24"/>
          <w:szCs w:val="24"/>
        </w:rPr>
        <w:t xml:space="preserve"> Water Treatment</w:t>
      </w:r>
      <w:r>
        <w:rPr>
          <w:rFonts w:ascii="Times New Roman" w:hAnsi="Times New Roman" w:cs="Times New Roman"/>
          <w:sz w:val="24"/>
          <w:szCs w:val="24"/>
          <w:lang w:val="en-US"/>
        </w:rPr>
        <w:t xml:space="preserve">, </w:t>
      </w:r>
      <w:r>
        <w:rPr>
          <w:rFonts w:ascii="Times New Roman" w:hAnsi="Times New Roman" w:cs="Times New Roman"/>
          <w:sz w:val="24"/>
          <w:szCs w:val="24"/>
        </w:rPr>
        <w:t>2015</w:t>
      </w:r>
      <w:r>
        <w:rPr>
          <w:rFonts w:ascii="Times New Roman" w:hAnsi="Times New Roman" w:cs="Times New Roman"/>
          <w:sz w:val="24"/>
          <w:szCs w:val="24"/>
          <w:lang w:val="en-US"/>
        </w:rPr>
        <w:t xml:space="preserve">, </w:t>
      </w:r>
      <w:r>
        <w:rPr>
          <w:rFonts w:ascii="Times New Roman" w:hAnsi="Times New Roman" w:cs="Times New Roman"/>
          <w:sz w:val="24"/>
          <w:szCs w:val="24"/>
        </w:rPr>
        <w:t>53:91-8.</w:t>
      </w:r>
    </w:p>
    <w:p w14:paraId="69C6B148"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[4] Singh K, Kumar A, Singh AK, Agarwal A. Fly ash and TiO2 modified fly ash as adsorbing materials for effective removal of methylene blue and malachite green from aqueous solutions. Journal of the Indian Chemical Society</w:t>
      </w:r>
      <w:r>
        <w:rPr>
          <w:rFonts w:ascii="Times New Roman" w:hAnsi="Times New Roman" w:cs="Times New Roman"/>
          <w:sz w:val="24"/>
          <w:szCs w:val="24"/>
          <w:lang w:val="en-US"/>
        </w:rPr>
        <w:t>,</w:t>
      </w:r>
      <w:r>
        <w:rPr>
          <w:rFonts w:ascii="Times New Roman" w:hAnsi="Times New Roman" w:cs="Times New Roman"/>
          <w:sz w:val="24"/>
          <w:szCs w:val="24"/>
        </w:rPr>
        <w:t xml:space="preserve"> 2023</w:t>
      </w:r>
      <w:r>
        <w:rPr>
          <w:rFonts w:ascii="Times New Roman" w:hAnsi="Times New Roman" w:cs="Times New Roman"/>
          <w:sz w:val="24"/>
          <w:szCs w:val="24"/>
          <w:lang w:val="en-US"/>
        </w:rPr>
        <w:t xml:space="preserve">, </w:t>
      </w:r>
      <w:r>
        <w:rPr>
          <w:rFonts w:ascii="Times New Roman" w:hAnsi="Times New Roman" w:cs="Times New Roman"/>
          <w:sz w:val="24"/>
          <w:szCs w:val="24"/>
        </w:rPr>
        <w:t>100:100942.</w:t>
      </w:r>
    </w:p>
    <w:p w14:paraId="068C060E"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[5] Zhang M, Mao Y, Wang W, Yang S, Song Z, Zhao X. Coal fly ash/</w:t>
      </w:r>
      <w:proofErr w:type="spellStart"/>
      <w:r>
        <w:rPr>
          <w:rFonts w:ascii="Times New Roman" w:hAnsi="Times New Roman" w:cs="Times New Roman"/>
          <w:sz w:val="24"/>
          <w:szCs w:val="24"/>
        </w:rPr>
        <w:t>CoFe</w:t>
      </w:r>
      <w:proofErr w:type="spellEnd"/>
      <w:r>
        <w:rPr>
          <w:rFonts w:ascii="Times New Roman" w:hAnsi="Times New Roman" w:cs="Times New Roman"/>
          <w:sz w:val="24"/>
          <w:szCs w:val="24"/>
        </w:rPr>
        <w:t xml:space="preserve"> 2 O 4 composites: a magnetic adsorbent for the removal of malachite green from aqueous solution. R</w:t>
      </w:r>
      <w:proofErr w:type="spellStart"/>
      <w:r>
        <w:rPr>
          <w:rFonts w:ascii="Times New Roman" w:hAnsi="Times New Roman" w:cs="Times New Roman"/>
          <w:sz w:val="24"/>
          <w:szCs w:val="24"/>
          <w:lang w:val="en-US"/>
        </w:rPr>
        <w:t>oyal</w:t>
      </w:r>
      <w:proofErr w:type="spellEnd"/>
      <w:r>
        <w:rPr>
          <w:rFonts w:ascii="Times New Roman" w:hAnsi="Times New Roman" w:cs="Times New Roman"/>
          <w:sz w:val="24"/>
          <w:szCs w:val="24"/>
          <w:lang w:val="en-US"/>
        </w:rPr>
        <w:t xml:space="preserve"> </w:t>
      </w:r>
      <w:r>
        <w:rPr>
          <w:rFonts w:ascii="Times New Roman" w:hAnsi="Times New Roman" w:cs="Times New Roman"/>
          <w:sz w:val="24"/>
          <w:szCs w:val="24"/>
        </w:rPr>
        <w:t>S</w:t>
      </w:r>
      <w:proofErr w:type="spellStart"/>
      <w:r>
        <w:rPr>
          <w:rFonts w:ascii="Times New Roman" w:hAnsi="Times New Roman" w:cs="Times New Roman"/>
          <w:sz w:val="24"/>
          <w:szCs w:val="24"/>
          <w:lang w:val="en-US"/>
        </w:rPr>
        <w:t>ociety</w:t>
      </w:r>
      <w:proofErr w:type="spellEnd"/>
      <w:r>
        <w:rPr>
          <w:rFonts w:ascii="Times New Roman" w:hAnsi="Times New Roman" w:cs="Times New Roman"/>
          <w:sz w:val="24"/>
          <w:szCs w:val="24"/>
          <w:lang w:val="en-US"/>
        </w:rPr>
        <w:t xml:space="preserve"> of </w:t>
      </w:r>
      <w:r>
        <w:rPr>
          <w:rFonts w:ascii="Times New Roman" w:hAnsi="Times New Roman" w:cs="Times New Roman"/>
          <w:sz w:val="24"/>
          <w:szCs w:val="24"/>
        </w:rPr>
        <w:t>C</w:t>
      </w:r>
      <w:proofErr w:type="spellStart"/>
      <w:r>
        <w:rPr>
          <w:rFonts w:ascii="Times New Roman" w:hAnsi="Times New Roman" w:cs="Times New Roman"/>
          <w:sz w:val="24"/>
          <w:szCs w:val="24"/>
          <w:lang w:val="en-US"/>
        </w:rPr>
        <w:t>hemistry</w:t>
      </w:r>
      <w:proofErr w:type="spellEnd"/>
      <w:r>
        <w:rPr>
          <w:rFonts w:ascii="Times New Roman" w:hAnsi="Times New Roman" w:cs="Times New Roman"/>
          <w:sz w:val="24"/>
          <w:szCs w:val="24"/>
        </w:rPr>
        <w:t xml:space="preserve"> Adv</w:t>
      </w:r>
      <w:proofErr w:type="spellStart"/>
      <w:r>
        <w:rPr>
          <w:rFonts w:ascii="Times New Roman" w:hAnsi="Times New Roman" w:cs="Times New Roman"/>
          <w:sz w:val="24"/>
          <w:szCs w:val="24"/>
          <w:lang w:val="en-US"/>
        </w:rPr>
        <w:t>ances</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2016</w:t>
      </w:r>
      <w:r>
        <w:rPr>
          <w:rFonts w:ascii="Times New Roman" w:hAnsi="Times New Roman" w:cs="Times New Roman"/>
          <w:sz w:val="24"/>
          <w:szCs w:val="24"/>
          <w:lang w:val="en-US"/>
        </w:rPr>
        <w:t xml:space="preserve">, </w:t>
      </w:r>
      <w:r>
        <w:rPr>
          <w:rFonts w:ascii="Times New Roman" w:hAnsi="Times New Roman" w:cs="Times New Roman"/>
          <w:sz w:val="24"/>
          <w:szCs w:val="24"/>
        </w:rPr>
        <w:t>6:93564-74.</w:t>
      </w:r>
    </w:p>
    <w:p w14:paraId="44D0F3F8"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 xml:space="preserve">[6] </w:t>
      </w:r>
      <w:proofErr w:type="spellStart"/>
      <w:r>
        <w:rPr>
          <w:rFonts w:ascii="Times New Roman" w:hAnsi="Times New Roman" w:cs="Times New Roman"/>
          <w:sz w:val="24"/>
          <w:szCs w:val="24"/>
        </w:rPr>
        <w:t>Tanyol</w:t>
      </w:r>
      <w:proofErr w:type="spellEnd"/>
      <w:r>
        <w:rPr>
          <w:rFonts w:ascii="Times New Roman" w:hAnsi="Times New Roman" w:cs="Times New Roman"/>
          <w:sz w:val="24"/>
          <w:szCs w:val="24"/>
        </w:rPr>
        <w:t xml:space="preserve"> M. Rapid malachite green removal from aqueous solution by natural zeolite: process optimization by response surface methodology. Desal</w:t>
      </w:r>
      <w:proofErr w:type="spellStart"/>
      <w:r>
        <w:rPr>
          <w:rFonts w:ascii="Times New Roman" w:hAnsi="Times New Roman" w:cs="Times New Roman"/>
          <w:sz w:val="24"/>
          <w:szCs w:val="24"/>
          <w:lang w:val="en-US"/>
        </w:rPr>
        <w:t>lination</w:t>
      </w:r>
      <w:proofErr w:type="spellEnd"/>
      <w:r>
        <w:rPr>
          <w:rFonts w:ascii="Times New Roman" w:hAnsi="Times New Roman" w:cs="Times New Roman"/>
          <w:sz w:val="24"/>
          <w:szCs w:val="24"/>
          <w:lang w:val="en-US"/>
        </w:rPr>
        <w:t xml:space="preserve"> and</w:t>
      </w:r>
      <w:r>
        <w:rPr>
          <w:rFonts w:ascii="Times New Roman" w:hAnsi="Times New Roman" w:cs="Times New Roman"/>
          <w:sz w:val="24"/>
          <w:szCs w:val="24"/>
        </w:rPr>
        <w:t xml:space="preserve"> Water Treatment</w:t>
      </w:r>
      <w:r>
        <w:rPr>
          <w:rFonts w:ascii="Times New Roman" w:hAnsi="Times New Roman" w:cs="Times New Roman"/>
          <w:sz w:val="24"/>
          <w:szCs w:val="24"/>
          <w:lang w:val="en-US"/>
        </w:rPr>
        <w:t>,</w:t>
      </w:r>
      <w:r>
        <w:rPr>
          <w:rFonts w:ascii="Times New Roman" w:hAnsi="Times New Roman" w:cs="Times New Roman"/>
          <w:sz w:val="24"/>
          <w:szCs w:val="24"/>
        </w:rPr>
        <w:t xml:space="preserve"> 2017</w:t>
      </w:r>
      <w:r>
        <w:rPr>
          <w:rFonts w:ascii="Times New Roman" w:hAnsi="Times New Roman" w:cs="Times New Roman"/>
          <w:sz w:val="24"/>
          <w:szCs w:val="24"/>
          <w:lang w:val="en-US"/>
        </w:rPr>
        <w:t xml:space="preserve">, </w:t>
      </w:r>
      <w:r>
        <w:rPr>
          <w:rFonts w:ascii="Times New Roman" w:hAnsi="Times New Roman" w:cs="Times New Roman"/>
          <w:sz w:val="24"/>
          <w:szCs w:val="24"/>
        </w:rPr>
        <w:t>65:294-303.</w:t>
      </w:r>
    </w:p>
    <w:p w14:paraId="1F2C435E"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[7] Blanco-Flores A, Toledo-Jaldin HP, Vilchis-Néstor AR, López-Téllez G, Sánchez-Mendieta V, Ávila-Márquez DM. Metallurgical slag properties as a support material for bimetallic nanoparticles and their use in the removal of malachite green dye. Adv</w:t>
      </w:r>
      <w:proofErr w:type="spellStart"/>
      <w:r>
        <w:rPr>
          <w:rFonts w:ascii="Times New Roman" w:hAnsi="Times New Roman" w:cs="Times New Roman"/>
          <w:sz w:val="24"/>
          <w:szCs w:val="24"/>
          <w:lang w:val="en-US"/>
        </w:rPr>
        <w:t>anced</w:t>
      </w:r>
      <w:proofErr w:type="spellEnd"/>
      <w:r>
        <w:rPr>
          <w:rFonts w:ascii="Times New Roman" w:hAnsi="Times New Roman" w:cs="Times New Roman"/>
          <w:sz w:val="24"/>
          <w:szCs w:val="24"/>
        </w:rPr>
        <w:t xml:space="preserve"> Powder </w:t>
      </w:r>
      <w:proofErr w:type="spellStart"/>
      <w:r>
        <w:rPr>
          <w:rFonts w:ascii="Times New Roman" w:hAnsi="Times New Roman" w:cs="Times New Roman"/>
          <w:sz w:val="24"/>
          <w:szCs w:val="24"/>
        </w:rPr>
        <w:t>Technol</w:t>
      </w:r>
      <w:proofErr w:type="spellEnd"/>
      <w:r>
        <w:rPr>
          <w:rFonts w:ascii="Times New Roman" w:hAnsi="Times New Roman" w:cs="Times New Roman"/>
          <w:sz w:val="24"/>
          <w:szCs w:val="24"/>
          <w:lang w:val="en-US"/>
        </w:rPr>
        <w:t>ology,</w:t>
      </w:r>
      <w:r>
        <w:rPr>
          <w:rFonts w:ascii="Times New Roman" w:hAnsi="Times New Roman" w:cs="Times New Roman"/>
          <w:sz w:val="24"/>
          <w:szCs w:val="24"/>
        </w:rPr>
        <w:t xml:space="preserve"> 2020</w:t>
      </w:r>
      <w:r>
        <w:rPr>
          <w:rFonts w:ascii="Times New Roman" w:hAnsi="Times New Roman" w:cs="Times New Roman"/>
          <w:sz w:val="24"/>
          <w:szCs w:val="24"/>
          <w:lang w:val="en-US"/>
        </w:rPr>
        <w:t xml:space="preserve">, </w:t>
      </w:r>
      <w:r>
        <w:rPr>
          <w:rFonts w:ascii="Times New Roman" w:hAnsi="Times New Roman" w:cs="Times New Roman"/>
          <w:sz w:val="24"/>
          <w:szCs w:val="24"/>
        </w:rPr>
        <w:t>31:2853-65.</w:t>
      </w:r>
    </w:p>
    <w:p w14:paraId="00213190"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[8] Qu W, Yuan T, Yin G, Xu S, Zhang Q, Su H. Effect of properties of activated carbon on malachite green adsorption. Fuel</w:t>
      </w:r>
      <w:r>
        <w:rPr>
          <w:rFonts w:ascii="Times New Roman" w:hAnsi="Times New Roman" w:cs="Times New Roman"/>
          <w:sz w:val="24"/>
          <w:szCs w:val="24"/>
          <w:lang w:val="en-US"/>
        </w:rPr>
        <w:t>,</w:t>
      </w:r>
      <w:r>
        <w:rPr>
          <w:rFonts w:ascii="Times New Roman" w:hAnsi="Times New Roman" w:cs="Times New Roman"/>
          <w:sz w:val="24"/>
          <w:szCs w:val="24"/>
        </w:rPr>
        <w:t xml:space="preserve"> 2019</w:t>
      </w:r>
      <w:r>
        <w:rPr>
          <w:rFonts w:ascii="Times New Roman" w:hAnsi="Times New Roman" w:cs="Times New Roman"/>
          <w:sz w:val="24"/>
          <w:szCs w:val="24"/>
          <w:lang w:val="en-US"/>
        </w:rPr>
        <w:t xml:space="preserve">, </w:t>
      </w:r>
      <w:r>
        <w:rPr>
          <w:rFonts w:ascii="Times New Roman" w:hAnsi="Times New Roman" w:cs="Times New Roman"/>
          <w:sz w:val="24"/>
          <w:szCs w:val="24"/>
        </w:rPr>
        <w:t>249:45-53.</w:t>
      </w:r>
    </w:p>
    <w:p w14:paraId="14770E92" w14:textId="77777777" w:rsidR="00BD7383" w:rsidRDefault="00000000">
      <w:pPr>
        <w:jc w:val="both"/>
        <w:rPr>
          <w:rFonts w:ascii="Times New Roman" w:hAnsi="Times New Roman" w:cs="Times New Roman"/>
          <w:sz w:val="24"/>
          <w:szCs w:val="24"/>
          <w:lang w:val="en-US"/>
        </w:rPr>
      </w:pPr>
      <w:r>
        <w:rPr>
          <w:rFonts w:ascii="Times New Roman" w:hAnsi="Times New Roman" w:cs="Times New Roman"/>
          <w:sz w:val="24"/>
          <w:szCs w:val="24"/>
        </w:rPr>
        <w:t xml:space="preserve">[9] Mohamad M, </w:t>
      </w:r>
      <w:proofErr w:type="spellStart"/>
      <w:r>
        <w:rPr>
          <w:rFonts w:ascii="Times New Roman" w:hAnsi="Times New Roman" w:cs="Times New Roman"/>
          <w:sz w:val="24"/>
          <w:szCs w:val="24"/>
        </w:rPr>
        <w:t>Wannahari</w:t>
      </w:r>
      <w:proofErr w:type="spellEnd"/>
      <w:r>
        <w:rPr>
          <w:rFonts w:ascii="Times New Roman" w:hAnsi="Times New Roman" w:cs="Times New Roman"/>
          <w:sz w:val="24"/>
          <w:szCs w:val="24"/>
        </w:rPr>
        <w:t xml:space="preserve"> R, Mohammad R, </w:t>
      </w:r>
      <w:proofErr w:type="spellStart"/>
      <w:r>
        <w:rPr>
          <w:rFonts w:ascii="Times New Roman" w:hAnsi="Times New Roman" w:cs="Times New Roman"/>
          <w:sz w:val="24"/>
          <w:szCs w:val="24"/>
        </w:rPr>
        <w:t>Shoparwe</w:t>
      </w:r>
      <w:proofErr w:type="spellEnd"/>
      <w:r>
        <w:rPr>
          <w:rFonts w:ascii="Times New Roman" w:hAnsi="Times New Roman" w:cs="Times New Roman"/>
          <w:sz w:val="24"/>
          <w:szCs w:val="24"/>
        </w:rPr>
        <w:t xml:space="preserve"> NF, Nawi ASM, Lun KW, et al. Adsorption of malachite green dye using spent coffee ground biochar: optimisation using response surface methodology. </w:t>
      </w:r>
      <w:proofErr w:type="spellStart"/>
      <w:r>
        <w:rPr>
          <w:rFonts w:ascii="Times New Roman" w:hAnsi="Times New Roman" w:cs="Times New Roman"/>
          <w:sz w:val="24"/>
          <w:szCs w:val="24"/>
        </w:rPr>
        <w:t>Jurnal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Teknologi</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2021</w:t>
      </w:r>
      <w:r>
        <w:rPr>
          <w:rFonts w:ascii="Times New Roman" w:hAnsi="Times New Roman" w:cs="Times New Roman"/>
          <w:sz w:val="24"/>
          <w:szCs w:val="24"/>
          <w:lang w:val="en-US"/>
        </w:rPr>
        <w:t>, 83 (1):1–12</w:t>
      </w:r>
    </w:p>
    <w:p w14:paraId="3676C5CB"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 xml:space="preserve">[10] </w:t>
      </w:r>
      <w:proofErr w:type="spellStart"/>
      <w:r>
        <w:rPr>
          <w:rFonts w:ascii="Times New Roman" w:hAnsi="Times New Roman" w:cs="Times New Roman"/>
          <w:sz w:val="24"/>
          <w:szCs w:val="24"/>
        </w:rPr>
        <w:t>Savcı</w:t>
      </w:r>
      <w:proofErr w:type="spellEnd"/>
      <w:r>
        <w:rPr>
          <w:rFonts w:ascii="Times New Roman" w:hAnsi="Times New Roman" w:cs="Times New Roman"/>
          <w:sz w:val="24"/>
          <w:szCs w:val="24"/>
        </w:rPr>
        <w:t xml:space="preserve"> S, Dönmez S, </w:t>
      </w:r>
      <w:proofErr w:type="spellStart"/>
      <w:r>
        <w:rPr>
          <w:rFonts w:ascii="Times New Roman" w:hAnsi="Times New Roman" w:cs="Times New Roman"/>
          <w:sz w:val="24"/>
          <w:szCs w:val="24"/>
        </w:rPr>
        <w:t>Mazmancı</w:t>
      </w:r>
      <w:proofErr w:type="spellEnd"/>
      <w:r>
        <w:rPr>
          <w:rFonts w:ascii="Times New Roman" w:hAnsi="Times New Roman" w:cs="Times New Roman"/>
          <w:sz w:val="24"/>
          <w:szCs w:val="24"/>
        </w:rPr>
        <w:t xml:space="preserve"> MA. PERFORMANCE AND MECHANISMS OF MALACHITE GREEN DYE ADSORPTION USING INDUSTRIAL SOLID WASTE AS ADSORBENT. </w:t>
      </w:r>
      <w:hyperlink r:id="rId17" w:history="1">
        <w:r>
          <w:rPr>
            <w:rFonts w:ascii="Times New Roman" w:hAnsi="Times New Roman" w:cs="Times New Roman"/>
            <w:sz w:val="24"/>
            <w:szCs w:val="24"/>
          </w:rPr>
          <w:t>Environmental Engineering and Management Journal</w:t>
        </w:r>
        <w:r>
          <w:rPr>
            <w:rFonts w:ascii="Times New Roman" w:hAnsi="Times New Roman" w:cs="Times New Roman"/>
            <w:sz w:val="24"/>
            <w:szCs w:val="24"/>
            <w:lang w:val="en-US"/>
          </w:rPr>
          <w:t>,</w:t>
        </w:r>
      </w:hyperlink>
      <w:r>
        <w:rPr>
          <w:rFonts w:ascii="Times New Roman" w:hAnsi="Times New Roman" w:cs="Times New Roman"/>
          <w:sz w:val="24"/>
          <w:szCs w:val="24"/>
        </w:rPr>
        <w:t xml:space="preserve"> 2023</w:t>
      </w:r>
      <w:r>
        <w:rPr>
          <w:rFonts w:ascii="Times New Roman" w:hAnsi="Times New Roman" w:cs="Times New Roman"/>
          <w:sz w:val="24"/>
          <w:szCs w:val="24"/>
          <w:lang w:val="en-US"/>
        </w:rPr>
        <w:t xml:space="preserve">, </w:t>
      </w:r>
      <w:r>
        <w:rPr>
          <w:rFonts w:ascii="Times New Roman" w:hAnsi="Times New Roman" w:cs="Times New Roman"/>
          <w:sz w:val="24"/>
          <w:szCs w:val="24"/>
        </w:rPr>
        <w:t>22.</w:t>
      </w:r>
    </w:p>
    <w:p w14:paraId="058EBAEC"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 xml:space="preserve">[11] Saha P, Chowdhury S, Gupta S, Kumar I. Insight into adsorption equilibrium, </w:t>
      </w:r>
      <w:proofErr w:type="gramStart"/>
      <w:r>
        <w:rPr>
          <w:rFonts w:ascii="Times New Roman" w:hAnsi="Times New Roman" w:cs="Times New Roman"/>
          <w:sz w:val="24"/>
          <w:szCs w:val="24"/>
        </w:rPr>
        <w:t>kinetics</w:t>
      </w:r>
      <w:proofErr w:type="gramEnd"/>
      <w:r>
        <w:rPr>
          <w:rFonts w:ascii="Times New Roman" w:hAnsi="Times New Roman" w:cs="Times New Roman"/>
          <w:sz w:val="24"/>
          <w:szCs w:val="24"/>
        </w:rPr>
        <w:t xml:space="preserve"> and thermodynamics of Malachite Green onto clayey soil of Indian origin. Chem</w:t>
      </w:r>
      <w:proofErr w:type="spellStart"/>
      <w:r>
        <w:rPr>
          <w:rFonts w:ascii="Times New Roman" w:hAnsi="Times New Roman" w:cs="Times New Roman"/>
          <w:sz w:val="24"/>
          <w:szCs w:val="24"/>
          <w:lang w:val="en-US"/>
        </w:rPr>
        <w:t>ical</w:t>
      </w:r>
      <w:proofErr w:type="spellEnd"/>
      <w:r>
        <w:rPr>
          <w:rFonts w:ascii="Times New Roman" w:hAnsi="Times New Roman" w:cs="Times New Roman"/>
          <w:sz w:val="24"/>
          <w:szCs w:val="24"/>
        </w:rPr>
        <w:t xml:space="preserve"> Eng</w:t>
      </w:r>
      <w:proofErr w:type="spellStart"/>
      <w:r>
        <w:rPr>
          <w:rFonts w:ascii="Times New Roman" w:hAnsi="Times New Roman" w:cs="Times New Roman"/>
          <w:sz w:val="24"/>
          <w:szCs w:val="24"/>
          <w:lang w:val="en-US"/>
        </w:rPr>
        <w:t>ineering</w:t>
      </w:r>
      <w:proofErr w:type="spellEnd"/>
      <w:r>
        <w:rPr>
          <w:rFonts w:ascii="Times New Roman" w:hAnsi="Times New Roman" w:cs="Times New Roman"/>
          <w:sz w:val="24"/>
          <w:szCs w:val="24"/>
        </w:rPr>
        <w:t xml:space="preserve"> J</w:t>
      </w:r>
      <w:proofErr w:type="spellStart"/>
      <w:r>
        <w:rPr>
          <w:rFonts w:ascii="Times New Roman" w:hAnsi="Times New Roman" w:cs="Times New Roman"/>
          <w:sz w:val="24"/>
          <w:szCs w:val="24"/>
          <w:lang w:val="en-US"/>
        </w:rPr>
        <w:t>ournal</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2010</w:t>
      </w:r>
      <w:r>
        <w:rPr>
          <w:rFonts w:ascii="Times New Roman" w:hAnsi="Times New Roman" w:cs="Times New Roman"/>
          <w:sz w:val="24"/>
          <w:szCs w:val="24"/>
          <w:lang w:val="en-US"/>
        </w:rPr>
        <w:t xml:space="preserve">, </w:t>
      </w:r>
      <w:r>
        <w:rPr>
          <w:rFonts w:ascii="Times New Roman" w:hAnsi="Times New Roman" w:cs="Times New Roman"/>
          <w:sz w:val="24"/>
          <w:szCs w:val="24"/>
        </w:rPr>
        <w:t>165:874-82.</w:t>
      </w:r>
    </w:p>
    <w:p w14:paraId="4FA5A1F0"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[12] Gündüz F, Bayrak B. Biosorption of malachite green from an aqueous solution using pomegranate peel: equilibrium modelling, kinetic and thermodynamic studies.</w:t>
      </w:r>
      <w:hyperlink r:id="rId18" w:history="1">
        <w:r>
          <w:rPr>
            <w:rFonts w:ascii="Times New Roman" w:hAnsi="Times New Roman" w:cs="Times New Roman"/>
            <w:sz w:val="24"/>
            <w:szCs w:val="24"/>
            <w:lang w:val="en-US" w:eastAsia="zh-CN"/>
          </w:rPr>
          <w:t xml:space="preserve"> </w:t>
        </w:r>
        <w:r>
          <w:rPr>
            <w:rFonts w:ascii="Times New Roman" w:hAnsi="Times New Roman" w:cs="Times New Roman"/>
            <w:sz w:val="24"/>
            <w:szCs w:val="24"/>
          </w:rPr>
          <w:t>Journal of Molecular Liquids</w:t>
        </w:r>
        <w:r>
          <w:rPr>
            <w:rFonts w:ascii="Times New Roman" w:hAnsi="Times New Roman" w:cs="Times New Roman"/>
            <w:sz w:val="24"/>
            <w:szCs w:val="24"/>
            <w:lang w:val="en-US"/>
          </w:rPr>
          <w:t>,</w:t>
        </w:r>
      </w:hyperlink>
      <w:r>
        <w:rPr>
          <w:rFonts w:ascii="Times New Roman" w:hAnsi="Times New Roman" w:cs="Times New Roman"/>
          <w:sz w:val="24"/>
          <w:szCs w:val="24"/>
        </w:rPr>
        <w:t xml:space="preserve"> 2017</w:t>
      </w:r>
      <w:r>
        <w:rPr>
          <w:rFonts w:ascii="Times New Roman" w:hAnsi="Times New Roman" w:cs="Times New Roman"/>
          <w:sz w:val="24"/>
          <w:szCs w:val="24"/>
          <w:lang w:val="en-US"/>
        </w:rPr>
        <w:t xml:space="preserve">, </w:t>
      </w:r>
      <w:r>
        <w:rPr>
          <w:rFonts w:ascii="Times New Roman" w:hAnsi="Times New Roman" w:cs="Times New Roman"/>
          <w:sz w:val="24"/>
          <w:szCs w:val="24"/>
        </w:rPr>
        <w:t>243:790-8.</w:t>
      </w:r>
    </w:p>
    <w:p w14:paraId="2042427D"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lastRenderedPageBreak/>
        <w:t xml:space="preserve">[13] Garg V, Kumar R, Gupta R. Removal of malachite green dye from aqueous solution by adsorption using </w:t>
      </w:r>
      <w:proofErr w:type="spellStart"/>
      <w:r>
        <w:rPr>
          <w:rFonts w:ascii="Times New Roman" w:hAnsi="Times New Roman" w:cs="Times New Roman"/>
          <w:sz w:val="24"/>
          <w:szCs w:val="24"/>
        </w:rPr>
        <w:t>agro</w:t>
      </w:r>
      <w:proofErr w:type="spellEnd"/>
      <w:r>
        <w:rPr>
          <w:rFonts w:ascii="Times New Roman" w:hAnsi="Times New Roman" w:cs="Times New Roman"/>
          <w:sz w:val="24"/>
          <w:szCs w:val="24"/>
        </w:rPr>
        <w:t xml:space="preserve">-industry waste: a case study of Prosopis cineraria. Dyes </w:t>
      </w:r>
      <w:proofErr w:type="gramStart"/>
      <w:r>
        <w:rPr>
          <w:rFonts w:ascii="Times New Roman" w:hAnsi="Times New Roman" w:cs="Times New Roman"/>
          <w:sz w:val="24"/>
          <w:szCs w:val="24"/>
        </w:rPr>
        <w:t>Pigments</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2004</w:t>
      </w:r>
      <w:proofErr w:type="gramEnd"/>
      <w:r>
        <w:rPr>
          <w:rFonts w:ascii="Times New Roman" w:hAnsi="Times New Roman" w:cs="Times New Roman"/>
          <w:sz w:val="24"/>
          <w:szCs w:val="24"/>
          <w:lang w:val="en-US"/>
        </w:rPr>
        <w:t xml:space="preserve">, </w:t>
      </w:r>
      <w:r>
        <w:rPr>
          <w:rFonts w:ascii="Times New Roman" w:hAnsi="Times New Roman" w:cs="Times New Roman"/>
          <w:sz w:val="24"/>
          <w:szCs w:val="24"/>
        </w:rPr>
        <w:t>62:1-10.</w:t>
      </w:r>
    </w:p>
    <w:p w14:paraId="28FD8822"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 xml:space="preserve">[14] Rajabi M, Mirza B, </w:t>
      </w:r>
      <w:proofErr w:type="spellStart"/>
      <w:r>
        <w:rPr>
          <w:rFonts w:ascii="Times New Roman" w:hAnsi="Times New Roman" w:cs="Times New Roman"/>
          <w:sz w:val="24"/>
          <w:szCs w:val="24"/>
        </w:rPr>
        <w:t>Mahanpoor</w:t>
      </w:r>
      <w:proofErr w:type="spellEnd"/>
      <w:r>
        <w:rPr>
          <w:rFonts w:ascii="Times New Roman" w:hAnsi="Times New Roman" w:cs="Times New Roman"/>
          <w:sz w:val="24"/>
          <w:szCs w:val="24"/>
        </w:rPr>
        <w:t xml:space="preserve"> K, </w:t>
      </w:r>
      <w:proofErr w:type="spellStart"/>
      <w:r>
        <w:rPr>
          <w:rFonts w:ascii="Times New Roman" w:hAnsi="Times New Roman" w:cs="Times New Roman"/>
          <w:sz w:val="24"/>
          <w:szCs w:val="24"/>
        </w:rPr>
        <w:t>Mirjalili</w:t>
      </w:r>
      <w:proofErr w:type="spellEnd"/>
      <w:r>
        <w:rPr>
          <w:rFonts w:ascii="Times New Roman" w:hAnsi="Times New Roman" w:cs="Times New Roman"/>
          <w:sz w:val="24"/>
          <w:szCs w:val="24"/>
        </w:rPr>
        <w:t xml:space="preserve"> M, Najafi F, Moradi O, et al. Adsorption of malachite green from aqueous solution by carboxylate group functionalized multi-walled carbon nanotubes: determination of equilibrium and kinetics parameters. </w:t>
      </w:r>
      <w:hyperlink r:id="rId19" w:history="1">
        <w:r>
          <w:rPr>
            <w:rFonts w:ascii="Times New Roman" w:hAnsi="Times New Roman" w:cs="Times New Roman"/>
            <w:sz w:val="24"/>
            <w:szCs w:val="24"/>
          </w:rPr>
          <w:t>Journal of Industrial and Engineering Chemistry</w:t>
        </w:r>
        <w:r>
          <w:rPr>
            <w:rFonts w:ascii="Times New Roman" w:hAnsi="Times New Roman" w:cs="Times New Roman"/>
            <w:sz w:val="24"/>
            <w:szCs w:val="24"/>
            <w:lang w:val="en-US"/>
          </w:rPr>
          <w:t>,</w:t>
        </w:r>
      </w:hyperlink>
      <w:r>
        <w:rPr>
          <w:rFonts w:ascii="Times New Roman" w:hAnsi="Times New Roman" w:cs="Times New Roman"/>
          <w:sz w:val="24"/>
          <w:szCs w:val="24"/>
        </w:rPr>
        <w:t xml:space="preserve"> 2016</w:t>
      </w:r>
      <w:r>
        <w:rPr>
          <w:rFonts w:ascii="Times New Roman" w:hAnsi="Times New Roman" w:cs="Times New Roman"/>
          <w:sz w:val="24"/>
          <w:szCs w:val="24"/>
          <w:lang w:val="en-US"/>
        </w:rPr>
        <w:t xml:space="preserve">, </w:t>
      </w:r>
      <w:r>
        <w:rPr>
          <w:rFonts w:ascii="Times New Roman" w:hAnsi="Times New Roman" w:cs="Times New Roman"/>
          <w:sz w:val="24"/>
          <w:szCs w:val="24"/>
        </w:rPr>
        <w:t>34:130-8.</w:t>
      </w:r>
    </w:p>
    <w:p w14:paraId="215C4836"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 xml:space="preserve">[15] </w:t>
      </w:r>
      <w:proofErr w:type="spellStart"/>
      <w:r>
        <w:rPr>
          <w:rFonts w:ascii="Times New Roman" w:hAnsi="Times New Roman" w:cs="Times New Roman"/>
          <w:sz w:val="24"/>
          <w:szCs w:val="24"/>
        </w:rPr>
        <w:t>Gebreslassie</w:t>
      </w:r>
      <w:proofErr w:type="spellEnd"/>
      <w:r>
        <w:rPr>
          <w:rFonts w:ascii="Times New Roman" w:hAnsi="Times New Roman" w:cs="Times New Roman"/>
          <w:sz w:val="24"/>
          <w:szCs w:val="24"/>
        </w:rPr>
        <w:t xml:space="preserve"> YT. Equilibrium, kinetics, and thermodynamic studies of malachite green adsorption onto Fig (Ficus </w:t>
      </w:r>
      <w:proofErr w:type="spellStart"/>
      <w:r>
        <w:rPr>
          <w:rFonts w:ascii="Times New Roman" w:hAnsi="Times New Roman" w:cs="Times New Roman"/>
          <w:sz w:val="24"/>
          <w:szCs w:val="24"/>
        </w:rPr>
        <w:t>cartia</w:t>
      </w:r>
      <w:proofErr w:type="spellEnd"/>
      <w:r>
        <w:rPr>
          <w:rFonts w:ascii="Times New Roman" w:hAnsi="Times New Roman" w:cs="Times New Roman"/>
          <w:sz w:val="24"/>
          <w:szCs w:val="24"/>
        </w:rPr>
        <w:t xml:space="preserve">) leaves. </w:t>
      </w:r>
      <w:hyperlink r:id="rId20" w:history="1">
        <w:r>
          <w:rPr>
            <w:rFonts w:ascii="Times New Roman" w:hAnsi="Times New Roman" w:cs="Times New Roman"/>
            <w:sz w:val="24"/>
            <w:szCs w:val="24"/>
          </w:rPr>
          <w:t>Journal of Analytical Methods in Chemistry</w:t>
        </w:r>
        <w:r>
          <w:rPr>
            <w:rFonts w:ascii="Times New Roman" w:hAnsi="Times New Roman" w:cs="Times New Roman"/>
            <w:sz w:val="24"/>
            <w:szCs w:val="24"/>
            <w:lang w:val="en-US"/>
          </w:rPr>
          <w:t>,</w:t>
        </w:r>
      </w:hyperlink>
      <w:r>
        <w:rPr>
          <w:rFonts w:ascii="Times New Roman" w:hAnsi="Times New Roman" w:cs="Times New Roman"/>
          <w:sz w:val="24"/>
          <w:szCs w:val="24"/>
          <w:lang w:val="en-US" w:eastAsia="zh-CN"/>
        </w:rPr>
        <w:t xml:space="preserve"> </w:t>
      </w:r>
      <w:r>
        <w:rPr>
          <w:rFonts w:ascii="Times New Roman" w:hAnsi="Times New Roman" w:cs="Times New Roman"/>
          <w:sz w:val="24"/>
          <w:szCs w:val="24"/>
        </w:rPr>
        <w:t>2020</w:t>
      </w:r>
      <w:r>
        <w:rPr>
          <w:rFonts w:ascii="Times New Roman" w:hAnsi="Times New Roman" w:cs="Times New Roman"/>
          <w:sz w:val="24"/>
          <w:szCs w:val="24"/>
          <w:lang w:val="en-US"/>
        </w:rPr>
        <w:t xml:space="preserve">, </w:t>
      </w:r>
      <w:r>
        <w:rPr>
          <w:rFonts w:ascii="Times New Roman" w:hAnsi="Times New Roman" w:cs="Times New Roman"/>
          <w:sz w:val="24"/>
          <w:szCs w:val="24"/>
        </w:rPr>
        <w:t>7384675</w:t>
      </w:r>
    </w:p>
    <w:p w14:paraId="6C4AFA82" w14:textId="5C3CC260" w:rsidR="00BD7383" w:rsidRDefault="00000000">
      <w:pPr>
        <w:jc w:val="both"/>
        <w:rPr>
          <w:rFonts w:ascii="Times New Roman" w:hAnsi="Times New Roman" w:cs="Times New Roman"/>
          <w:sz w:val="24"/>
          <w:szCs w:val="24"/>
        </w:rPr>
      </w:pPr>
      <w:r>
        <w:rPr>
          <w:rFonts w:ascii="Times New Roman" w:hAnsi="Times New Roman" w:cs="Times New Roman"/>
          <w:sz w:val="24"/>
          <w:szCs w:val="24"/>
        </w:rPr>
        <w:t>[16] Shayesteh H, Rahbar-</w:t>
      </w:r>
      <w:proofErr w:type="spellStart"/>
      <w:r>
        <w:rPr>
          <w:rFonts w:ascii="Times New Roman" w:hAnsi="Times New Roman" w:cs="Times New Roman"/>
          <w:sz w:val="24"/>
          <w:szCs w:val="24"/>
        </w:rPr>
        <w:t>Kelishami</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Norouzbeigi</w:t>
      </w:r>
      <w:proofErr w:type="spellEnd"/>
      <w:r>
        <w:rPr>
          <w:rFonts w:ascii="Times New Roman" w:hAnsi="Times New Roman" w:cs="Times New Roman"/>
          <w:sz w:val="24"/>
          <w:szCs w:val="24"/>
        </w:rPr>
        <w:t xml:space="preserve"> R. Adsorption of malachite green and crystal violet cationic dyes from aqueous solution using pumice stone as a low-cost adsorbent: kinetic, equilibrium, and thermodynamic studies. Desal Water Treatment. 2016</w:t>
      </w:r>
      <w:r w:rsidR="001F0386">
        <w:rPr>
          <w:rFonts w:ascii="Times New Roman" w:hAnsi="Times New Roman" w:cs="Times New Roman"/>
          <w:sz w:val="24"/>
          <w:szCs w:val="24"/>
        </w:rPr>
        <w:t xml:space="preserve">, </w:t>
      </w:r>
      <w:r>
        <w:rPr>
          <w:rFonts w:ascii="Times New Roman" w:hAnsi="Times New Roman" w:cs="Times New Roman"/>
          <w:sz w:val="24"/>
          <w:szCs w:val="24"/>
        </w:rPr>
        <w:t>57:12822-31.</w:t>
      </w:r>
    </w:p>
    <w:p w14:paraId="13794497"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 xml:space="preserve">[17] </w:t>
      </w:r>
      <w:proofErr w:type="spellStart"/>
      <w:r>
        <w:rPr>
          <w:rFonts w:ascii="Times New Roman" w:hAnsi="Times New Roman" w:cs="Times New Roman"/>
          <w:sz w:val="24"/>
          <w:szCs w:val="24"/>
        </w:rPr>
        <w:t>Rathour</w:t>
      </w:r>
      <w:proofErr w:type="spellEnd"/>
      <w:r>
        <w:rPr>
          <w:rFonts w:ascii="Times New Roman" w:hAnsi="Times New Roman" w:cs="Times New Roman"/>
          <w:sz w:val="24"/>
          <w:szCs w:val="24"/>
        </w:rPr>
        <w:t xml:space="preserve"> R, Das P, </w:t>
      </w:r>
      <w:proofErr w:type="spellStart"/>
      <w:r>
        <w:rPr>
          <w:rFonts w:ascii="Times New Roman" w:hAnsi="Times New Roman" w:cs="Times New Roman"/>
          <w:sz w:val="24"/>
          <w:szCs w:val="24"/>
        </w:rPr>
        <w:t>Aikat</w:t>
      </w:r>
      <w:proofErr w:type="spellEnd"/>
      <w:r>
        <w:rPr>
          <w:rFonts w:ascii="Times New Roman" w:hAnsi="Times New Roman" w:cs="Times New Roman"/>
          <w:sz w:val="24"/>
          <w:szCs w:val="24"/>
        </w:rPr>
        <w:t xml:space="preserve"> K. Microwave-assisted synthesis of graphene and its application for adsorptive removal of malachite green: thermodynamics, </w:t>
      </w:r>
      <w:proofErr w:type="gramStart"/>
      <w:r>
        <w:rPr>
          <w:rFonts w:ascii="Times New Roman" w:hAnsi="Times New Roman" w:cs="Times New Roman"/>
          <w:sz w:val="24"/>
          <w:szCs w:val="24"/>
        </w:rPr>
        <w:t>kinetics</w:t>
      </w:r>
      <w:proofErr w:type="gramEnd"/>
      <w:r>
        <w:rPr>
          <w:rFonts w:ascii="Times New Roman" w:hAnsi="Times New Roman" w:cs="Times New Roman"/>
          <w:sz w:val="24"/>
          <w:szCs w:val="24"/>
        </w:rPr>
        <w:t xml:space="preserve"> and isotherm study. Desal Water Treatment. </w:t>
      </w:r>
      <w:proofErr w:type="gramStart"/>
      <w:r>
        <w:rPr>
          <w:rFonts w:ascii="Times New Roman" w:hAnsi="Times New Roman" w:cs="Times New Roman"/>
          <w:sz w:val="24"/>
          <w:szCs w:val="24"/>
        </w:rPr>
        <w:t>2016;57:7312</w:t>
      </w:r>
      <w:proofErr w:type="gramEnd"/>
      <w:r>
        <w:rPr>
          <w:rFonts w:ascii="Times New Roman" w:hAnsi="Times New Roman" w:cs="Times New Roman"/>
          <w:sz w:val="24"/>
          <w:szCs w:val="24"/>
        </w:rPr>
        <w:t>-21.</w:t>
      </w:r>
    </w:p>
    <w:p w14:paraId="2E4915F8"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[18] Han X, Yuan J, Ma X. Adsorption of malachite green from aqueous solutions onto lotus leaf: equilibrium, kinetic, and thermodynamic studies. Desal</w:t>
      </w:r>
      <w:proofErr w:type="spellStart"/>
      <w:r>
        <w:rPr>
          <w:rFonts w:ascii="Times New Roman" w:hAnsi="Times New Roman" w:cs="Times New Roman"/>
          <w:sz w:val="24"/>
          <w:szCs w:val="24"/>
          <w:lang w:val="en-US"/>
        </w:rPr>
        <w:t>lination</w:t>
      </w:r>
      <w:proofErr w:type="spellEnd"/>
      <w:r>
        <w:rPr>
          <w:rFonts w:ascii="Times New Roman" w:hAnsi="Times New Roman" w:cs="Times New Roman"/>
          <w:sz w:val="24"/>
          <w:szCs w:val="24"/>
          <w:lang w:val="en-US"/>
        </w:rPr>
        <w:t xml:space="preserve"> and</w:t>
      </w:r>
      <w:r>
        <w:rPr>
          <w:rFonts w:ascii="Times New Roman" w:hAnsi="Times New Roman" w:cs="Times New Roman"/>
          <w:sz w:val="24"/>
          <w:szCs w:val="24"/>
        </w:rPr>
        <w:t xml:space="preserve"> Water </w:t>
      </w:r>
      <w:proofErr w:type="gramStart"/>
      <w:r>
        <w:rPr>
          <w:rFonts w:ascii="Times New Roman" w:hAnsi="Times New Roman" w:cs="Times New Roman"/>
          <w:sz w:val="24"/>
          <w:szCs w:val="24"/>
        </w:rPr>
        <w:t>Treatment</w:t>
      </w:r>
      <w:r>
        <w:rPr>
          <w:rFonts w:ascii="Times New Roman" w:hAnsi="Times New Roman" w:cs="Times New Roman"/>
          <w:sz w:val="24"/>
          <w:szCs w:val="24"/>
          <w:lang w:val="en-US"/>
        </w:rPr>
        <w:t xml:space="preserve">, </w:t>
      </w:r>
      <w:r>
        <w:rPr>
          <w:rFonts w:ascii="Times New Roman" w:hAnsi="Times New Roman" w:cs="Times New Roman"/>
          <w:sz w:val="24"/>
          <w:szCs w:val="24"/>
        </w:rPr>
        <w:t xml:space="preserve"> 2014</w:t>
      </w:r>
      <w:proofErr w:type="gramEnd"/>
      <w:r>
        <w:rPr>
          <w:rFonts w:ascii="Times New Roman" w:hAnsi="Times New Roman" w:cs="Times New Roman"/>
          <w:sz w:val="24"/>
          <w:szCs w:val="24"/>
          <w:lang w:val="en-US"/>
        </w:rPr>
        <w:t xml:space="preserve">, </w:t>
      </w:r>
      <w:r>
        <w:rPr>
          <w:rFonts w:ascii="Times New Roman" w:hAnsi="Times New Roman" w:cs="Times New Roman"/>
          <w:sz w:val="24"/>
          <w:szCs w:val="24"/>
        </w:rPr>
        <w:t>52:5563-74.</w:t>
      </w:r>
    </w:p>
    <w:p w14:paraId="44DC9F03" w14:textId="77777777" w:rsidR="00BD7383" w:rsidRDefault="00000000">
      <w:pPr>
        <w:jc w:val="both"/>
        <w:rPr>
          <w:rFonts w:ascii="Times New Roman" w:hAnsi="Times New Roman" w:cs="Times New Roman"/>
          <w:sz w:val="24"/>
          <w:szCs w:val="24"/>
        </w:rPr>
      </w:pPr>
      <w:r>
        <w:rPr>
          <w:rFonts w:ascii="Times New Roman" w:hAnsi="Times New Roman" w:cs="Times New Roman"/>
          <w:sz w:val="24"/>
          <w:szCs w:val="24"/>
        </w:rPr>
        <w:t>[19] Hameed B, El-</w:t>
      </w:r>
      <w:proofErr w:type="spellStart"/>
      <w:r>
        <w:rPr>
          <w:rFonts w:ascii="Times New Roman" w:hAnsi="Times New Roman" w:cs="Times New Roman"/>
          <w:sz w:val="24"/>
          <w:szCs w:val="24"/>
        </w:rPr>
        <w:t>Khaiary</w:t>
      </w:r>
      <w:proofErr w:type="spellEnd"/>
      <w:r>
        <w:rPr>
          <w:rFonts w:ascii="Times New Roman" w:hAnsi="Times New Roman" w:cs="Times New Roman"/>
          <w:sz w:val="24"/>
          <w:szCs w:val="24"/>
        </w:rPr>
        <w:t xml:space="preserve"> M. Malachite green adsorption by rattan sawdust: Isotherm, kinetic and mechanism </w:t>
      </w:r>
      <w:proofErr w:type="spellStart"/>
      <w:r>
        <w:rPr>
          <w:rFonts w:ascii="Times New Roman" w:hAnsi="Times New Roman" w:cs="Times New Roman"/>
          <w:sz w:val="24"/>
          <w:szCs w:val="24"/>
        </w:rPr>
        <w:t>modeling</w:t>
      </w:r>
      <w:proofErr w:type="spellEnd"/>
      <w:r>
        <w:rPr>
          <w:rFonts w:ascii="Times New Roman" w:hAnsi="Times New Roman" w:cs="Times New Roman"/>
          <w:sz w:val="24"/>
          <w:szCs w:val="24"/>
        </w:rPr>
        <w:t>. J</w:t>
      </w:r>
      <w:proofErr w:type="spellStart"/>
      <w:r>
        <w:rPr>
          <w:rFonts w:ascii="Times New Roman" w:hAnsi="Times New Roman" w:cs="Times New Roman"/>
          <w:sz w:val="24"/>
          <w:szCs w:val="24"/>
          <w:lang w:val="en-US"/>
        </w:rPr>
        <w:t>ournal</w:t>
      </w:r>
      <w:proofErr w:type="spellEnd"/>
      <w:r>
        <w:rPr>
          <w:rFonts w:ascii="Times New Roman" w:hAnsi="Times New Roman" w:cs="Times New Roman"/>
          <w:sz w:val="24"/>
          <w:szCs w:val="24"/>
          <w:lang w:val="en-US"/>
        </w:rPr>
        <w:t xml:space="preserve"> of</w:t>
      </w:r>
      <w:r>
        <w:rPr>
          <w:rFonts w:ascii="Times New Roman" w:hAnsi="Times New Roman" w:cs="Times New Roman"/>
          <w:sz w:val="24"/>
          <w:szCs w:val="24"/>
        </w:rPr>
        <w:t xml:space="preserve"> Hazard Mater</w:t>
      </w:r>
      <w:proofErr w:type="spellStart"/>
      <w:r>
        <w:rPr>
          <w:rFonts w:ascii="Times New Roman" w:hAnsi="Times New Roman" w:cs="Times New Roman"/>
          <w:sz w:val="24"/>
          <w:szCs w:val="24"/>
          <w:lang w:val="en-US"/>
        </w:rPr>
        <w:t>ials</w:t>
      </w:r>
      <w:proofErr w:type="spellEnd"/>
      <w:r>
        <w:rPr>
          <w:rFonts w:ascii="Times New Roman" w:hAnsi="Times New Roman" w:cs="Times New Roman"/>
          <w:sz w:val="24"/>
          <w:szCs w:val="24"/>
          <w:lang w:val="en-US"/>
        </w:rPr>
        <w:t>,</w:t>
      </w:r>
      <w:r>
        <w:rPr>
          <w:rFonts w:ascii="Times New Roman" w:hAnsi="Times New Roman" w:cs="Times New Roman"/>
          <w:sz w:val="24"/>
          <w:szCs w:val="24"/>
        </w:rPr>
        <w:t xml:space="preserve"> 2008</w:t>
      </w:r>
      <w:r>
        <w:rPr>
          <w:rFonts w:ascii="Times New Roman" w:hAnsi="Times New Roman" w:cs="Times New Roman"/>
          <w:sz w:val="24"/>
          <w:szCs w:val="24"/>
          <w:lang w:val="en-US"/>
        </w:rPr>
        <w:t xml:space="preserve">, </w:t>
      </w:r>
      <w:r>
        <w:rPr>
          <w:rFonts w:ascii="Times New Roman" w:hAnsi="Times New Roman" w:cs="Times New Roman"/>
          <w:sz w:val="24"/>
          <w:szCs w:val="24"/>
        </w:rPr>
        <w:t>159:574-9.</w:t>
      </w:r>
    </w:p>
    <w:sectPr w:rsidR="00BD738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D04E71" w14:textId="77777777" w:rsidR="00B862A9" w:rsidRDefault="00B862A9">
      <w:pPr>
        <w:spacing w:line="240" w:lineRule="auto"/>
      </w:pPr>
      <w:r>
        <w:separator/>
      </w:r>
    </w:p>
  </w:endnote>
  <w:endnote w:type="continuationSeparator" w:id="0">
    <w:p w14:paraId="2C37FB72" w14:textId="77777777" w:rsidR="00B862A9" w:rsidRDefault="00B862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909E2C" w14:textId="77777777" w:rsidR="00B862A9" w:rsidRDefault="00B862A9">
      <w:pPr>
        <w:spacing w:after="0"/>
      </w:pPr>
      <w:r>
        <w:separator/>
      </w:r>
    </w:p>
  </w:footnote>
  <w:footnote w:type="continuationSeparator" w:id="0">
    <w:p w14:paraId="29E1B19B" w14:textId="77777777" w:rsidR="00B862A9" w:rsidRDefault="00B862A9">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c2N7a0MDU1MjeytLRQ0lEKTi0uzszPAymwrAUA1LqVwCwAAAA="/>
    <w:docVar w:name="EN.InstantFormat" w:val="&lt;ENInstantFormat&gt;&lt;Enabled&gt;0&lt;/Enabled&gt;&lt;ScanUnformatted&gt;1&lt;/ScanUnformatted&gt;&lt;ScanChanges&gt;1&lt;/ScanChanges&gt;&lt;Suspended&gt;0&lt;/Suspended&gt;&lt;/ENInstantFormat&gt;"/>
    <w:docVar w:name="EN.Layout" w:val="&lt;ENLayout&gt;&lt;Style&gt;Intl J Hydrogen Energy Copy&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x2wvsv00xaztkerzr3xpvrlvsste2s0wdfe&quot;&gt;My EndNote Library&lt;record-ids&gt;&lt;item&gt;3839&lt;/item&gt;&lt;item&gt;4614&lt;/item&gt;&lt;item&gt;4615&lt;/item&gt;&lt;item&gt;4616&lt;/item&gt;&lt;item&gt;4618&lt;/item&gt;&lt;item&gt;4619&lt;/item&gt;&lt;item&gt;4620&lt;/item&gt;&lt;item&gt;4621&lt;/item&gt;&lt;item&gt;4622&lt;/item&gt;&lt;item&gt;4623&lt;/item&gt;&lt;item&gt;4624&lt;/item&gt;&lt;item&gt;4625&lt;/item&gt;&lt;item&gt;4626&lt;/item&gt;&lt;item&gt;4627&lt;/item&gt;&lt;item&gt;4628&lt;/item&gt;&lt;item&gt;4629&lt;/item&gt;&lt;item&gt;4630&lt;/item&gt;&lt;item&gt;4631&lt;/item&gt;&lt;item&gt;4632&lt;/item&gt;&lt;/record-ids&gt;&lt;/item&gt;&lt;/Libraries&gt;"/>
  </w:docVars>
  <w:rsids>
    <w:rsidRoot w:val="00896360"/>
    <w:rsid w:val="0003216F"/>
    <w:rsid w:val="0007483B"/>
    <w:rsid w:val="000B23A6"/>
    <w:rsid w:val="000C270E"/>
    <w:rsid w:val="000F5AB7"/>
    <w:rsid w:val="00151330"/>
    <w:rsid w:val="001E64D6"/>
    <w:rsid w:val="001F0386"/>
    <w:rsid w:val="00231860"/>
    <w:rsid w:val="00274DFE"/>
    <w:rsid w:val="002C0F05"/>
    <w:rsid w:val="003129EF"/>
    <w:rsid w:val="00316514"/>
    <w:rsid w:val="00340B27"/>
    <w:rsid w:val="00344651"/>
    <w:rsid w:val="003F59F9"/>
    <w:rsid w:val="00553B34"/>
    <w:rsid w:val="0059151C"/>
    <w:rsid w:val="005B3BB2"/>
    <w:rsid w:val="005C7F9C"/>
    <w:rsid w:val="006541FD"/>
    <w:rsid w:val="0065733B"/>
    <w:rsid w:val="00692890"/>
    <w:rsid w:val="006A283D"/>
    <w:rsid w:val="006B04D0"/>
    <w:rsid w:val="006E02F3"/>
    <w:rsid w:val="0070073D"/>
    <w:rsid w:val="0071062A"/>
    <w:rsid w:val="008115D2"/>
    <w:rsid w:val="0083277D"/>
    <w:rsid w:val="00896360"/>
    <w:rsid w:val="00912059"/>
    <w:rsid w:val="009216BD"/>
    <w:rsid w:val="009342AC"/>
    <w:rsid w:val="009857F8"/>
    <w:rsid w:val="00A7499C"/>
    <w:rsid w:val="00AA25B4"/>
    <w:rsid w:val="00AE4A45"/>
    <w:rsid w:val="00B76B45"/>
    <w:rsid w:val="00B862A9"/>
    <w:rsid w:val="00BD7383"/>
    <w:rsid w:val="00BE5B5B"/>
    <w:rsid w:val="00C6199F"/>
    <w:rsid w:val="00CB1C50"/>
    <w:rsid w:val="00D6513D"/>
    <w:rsid w:val="00D954DB"/>
    <w:rsid w:val="00DA6DCE"/>
    <w:rsid w:val="00DD3C30"/>
    <w:rsid w:val="00DF541F"/>
    <w:rsid w:val="00F00A12"/>
    <w:rsid w:val="00F377A6"/>
    <w:rsid w:val="00F64324"/>
    <w:rsid w:val="068C23CD"/>
    <w:rsid w:val="3F0650FD"/>
  </w:rsids>
  <m:mathPr>
    <m:mathFont m:val="Cambria Math"/>
    <m:brkBin m:val="before"/>
    <m:brkBinSub m:val="--"/>
    <m:smallFrac m:val="0"/>
    <m:dispDef/>
    <m:lMargin m:val="0"/>
    <m:rMargin m:val="0"/>
    <m:defJc m:val="centerGroup"/>
    <m:wrapIndent m:val="1440"/>
    <m:intLim m:val="subSup"/>
    <m:naryLim m:val="undOvr"/>
  </m:mathPr>
  <w:themeFontLang w:val="en-IN"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4451526"/>
  <w15:docId w15:val="{C29CC189-3A9A-4137-B2E5-215DC177F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Theme="minorHAnsi" w:eastAsiaTheme="minorEastAsia" w:hAnsiTheme="minorHAnsi" w:cstheme="minorBidi"/>
      <w:kern w:val="2"/>
      <w:sz w:val="22"/>
      <w:szCs w:val="22"/>
      <w:lang w:val="en-IN" w:eastAsia="en-US"/>
      <w14:ligatures w14:val="standardContextual"/>
    </w:rPr>
  </w:style>
  <w:style w:type="paragraph" w:styleId="Heading3">
    <w:name w:val="heading 3"/>
    <w:next w:val="Normal"/>
    <w:uiPriority w:val="9"/>
    <w:semiHidden/>
    <w:unhideWhenUsed/>
    <w:qFormat/>
    <w:pPr>
      <w:spacing w:beforeAutospacing="1" w:afterAutospacing="1"/>
      <w:outlineLvl w:val="2"/>
    </w:pPr>
    <w:rPr>
      <w:rFonts w:ascii="SimSun" w:hAnsi="SimSun" w:hint="eastAsia"/>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autoRedefine/>
    <w:uiPriority w:val="20"/>
    <w:unhideWhenUsed/>
    <w:qFormat/>
    <w:rPr>
      <w:rFonts w:hint="default"/>
      <w:i/>
      <w:sz w:val="24"/>
      <w:szCs w:val="24"/>
    </w:rPr>
  </w:style>
  <w:style w:type="character" w:styleId="Hyperlink">
    <w:name w:val="Hyperlink"/>
    <w:basedOn w:val="DefaultParagraphFont"/>
    <w:uiPriority w:val="99"/>
    <w:unhideWhenUsed/>
    <w:qFormat/>
    <w:rPr>
      <w:color w:val="0563C1" w:themeColor="hyperlink"/>
      <w:u w:val="single"/>
    </w:rPr>
  </w:style>
  <w:style w:type="paragraph" w:customStyle="1" w:styleId="EndNoteBibliographyTitle">
    <w:name w:val="EndNote Bibliography Title"/>
    <w:basedOn w:val="Normal"/>
    <w:link w:val="EndNoteBibliographyTitleChar"/>
    <w:pPr>
      <w:spacing w:after="0"/>
      <w:jc w:val="center"/>
    </w:pPr>
    <w:rPr>
      <w:rFonts w:ascii="Calibri" w:hAnsi="Calibri" w:cs="Calibri"/>
      <w:lang w:val="en-US"/>
    </w:rPr>
  </w:style>
  <w:style w:type="character" w:customStyle="1" w:styleId="EndNoteBibliographyTitleChar">
    <w:name w:val="EndNote Bibliography Title Char"/>
    <w:basedOn w:val="DefaultParagraphFont"/>
    <w:link w:val="EndNoteBibliographyTitle"/>
    <w:autoRedefine/>
    <w:qFormat/>
    <w:rPr>
      <w:rFonts w:ascii="Calibri" w:hAnsi="Calibri" w:cs="Calibri"/>
      <w:kern w:val="2"/>
      <w:sz w:val="22"/>
      <w:szCs w:val="22"/>
      <w:lang w:eastAsia="en-US"/>
      <w14:ligatures w14:val="standardContextual"/>
    </w:rPr>
  </w:style>
  <w:style w:type="paragraph" w:customStyle="1" w:styleId="EndNoteBibliography">
    <w:name w:val="EndNote Bibliography"/>
    <w:basedOn w:val="Normal"/>
    <w:link w:val="EndNoteBibliographyChar"/>
    <w:autoRedefine/>
    <w:qFormat/>
    <w:pPr>
      <w:spacing w:line="240" w:lineRule="auto"/>
      <w:jc w:val="center"/>
    </w:pPr>
    <w:rPr>
      <w:rFonts w:ascii="Calibri" w:hAnsi="Calibri" w:cs="Calibri"/>
      <w:lang w:val="en-US"/>
    </w:rPr>
  </w:style>
  <w:style w:type="character" w:customStyle="1" w:styleId="EndNoteBibliographyChar">
    <w:name w:val="EndNote Bibliography Char"/>
    <w:basedOn w:val="DefaultParagraphFont"/>
    <w:link w:val="EndNoteBibliography"/>
    <w:autoRedefine/>
    <w:qFormat/>
    <w:rPr>
      <w:rFonts w:ascii="Calibri" w:hAnsi="Calibri" w:cs="Calibr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sankha.chakrabortty@kiitbiotech.ac.in" TargetMode="External"/><Relationship Id="rId13" Type="http://schemas.openxmlformats.org/officeDocument/2006/relationships/image" Target="media/image4.jpeg"/><Relationship Id="rId18" Type="http://schemas.openxmlformats.org/officeDocument/2006/relationships/hyperlink" Target="https://www.sciencedirect.com/journal/journal-of-molecular-liquid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mailto:suraj.tripathy@kiitbiotech.ac.in" TargetMode="External"/><Relationship Id="rId12" Type="http://schemas.openxmlformats.org/officeDocument/2006/relationships/image" Target="media/image3.emf"/><Relationship Id="rId17" Type="http://schemas.openxmlformats.org/officeDocument/2006/relationships/hyperlink" Target="http://www.eemj.icpm.tuiasi.ro/" TargetMode="External"/><Relationship Id="rId2" Type="http://schemas.openxmlformats.org/officeDocument/2006/relationships/styles" Target="styles.xml"/><Relationship Id="rId16" Type="http://schemas.openxmlformats.org/officeDocument/2006/relationships/hyperlink" Target="https://www.sciencedirect.com/journal/colloids-and-surfaces-a-physicochemical-and-engineering-aspects" TargetMode="External"/><Relationship Id="rId20" Type="http://schemas.openxmlformats.org/officeDocument/2006/relationships/hyperlink" Target="https://www.hindawi.com/journals/jamc/"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hyperlink" Target="https://www.sciencedirect.com/journal/journal-of-industrial-and-engineering-chemistry" TargetMode="External"/><Relationship Id="rId4" Type="http://schemas.openxmlformats.org/officeDocument/2006/relationships/webSettings" Target="webSettings.xml"/><Relationship Id="rId9" Type="http://schemas.openxmlformats.org/officeDocument/2006/relationships/hyperlink" Target="mailto:(bhjeon@hanyang.ac.kr" TargetMode="Externa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331C4-604A-4981-874D-C5A35765B7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4368</Words>
  <Characters>24903</Characters>
  <Application>Microsoft Office Word</Application>
  <DocSecurity>0</DocSecurity>
  <Lines>207</Lines>
  <Paragraphs>58</Paragraphs>
  <ScaleCrop>false</ScaleCrop>
  <Company/>
  <LinksUpToDate>false</LinksUpToDate>
  <CharactersWithSpaces>29213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Anurag Panda</dc:creator>
  <cp:lastModifiedBy>기후변화대응형 친환경에너지자원 스마트개발 글로벌리더 양성 교육연구팀</cp:lastModifiedBy>
  <cp:revision>4</cp:revision>
  <dcterms:created xsi:type="dcterms:W3CDTF">2024-04-21T08:58:00Z</dcterms:created>
  <dcterms:modified xsi:type="dcterms:W3CDTF">2024-04-21T08:59:00Z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943653c3-b11c-44f3-a3cc-2ec17e3c0950</vt:lpwstr>
  </property>
  <property fmtid="{D5CDD505-2E9C-101B-9397-08002B2CF9AE}" pid="3" name="KSOProductBuildVer">
    <vt:lpwstr>1033-12.2.0.16731</vt:lpwstr>
  </property>
  <property fmtid="{D5CDD505-2E9C-101B-9397-08002B2CF9AE}" pid="4" name="ICV">
    <vt:lpwstr>E00E45902B90453095EC320A13BFEB8B_12</vt:lpwstr>
  </property>
</Properties>
</file>