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4DD8D">
      <w:pPr>
        <w:spacing w:line="360" w:lineRule="auto"/>
        <w:jc w:val="center"/>
        <w:rPr>
          <w:b/>
          <w:bCs/>
          <w:sz w:val="36"/>
          <w:szCs w:val="36"/>
        </w:rPr>
      </w:pPr>
      <w:r>
        <w:rPr>
          <w:b/>
          <w:bCs/>
          <w:sz w:val="36"/>
          <w:szCs w:val="36"/>
        </w:rPr>
        <w:t xml:space="preserve">Electronic Supplementary Material </w:t>
      </w:r>
    </w:p>
    <w:p w14:paraId="45B2A23D">
      <w:pPr>
        <w:widowControl/>
        <w:spacing w:line="360" w:lineRule="auto"/>
        <w:rPr>
          <w:rFonts w:eastAsiaTheme="minorEastAsia"/>
          <w:kern w:val="0"/>
          <w:sz w:val="34"/>
        </w:rPr>
      </w:pPr>
      <w:bookmarkStart w:id="0" w:name="_Hlk234953811"/>
      <w:r>
        <w:rPr>
          <w:rFonts w:eastAsia="Times New Roman"/>
          <w:kern w:val="0"/>
          <w:sz w:val="34"/>
          <w:lang w:eastAsia="uk-UA"/>
        </w:rPr>
        <w:t>Zr-</w:t>
      </w:r>
      <w:bookmarkStart w:id="1" w:name="_Hlk232033962"/>
      <w:r>
        <w:rPr>
          <w:rFonts w:hint="eastAsia" w:eastAsiaTheme="minorEastAsia"/>
          <w:kern w:val="0"/>
          <w:sz w:val="34"/>
        </w:rPr>
        <w:t>m</w:t>
      </w:r>
      <w:r>
        <w:rPr>
          <w:rFonts w:eastAsia="Times New Roman"/>
          <w:kern w:val="0"/>
          <w:sz w:val="34"/>
          <w:lang w:eastAsia="uk-UA"/>
        </w:rPr>
        <w:t>odified</w:t>
      </w:r>
      <w:bookmarkEnd w:id="1"/>
      <w:r>
        <w:rPr>
          <w:rFonts w:eastAsia="Times New Roman"/>
          <w:kern w:val="0"/>
          <w:sz w:val="34"/>
          <w:lang w:eastAsia="uk-UA"/>
        </w:rPr>
        <w:t xml:space="preserve"> LiMn</w:t>
      </w:r>
      <w:r>
        <w:rPr>
          <w:rFonts w:hint="eastAsia" w:eastAsiaTheme="minorEastAsia"/>
          <w:kern w:val="0"/>
          <w:sz w:val="34"/>
          <w:vertAlign w:val="subscript"/>
        </w:rPr>
        <w:t>2</w:t>
      </w:r>
      <w:r>
        <w:rPr>
          <w:rFonts w:eastAsia="Times New Roman"/>
          <w:kern w:val="0"/>
          <w:sz w:val="34"/>
          <w:lang w:eastAsia="uk-UA"/>
        </w:rPr>
        <w:t>O</w:t>
      </w:r>
      <w:r>
        <w:rPr>
          <w:rFonts w:hint="eastAsia" w:eastAsiaTheme="minorEastAsia"/>
          <w:kern w:val="0"/>
          <w:sz w:val="34"/>
          <w:vertAlign w:val="subscript"/>
        </w:rPr>
        <w:t>4</w:t>
      </w:r>
      <w:r>
        <w:rPr>
          <w:rFonts w:eastAsia="Times New Roman"/>
          <w:kern w:val="0"/>
          <w:sz w:val="34"/>
          <w:lang w:eastAsia="uk-UA"/>
        </w:rPr>
        <w:t>-based film electrode</w:t>
      </w:r>
      <w:bookmarkEnd w:id="0"/>
      <w:r>
        <w:rPr>
          <w:rFonts w:eastAsia="Times New Roman"/>
          <w:kern w:val="0"/>
          <w:sz w:val="34"/>
          <w:lang w:eastAsia="uk-UA"/>
        </w:rPr>
        <w:t xml:space="preserve"> with </w:t>
      </w:r>
      <w:bookmarkStart w:id="2" w:name="OLE_LINK92"/>
      <w:bookmarkStart w:id="3" w:name="OLE_LINK98"/>
      <w:bookmarkStart w:id="4" w:name="OLE_LINK14"/>
      <w:r>
        <w:rPr>
          <w:rFonts w:eastAsia="Times New Roman"/>
          <w:kern w:val="0"/>
          <w:sz w:val="34"/>
          <w:lang w:eastAsia="uk-UA"/>
        </w:rPr>
        <w:t>enhanced</w:t>
      </w:r>
      <w:bookmarkEnd w:id="2"/>
      <w:r>
        <w:rPr>
          <w:rFonts w:eastAsia="Times New Roman"/>
          <w:kern w:val="0"/>
          <w:sz w:val="34"/>
          <w:lang w:eastAsia="uk-UA"/>
        </w:rPr>
        <w:t xml:space="preserve"> </w:t>
      </w:r>
      <w:bookmarkStart w:id="5" w:name="OLE_LINK123"/>
      <w:r>
        <w:rPr>
          <w:rFonts w:eastAsia="Times New Roman"/>
          <w:kern w:val="0"/>
          <w:sz w:val="34"/>
          <w:lang w:eastAsia="uk-UA"/>
        </w:rPr>
        <w:t>electrical conductivity</w:t>
      </w:r>
      <w:bookmarkEnd w:id="5"/>
      <w:r>
        <w:rPr>
          <w:rFonts w:eastAsia="Times New Roman"/>
          <w:kern w:val="0"/>
          <w:sz w:val="34"/>
          <w:lang w:eastAsia="uk-UA"/>
        </w:rPr>
        <w:t xml:space="preserve"> and structural stability</w:t>
      </w:r>
      <w:bookmarkEnd w:id="3"/>
      <w:r>
        <w:rPr>
          <w:rFonts w:eastAsia="Times New Roman"/>
          <w:kern w:val="0"/>
          <w:sz w:val="34"/>
          <w:lang w:eastAsia="uk-UA"/>
        </w:rPr>
        <w:t xml:space="preserve"> </w:t>
      </w:r>
      <w:bookmarkEnd w:id="4"/>
      <w:bookmarkStart w:id="6" w:name="_Hlk231437815"/>
      <w:bookmarkStart w:id="7" w:name="_Hlk234953840"/>
      <w:r>
        <w:rPr>
          <w:rFonts w:eastAsia="Times New Roman"/>
          <w:kern w:val="0"/>
          <w:sz w:val="34"/>
          <w:lang w:eastAsia="uk-UA"/>
        </w:rPr>
        <w:t>for electrochemical</w:t>
      </w:r>
      <w:bookmarkEnd w:id="6"/>
      <w:r>
        <w:rPr>
          <w:rFonts w:eastAsia="Times New Roman"/>
          <w:kern w:val="0"/>
          <w:sz w:val="34"/>
          <w:lang w:eastAsia="uk-UA"/>
        </w:rPr>
        <w:t xml:space="preserve"> lithium extraction from brine</w:t>
      </w:r>
      <w:r>
        <w:rPr>
          <w:rFonts w:eastAsiaTheme="minorEastAsia"/>
          <w:kern w:val="0"/>
          <w:sz w:val="34"/>
        </w:rPr>
        <w:t xml:space="preserve"> </w:t>
      </w:r>
      <w:r>
        <w:rPr>
          <w:rFonts w:eastAsia="Times New Roman"/>
          <w:kern w:val="0"/>
          <w:sz w:val="34"/>
          <w:lang w:eastAsia="uk-UA"/>
        </w:rPr>
        <w:t>lakes</w:t>
      </w:r>
      <w:bookmarkEnd w:id="7"/>
    </w:p>
    <w:p w14:paraId="7106D6CC">
      <w:pPr>
        <w:kinsoku w:val="0"/>
        <w:autoSpaceDE w:val="0"/>
        <w:autoSpaceDN w:val="0"/>
        <w:spacing w:before="100" w:beforeAutospacing="1" w:after="100" w:afterAutospacing="1" w:line="360" w:lineRule="auto"/>
        <w:rPr>
          <w:rFonts w:eastAsiaTheme="minorEastAsia"/>
          <w:kern w:val="0"/>
          <w:sz w:val="24"/>
          <w:vertAlign w:val="superscript"/>
        </w:rPr>
      </w:pPr>
      <w:bookmarkStart w:id="8" w:name="_Hlk234953221"/>
      <w:r>
        <w:rPr>
          <w:rFonts w:hint="eastAsia" w:eastAsiaTheme="minorEastAsia"/>
          <w:kern w:val="0"/>
          <w:sz w:val="24"/>
        </w:rPr>
        <w:t>Peng Li</w:t>
      </w:r>
      <w:bookmarkEnd w:id="8"/>
      <w:r>
        <w:rPr>
          <w:rFonts w:hint="eastAsia" w:eastAsiaTheme="minorEastAsia"/>
          <w:kern w:val="0"/>
          <w:sz w:val="24"/>
          <w:vertAlign w:val="superscript"/>
        </w:rPr>
        <w:t>1</w:t>
      </w:r>
      <w:r>
        <w:rPr>
          <w:rFonts w:hint="eastAsia" w:eastAsiaTheme="minorEastAsia"/>
          <w:kern w:val="0"/>
          <w:sz w:val="24"/>
        </w:rPr>
        <w:t>*,</w:t>
      </w:r>
      <w:r>
        <w:rPr>
          <w:rFonts w:eastAsiaTheme="minorEastAsia"/>
          <w:kern w:val="0"/>
          <w:sz w:val="24"/>
        </w:rPr>
        <w:t xml:space="preserve"> Yongzhen Ma</w:t>
      </w:r>
      <w:r>
        <w:rPr>
          <w:rFonts w:hint="eastAsia" w:eastAsiaTheme="minorEastAsia"/>
          <w:kern w:val="0"/>
          <w:sz w:val="24"/>
          <w:vertAlign w:val="superscript"/>
        </w:rPr>
        <w:t>2</w:t>
      </w:r>
      <w:r>
        <w:rPr>
          <w:rFonts w:hint="eastAsia" w:eastAsiaTheme="minorEastAsia"/>
          <w:kern w:val="0"/>
          <w:sz w:val="24"/>
        </w:rPr>
        <w:t>*,</w:t>
      </w:r>
      <w:r>
        <w:rPr>
          <w:rFonts w:eastAsiaTheme="minorEastAsia"/>
          <w:kern w:val="0"/>
          <w:sz w:val="24"/>
        </w:rPr>
        <w:t xml:space="preserve"> Wenbiao M</w:t>
      </w:r>
      <w:r>
        <w:rPr>
          <w:rFonts w:hint="eastAsia" w:eastAsiaTheme="minorEastAsia"/>
          <w:kern w:val="0"/>
          <w:sz w:val="24"/>
        </w:rPr>
        <w:t>a</w:t>
      </w:r>
      <w:r>
        <w:rPr>
          <w:rFonts w:hint="eastAsia" w:eastAsiaTheme="minorEastAsia"/>
          <w:kern w:val="0"/>
          <w:sz w:val="24"/>
          <w:vertAlign w:val="superscript"/>
        </w:rPr>
        <w:t>1</w:t>
      </w:r>
      <w:r>
        <w:rPr>
          <w:rFonts w:hint="eastAsia" w:eastAsiaTheme="minorEastAsia"/>
          <w:kern w:val="0"/>
          <w:sz w:val="24"/>
        </w:rPr>
        <w:t>,</w:t>
      </w:r>
      <w:r>
        <w:rPr>
          <w:rFonts w:hint="eastAsia" w:eastAsiaTheme="minorEastAsia"/>
          <w:kern w:val="0"/>
          <w:sz w:val="24"/>
          <w:vertAlign w:val="superscript"/>
        </w:rPr>
        <w:t xml:space="preserve"> </w:t>
      </w:r>
      <w:r>
        <w:rPr>
          <w:rFonts w:hint="eastAsia" w:eastAsiaTheme="minorEastAsia"/>
          <w:kern w:val="0"/>
          <w:sz w:val="24"/>
        </w:rPr>
        <w:t>Yingjie Liu</w:t>
      </w:r>
      <w:r>
        <w:rPr>
          <w:rFonts w:hint="eastAsia" w:eastAsiaTheme="minorEastAsia"/>
          <w:kern w:val="0"/>
          <w:sz w:val="24"/>
          <w:vertAlign w:val="superscript"/>
        </w:rPr>
        <w:t>2</w:t>
      </w:r>
      <w:r>
        <w:rPr>
          <w:rFonts w:hint="eastAsia" w:eastAsiaTheme="minorEastAsia"/>
          <w:kern w:val="0"/>
          <w:sz w:val="24"/>
        </w:rPr>
        <w:t xml:space="preserve">, </w:t>
      </w:r>
      <w:r>
        <w:rPr>
          <w:rFonts w:eastAsiaTheme="minorEastAsia"/>
          <w:kern w:val="0"/>
          <w:sz w:val="24"/>
        </w:rPr>
        <w:t>Xiaowei An</w:t>
      </w:r>
      <w:r>
        <w:rPr>
          <w:rFonts w:hint="eastAsia" w:eastAsiaTheme="minorEastAsia"/>
          <w:kern w:val="0"/>
          <w:sz w:val="24"/>
          <w:vertAlign w:val="superscript"/>
        </w:rPr>
        <w:t>3</w:t>
      </w:r>
      <w:r>
        <w:rPr>
          <w:rFonts w:eastAsiaTheme="minorEastAsia"/>
          <w:kern w:val="0"/>
          <w:sz w:val="24"/>
        </w:rPr>
        <w:t>,</w:t>
      </w:r>
      <w:r>
        <w:rPr>
          <w:rFonts w:hint="eastAsia" w:eastAsiaTheme="minorEastAsia"/>
          <w:kern w:val="0"/>
          <w:sz w:val="24"/>
        </w:rPr>
        <w:t xml:space="preserve"> </w:t>
      </w:r>
      <w:r>
        <w:rPr>
          <w:rFonts w:eastAsiaTheme="minorEastAsia"/>
          <w:kern w:val="0"/>
          <w:sz w:val="24"/>
        </w:rPr>
        <w:t>Jin Chang</w:t>
      </w:r>
      <w:r>
        <w:rPr>
          <w:rFonts w:hint="eastAsia" w:eastAsiaTheme="minorEastAsia"/>
          <w:kern w:val="0"/>
          <w:sz w:val="24"/>
          <w:vertAlign w:val="superscript"/>
        </w:rPr>
        <w:t>1</w:t>
      </w:r>
      <w:r>
        <w:rPr>
          <w:rFonts w:eastAsiaTheme="minorEastAsia"/>
          <w:kern w:val="0"/>
          <w:sz w:val="24"/>
        </w:rPr>
        <w:t>,</w:t>
      </w:r>
      <w:bookmarkStart w:id="9" w:name="OLE_LINK48"/>
      <w:r>
        <w:rPr>
          <w:rFonts w:hint="eastAsia" w:eastAsiaTheme="minorEastAsia"/>
          <w:kern w:val="0"/>
          <w:sz w:val="24"/>
        </w:rPr>
        <w:t xml:space="preserve"> </w:t>
      </w:r>
      <w:r>
        <w:rPr>
          <w:rFonts w:eastAsiaTheme="minorEastAsia"/>
          <w:kern w:val="0"/>
          <w:sz w:val="24"/>
        </w:rPr>
        <w:t>Zheng Zhang</w:t>
      </w:r>
      <w:bookmarkEnd w:id="9"/>
      <w:r>
        <w:rPr>
          <w:sz w:val="24"/>
        </w:rPr>
        <w:t xml:space="preserve"> </w:t>
      </w:r>
      <w:r>
        <w:rPr>
          <w:bCs/>
          <w:sz w:val="24"/>
        </w:rPr>
        <w:t>(</w:t>
      </w:r>
      <w:r>
        <w:rPr>
          <w:bCs/>
          <w:sz w:val="24"/>
        </w:rPr>
        <w:sym w:font="Wingdings" w:char="F02A"/>
      </w:r>
      <w:r>
        <w:rPr>
          <w:bCs/>
          <w:sz w:val="24"/>
        </w:rPr>
        <w:t>)</w:t>
      </w:r>
      <w:r>
        <w:rPr>
          <w:rFonts w:hint="eastAsia" w:eastAsiaTheme="minorEastAsia"/>
          <w:kern w:val="0"/>
          <w:sz w:val="24"/>
          <w:vertAlign w:val="superscript"/>
        </w:rPr>
        <w:t>2</w:t>
      </w:r>
      <w:r>
        <w:rPr>
          <w:rFonts w:eastAsiaTheme="minorEastAsia"/>
          <w:kern w:val="0"/>
          <w:sz w:val="24"/>
        </w:rPr>
        <w:t>, Xiaogang Hao</w:t>
      </w:r>
      <w:r>
        <w:rPr>
          <w:sz w:val="24"/>
        </w:rPr>
        <w:t xml:space="preserve"> </w:t>
      </w:r>
      <w:r>
        <w:rPr>
          <w:bCs/>
          <w:sz w:val="24"/>
        </w:rPr>
        <w:t>(</w:t>
      </w:r>
      <w:r>
        <w:rPr>
          <w:bCs/>
          <w:sz w:val="24"/>
        </w:rPr>
        <w:sym w:font="Wingdings" w:char="F02A"/>
      </w:r>
      <w:r>
        <w:rPr>
          <w:bCs/>
          <w:sz w:val="24"/>
        </w:rPr>
        <w:t>)</w:t>
      </w:r>
      <w:r>
        <w:rPr>
          <w:rFonts w:hint="eastAsia" w:eastAsiaTheme="minorEastAsia"/>
          <w:kern w:val="0"/>
          <w:sz w:val="24"/>
          <w:vertAlign w:val="superscript"/>
        </w:rPr>
        <w:t>4</w:t>
      </w:r>
    </w:p>
    <w:p w14:paraId="2E6B4BBE">
      <w:pPr>
        <w:kinsoku w:val="0"/>
        <w:autoSpaceDE w:val="0"/>
        <w:autoSpaceDN w:val="0"/>
        <w:spacing w:before="100" w:beforeAutospacing="1" w:after="100" w:afterAutospacing="1" w:line="360" w:lineRule="auto"/>
        <w:rPr>
          <w:rFonts w:eastAsiaTheme="minorEastAsia"/>
          <w:kern w:val="0"/>
          <w:sz w:val="24"/>
        </w:rPr>
      </w:pPr>
      <w:r>
        <w:rPr>
          <w:rFonts w:hint="eastAsia" w:eastAsiaTheme="minorEastAsia"/>
          <w:kern w:val="0"/>
          <w:sz w:val="24"/>
          <w:vertAlign w:val="superscript"/>
        </w:rPr>
        <w:t>1</w:t>
      </w:r>
      <w:r>
        <w:rPr>
          <w:rFonts w:eastAsiaTheme="minorEastAsia"/>
          <w:kern w:val="0"/>
          <w:sz w:val="24"/>
        </w:rPr>
        <w:t xml:space="preserve">College of </w:t>
      </w:r>
      <w:bookmarkStart w:id="10" w:name="OLE_LINK87"/>
      <w:r>
        <w:rPr>
          <w:rFonts w:eastAsiaTheme="minorEastAsia"/>
          <w:kern w:val="0"/>
          <w:sz w:val="24"/>
        </w:rPr>
        <w:t>Energy Science and Engineering</w:t>
      </w:r>
      <w:bookmarkEnd w:id="10"/>
      <w:r>
        <w:rPr>
          <w:rFonts w:eastAsiaTheme="minorEastAsia"/>
          <w:kern w:val="0"/>
          <w:sz w:val="24"/>
        </w:rPr>
        <w:t>, Taiyuan University of Science and Technology, Taiyuan 030024, China</w:t>
      </w:r>
    </w:p>
    <w:p w14:paraId="654586C5">
      <w:pPr>
        <w:kinsoku w:val="0"/>
        <w:autoSpaceDE w:val="0"/>
        <w:autoSpaceDN w:val="0"/>
        <w:spacing w:before="100" w:beforeAutospacing="1" w:after="100" w:afterAutospacing="1" w:line="360" w:lineRule="auto"/>
        <w:rPr>
          <w:rFonts w:eastAsiaTheme="minorEastAsia"/>
          <w:kern w:val="0"/>
          <w:sz w:val="24"/>
        </w:rPr>
      </w:pPr>
      <w:bookmarkStart w:id="11" w:name="OLE_LINK119"/>
      <w:r>
        <w:rPr>
          <w:rFonts w:hint="eastAsia" w:eastAsiaTheme="minorEastAsia"/>
          <w:kern w:val="0"/>
          <w:sz w:val="24"/>
          <w:vertAlign w:val="superscript"/>
        </w:rPr>
        <w:t xml:space="preserve">2 </w:t>
      </w:r>
      <w:bookmarkStart w:id="12" w:name="OLE_LINK121"/>
      <w:r>
        <w:rPr>
          <w:rFonts w:hint="eastAsia" w:eastAsiaTheme="minorEastAsia"/>
          <w:kern w:val="0"/>
          <w:sz w:val="24"/>
        </w:rPr>
        <w:t>College</w:t>
      </w:r>
      <w:r>
        <w:rPr>
          <w:rFonts w:eastAsiaTheme="minorEastAsia"/>
          <w:kern w:val="0"/>
          <w:sz w:val="24"/>
        </w:rPr>
        <w:t xml:space="preserve"> of Chemical Engineering and Technology</w:t>
      </w:r>
      <w:bookmarkEnd w:id="11"/>
      <w:r>
        <w:rPr>
          <w:rFonts w:eastAsiaTheme="minorEastAsia"/>
          <w:kern w:val="0"/>
          <w:sz w:val="24"/>
        </w:rPr>
        <w:t>, Taiyuan University of Science and Technology</w:t>
      </w:r>
      <w:bookmarkEnd w:id="12"/>
      <w:r>
        <w:rPr>
          <w:rFonts w:eastAsiaTheme="minorEastAsia"/>
          <w:kern w:val="0"/>
          <w:sz w:val="24"/>
        </w:rPr>
        <w:t>, Taiyuan</w:t>
      </w:r>
      <w:r>
        <w:rPr>
          <w:rFonts w:hint="eastAsia" w:eastAsiaTheme="minorEastAsia"/>
          <w:kern w:val="0"/>
          <w:sz w:val="24"/>
        </w:rPr>
        <w:t xml:space="preserve"> 030024</w:t>
      </w:r>
      <w:r>
        <w:rPr>
          <w:rFonts w:eastAsiaTheme="minorEastAsia"/>
          <w:kern w:val="0"/>
          <w:sz w:val="24"/>
        </w:rPr>
        <w:t>, China</w:t>
      </w:r>
    </w:p>
    <w:p w14:paraId="37503019">
      <w:pPr>
        <w:spacing w:line="360" w:lineRule="auto"/>
        <w:rPr>
          <w:kern w:val="0"/>
          <w:sz w:val="24"/>
        </w:rPr>
      </w:pPr>
      <w:r>
        <w:rPr>
          <w:rFonts w:hint="eastAsia"/>
          <w:kern w:val="0"/>
          <w:sz w:val="24"/>
          <w:vertAlign w:val="superscript"/>
        </w:rPr>
        <w:t>3</w:t>
      </w:r>
      <w:r>
        <w:rPr>
          <w:kern w:val="0"/>
          <w:sz w:val="24"/>
        </w:rPr>
        <w:t>College of Environmental Science and Engineering, Taiyuan University of Technology, Taiyuan 030024, China</w:t>
      </w:r>
    </w:p>
    <w:p w14:paraId="1A520494">
      <w:pPr>
        <w:autoSpaceDE w:val="0"/>
        <w:autoSpaceDN w:val="0"/>
        <w:spacing w:before="100" w:beforeAutospacing="1" w:after="100" w:afterAutospacing="1" w:line="360" w:lineRule="auto"/>
        <w:rPr>
          <w:kern w:val="0"/>
          <w:sz w:val="24"/>
        </w:rPr>
      </w:pPr>
      <w:r>
        <w:rPr>
          <w:rFonts w:hint="eastAsia" w:eastAsiaTheme="minorEastAsia"/>
          <w:kern w:val="0"/>
          <w:sz w:val="24"/>
          <w:vertAlign w:val="superscript"/>
        </w:rPr>
        <w:t>4</w:t>
      </w:r>
      <w:r>
        <w:rPr>
          <w:kern w:val="0"/>
          <w:sz w:val="24"/>
        </w:rPr>
        <w:t>College of Chemistry and Chemical Engineering, Taiyuan University of Technology, Taiyuan 030024, China</w:t>
      </w:r>
    </w:p>
    <w:p w14:paraId="57865EE8">
      <w:pPr>
        <w:kinsoku w:val="0"/>
        <w:autoSpaceDE w:val="0"/>
        <w:autoSpaceDN w:val="0"/>
        <w:spacing w:before="100" w:beforeAutospacing="1" w:after="100" w:afterAutospacing="1" w:line="360" w:lineRule="auto"/>
        <w:jc w:val="left"/>
        <w:rPr>
          <w:rFonts w:eastAsiaTheme="minorEastAsia"/>
          <w:kern w:val="0"/>
          <w:sz w:val="24"/>
        </w:rPr>
      </w:pPr>
      <w:r>
        <w:rPr>
          <w:rFonts w:eastAsiaTheme="minorEastAsia"/>
          <w:kern w:val="0"/>
          <w:sz w:val="24"/>
        </w:rPr>
        <w:t>E-mail</w:t>
      </w:r>
      <w:r>
        <w:rPr>
          <w:rFonts w:hint="eastAsia" w:eastAsiaTheme="minorEastAsia"/>
          <w:kern w:val="0"/>
          <w:sz w:val="24"/>
        </w:rPr>
        <w:t>s</w:t>
      </w:r>
      <w:r>
        <w:rPr>
          <w:rFonts w:eastAsiaTheme="minorEastAsia"/>
          <w:kern w:val="0"/>
          <w:sz w:val="24"/>
        </w:rPr>
        <w:t xml:space="preserve">: </w:t>
      </w:r>
      <w:bookmarkStart w:id="13" w:name="_Hlk223133071"/>
      <w:r>
        <w:rPr>
          <w:rFonts w:eastAsia="Times New Roman"/>
          <w:kern w:val="0"/>
          <w:sz w:val="24"/>
          <w:lang w:eastAsia="uk-UA"/>
        </w:rPr>
        <w:fldChar w:fldCharType="begin"/>
      </w:r>
      <w:r>
        <w:rPr>
          <w:rFonts w:eastAsia="Times New Roman"/>
          <w:kern w:val="0"/>
          <w:sz w:val="24"/>
          <w:lang w:eastAsia="uk-UA"/>
        </w:rPr>
        <w:instrText xml:space="preserve">HYPERLINK "mailto:zhangzheng@tyust.edu.cn"</w:instrText>
      </w:r>
      <w:r>
        <w:rPr>
          <w:rFonts w:eastAsia="Times New Roman"/>
          <w:kern w:val="0"/>
          <w:sz w:val="24"/>
          <w:lang w:eastAsia="uk-UA"/>
        </w:rPr>
        <w:fldChar w:fldCharType="separate"/>
      </w:r>
      <w:r>
        <w:rPr>
          <w:rFonts w:eastAsiaTheme="minorEastAsia"/>
          <w:kern w:val="0"/>
          <w:sz w:val="24"/>
          <w:u w:val="single"/>
        </w:rPr>
        <w:t>zhangzheng</w:t>
      </w:r>
      <w:bookmarkEnd w:id="13"/>
      <w:r>
        <w:rPr>
          <w:rFonts w:eastAsiaTheme="minorEastAsia"/>
          <w:kern w:val="0"/>
          <w:sz w:val="24"/>
          <w:u w:val="single"/>
        </w:rPr>
        <w:t>@tyust.edu.cn</w:t>
      </w:r>
      <w:r>
        <w:rPr>
          <w:rFonts w:eastAsia="Times New Roman"/>
          <w:kern w:val="0"/>
          <w:sz w:val="24"/>
          <w:lang w:eastAsia="uk-UA"/>
        </w:rPr>
        <w:fldChar w:fldCharType="end"/>
      </w:r>
      <w:r>
        <w:rPr>
          <w:rFonts w:hint="eastAsia" w:eastAsiaTheme="minorEastAsia"/>
          <w:kern w:val="0"/>
          <w:sz w:val="24"/>
        </w:rPr>
        <w:t xml:space="preserve"> (Zhang Z); </w:t>
      </w:r>
      <w:r>
        <w:fldChar w:fldCharType="begin"/>
      </w:r>
      <w:r>
        <w:instrText xml:space="preserve"> HYPERLINK "mailto:xghao@tyut.edu.cn" </w:instrText>
      </w:r>
      <w:r>
        <w:fldChar w:fldCharType="separate"/>
      </w:r>
      <w:r>
        <w:rPr>
          <w:rFonts w:eastAsiaTheme="minorEastAsia"/>
          <w:kern w:val="0"/>
          <w:sz w:val="24"/>
          <w:u w:val="single"/>
        </w:rPr>
        <w:t>xghao@tyut.edu.cn</w:t>
      </w:r>
      <w:r>
        <w:rPr>
          <w:rFonts w:eastAsiaTheme="minorEastAsia"/>
          <w:kern w:val="0"/>
          <w:sz w:val="24"/>
          <w:u w:val="single"/>
        </w:rPr>
        <w:fldChar w:fldCharType="end"/>
      </w:r>
      <w:r>
        <w:rPr>
          <w:rFonts w:hint="eastAsia" w:eastAsiaTheme="minorEastAsia"/>
          <w:kern w:val="0"/>
          <w:sz w:val="24"/>
        </w:rPr>
        <w:t xml:space="preserve"> (Hao X) </w:t>
      </w:r>
    </w:p>
    <w:p w14:paraId="58F3CC83">
      <w:pPr>
        <w:kinsoku w:val="0"/>
        <w:autoSpaceDE w:val="0"/>
        <w:autoSpaceDN w:val="0"/>
        <w:spacing w:before="100" w:beforeAutospacing="1" w:after="100" w:afterAutospacing="1" w:line="360" w:lineRule="auto"/>
        <w:jc w:val="left"/>
        <w:rPr>
          <w:rFonts w:eastAsiaTheme="minorEastAsia"/>
          <w:kern w:val="0"/>
          <w:sz w:val="24"/>
        </w:rPr>
      </w:pPr>
      <w:r>
        <w:rPr>
          <w:rFonts w:hint="eastAsia" w:eastAsiaTheme="minorEastAsia"/>
          <w:kern w:val="0"/>
          <w:sz w:val="24"/>
        </w:rPr>
        <w:t>*</w:t>
      </w:r>
      <w:r>
        <w:rPr>
          <w:rFonts w:eastAsiaTheme="minorEastAsia"/>
          <w:kern w:val="0"/>
          <w:sz w:val="24"/>
        </w:rPr>
        <w:t xml:space="preserve"> </w:t>
      </w:r>
      <w:r>
        <w:rPr>
          <w:rFonts w:hint="eastAsia" w:eastAsiaTheme="minorEastAsia"/>
          <w:kern w:val="0"/>
          <w:sz w:val="24"/>
        </w:rPr>
        <w:t xml:space="preserve">These authors </w:t>
      </w:r>
      <w:r>
        <w:rPr>
          <w:rFonts w:eastAsiaTheme="minorEastAsia"/>
          <w:kern w:val="0"/>
          <w:sz w:val="24"/>
        </w:rPr>
        <w:t>contributed equally to this work.</w:t>
      </w:r>
    </w:p>
    <w:p w14:paraId="4FA6D7CF">
      <w:pPr>
        <w:spacing w:line="360" w:lineRule="auto"/>
        <w:jc w:val="left"/>
        <w:rPr>
          <w:b/>
          <w:bCs/>
          <w:sz w:val="32"/>
          <w:szCs w:val="32"/>
        </w:rPr>
      </w:pPr>
      <w:r>
        <w:rPr>
          <w:b/>
          <w:bCs/>
          <w:sz w:val="28"/>
          <w:szCs w:val="36"/>
        </w:rPr>
        <w:t>Materials and reagents</w:t>
      </w:r>
    </w:p>
    <w:p w14:paraId="4EB1FE89">
      <w:pPr>
        <w:spacing w:line="360" w:lineRule="auto"/>
        <w:ind w:firstLine="480" w:firstLineChars="200"/>
        <w:rPr>
          <w:rFonts w:eastAsia="MS Mincho"/>
          <w:sz w:val="24"/>
          <w:lang w:eastAsia="ja-JP"/>
        </w:rPr>
      </w:pPr>
      <w:r>
        <w:rPr>
          <w:rFonts w:eastAsia="MS Mincho"/>
          <w:sz w:val="24"/>
          <w:lang w:eastAsia="ja-JP"/>
        </w:rPr>
        <w:t>The</w:t>
      </w:r>
      <w:r>
        <w:rPr>
          <w:rFonts w:hint="eastAsia" w:eastAsia="MS Mincho"/>
          <w:sz w:val="24"/>
          <w:lang w:eastAsia="ja-JP"/>
        </w:rPr>
        <w:t xml:space="preserve"> </w:t>
      </w:r>
      <w:r>
        <w:rPr>
          <w:rFonts w:eastAsia="MS Mincho"/>
          <w:sz w:val="24"/>
          <w:lang w:eastAsia="ja-JP"/>
        </w:rPr>
        <w:t xml:space="preserve">chemicals and materials used in this study include </w:t>
      </w:r>
      <w:r>
        <w:rPr>
          <w:rFonts w:eastAsiaTheme="minorEastAsia"/>
          <w:iCs/>
          <w:sz w:val="24"/>
        </w:rPr>
        <w:t>Li</w:t>
      </w:r>
      <w:r>
        <w:rPr>
          <w:rFonts w:hint="eastAsia" w:eastAsiaTheme="minorEastAsia"/>
          <w:iCs/>
          <w:sz w:val="24"/>
          <w:vertAlign w:val="subscript"/>
        </w:rPr>
        <w:t>2</w:t>
      </w:r>
      <w:r>
        <w:rPr>
          <w:rFonts w:eastAsiaTheme="minorEastAsia"/>
          <w:iCs/>
          <w:sz w:val="24"/>
        </w:rPr>
        <w:t>CO</w:t>
      </w:r>
      <w:r>
        <w:rPr>
          <w:rFonts w:hint="eastAsia" w:eastAsiaTheme="minorEastAsia"/>
          <w:iCs/>
          <w:sz w:val="24"/>
          <w:vertAlign w:val="subscript"/>
        </w:rPr>
        <w:t>3</w:t>
      </w:r>
      <w:r>
        <w:rPr>
          <w:rFonts w:eastAsiaTheme="minorEastAsia"/>
          <w:iCs/>
          <w:sz w:val="24"/>
        </w:rPr>
        <w:t>, MnCO</w:t>
      </w:r>
      <w:r>
        <w:rPr>
          <w:rFonts w:hint="eastAsia" w:eastAsiaTheme="minorEastAsia"/>
          <w:iCs/>
          <w:sz w:val="24"/>
          <w:vertAlign w:val="subscript"/>
        </w:rPr>
        <w:t>3</w:t>
      </w:r>
      <w:r>
        <w:rPr>
          <w:rFonts w:eastAsiaTheme="minorEastAsia"/>
          <w:iCs/>
          <w:sz w:val="24"/>
        </w:rPr>
        <w:t>, C</w:t>
      </w:r>
      <w:r>
        <w:rPr>
          <w:rFonts w:hint="eastAsia" w:eastAsiaTheme="minorEastAsia"/>
          <w:iCs/>
          <w:sz w:val="24"/>
          <w:vertAlign w:val="subscript"/>
        </w:rPr>
        <w:t>6</w:t>
      </w:r>
      <w:r>
        <w:rPr>
          <w:rFonts w:eastAsiaTheme="minorEastAsia"/>
          <w:iCs/>
          <w:sz w:val="24"/>
        </w:rPr>
        <w:t>H</w:t>
      </w:r>
      <w:r>
        <w:rPr>
          <w:rFonts w:hint="eastAsia" w:eastAsiaTheme="minorEastAsia"/>
          <w:iCs/>
          <w:sz w:val="24"/>
          <w:vertAlign w:val="subscript"/>
        </w:rPr>
        <w:t>8</w:t>
      </w:r>
      <w:r>
        <w:rPr>
          <w:rFonts w:eastAsiaTheme="minorEastAsia"/>
          <w:iCs/>
          <w:sz w:val="24"/>
        </w:rPr>
        <w:t>O</w:t>
      </w:r>
      <w:r>
        <w:rPr>
          <w:rFonts w:hint="eastAsia" w:eastAsiaTheme="minorEastAsia"/>
          <w:iCs/>
          <w:sz w:val="24"/>
          <w:vertAlign w:val="subscript"/>
        </w:rPr>
        <w:t>7</w:t>
      </w:r>
      <w:r>
        <w:rPr>
          <w:rFonts w:eastAsiaTheme="minorEastAsia"/>
          <w:iCs/>
          <w:sz w:val="24"/>
        </w:rPr>
        <w:t>·H</w:t>
      </w:r>
      <w:r>
        <w:rPr>
          <w:rFonts w:hint="eastAsia" w:eastAsiaTheme="minorEastAsia"/>
          <w:iCs/>
          <w:sz w:val="24"/>
          <w:vertAlign w:val="subscript"/>
        </w:rPr>
        <w:t>2</w:t>
      </w:r>
      <w:r>
        <w:rPr>
          <w:rFonts w:eastAsiaTheme="minorEastAsia"/>
          <w:iCs/>
          <w:sz w:val="24"/>
        </w:rPr>
        <w:t xml:space="preserve">O, </w:t>
      </w:r>
      <w:r>
        <w:rPr>
          <w:rFonts w:eastAsiaTheme="minorEastAsia"/>
          <w:iCs/>
          <w:sz w:val="24"/>
          <w:szCs w:val="32"/>
        </w:rPr>
        <w:t>BiOCl</w:t>
      </w:r>
      <w:r>
        <w:rPr>
          <w:rFonts w:hint="eastAsia" w:eastAsiaTheme="minorEastAsia"/>
          <w:iCs/>
          <w:sz w:val="24"/>
          <w:szCs w:val="32"/>
        </w:rPr>
        <w:t>,</w:t>
      </w:r>
      <w:r>
        <w:rPr>
          <w:rFonts w:eastAsiaTheme="minorEastAsia"/>
          <w:iCs/>
          <w:sz w:val="24"/>
        </w:rPr>
        <w:t xml:space="preserve"> ZrO</w:t>
      </w:r>
      <w:r>
        <w:rPr>
          <w:rFonts w:eastAsiaTheme="minorEastAsia"/>
          <w:iCs/>
          <w:sz w:val="24"/>
          <w:vertAlign w:val="subscript"/>
        </w:rPr>
        <w:t>2</w:t>
      </w:r>
      <w:r>
        <w:rPr>
          <w:rFonts w:hint="eastAsia" w:eastAsia="MS Mincho"/>
          <w:sz w:val="24"/>
          <w:lang w:eastAsia="ja-JP"/>
        </w:rPr>
        <w:t xml:space="preserve"> </w:t>
      </w:r>
      <w:r>
        <w:rPr>
          <w:rFonts w:eastAsiaTheme="minorEastAsia"/>
          <w:iCs/>
          <w:sz w:val="24"/>
        </w:rPr>
        <w:t>and</w:t>
      </w:r>
      <w:r>
        <w:rPr>
          <w:rFonts w:eastAsia="MS Mincho"/>
          <w:sz w:val="24"/>
          <w:lang w:eastAsia="ja-JP"/>
        </w:rPr>
        <w:t xml:space="preserve"> polyvinylidene fluoride (PVDF), polyacrylic acid (PAA)</w:t>
      </w:r>
      <w:r>
        <w:rPr>
          <w:rFonts w:hint="eastAsia" w:eastAsia="MS Mincho"/>
          <w:sz w:val="24"/>
          <w:lang w:eastAsia="ja-JP"/>
        </w:rPr>
        <w:t xml:space="preserve">, </w:t>
      </w:r>
      <w:r>
        <w:rPr>
          <w:rFonts w:eastAsia="MS Mincho"/>
          <w:sz w:val="24"/>
          <w:lang w:eastAsia="ja-JP"/>
        </w:rPr>
        <w:t>N-methylpyrrolidone</w:t>
      </w:r>
      <w:r>
        <w:rPr>
          <w:rFonts w:hint="eastAsia" w:eastAsia="MS Mincho"/>
          <w:sz w:val="24"/>
          <w:lang w:eastAsia="ja-JP"/>
        </w:rPr>
        <w:t xml:space="preserve"> </w:t>
      </w:r>
      <w:r>
        <w:rPr>
          <w:rFonts w:eastAsia="MS Mincho"/>
          <w:sz w:val="24"/>
          <w:lang w:eastAsia="ja-JP"/>
        </w:rPr>
        <w:t>(NMP), conductive carbon black, H</w:t>
      </w:r>
      <w:r>
        <w:rPr>
          <w:rFonts w:eastAsia="MS Mincho"/>
          <w:sz w:val="24"/>
          <w:vertAlign w:val="subscript"/>
          <w:lang w:eastAsia="ja-JP"/>
        </w:rPr>
        <w:t>2</w:t>
      </w:r>
      <w:r>
        <w:rPr>
          <w:rFonts w:eastAsia="MS Mincho"/>
          <w:sz w:val="24"/>
          <w:lang w:eastAsia="ja-JP"/>
        </w:rPr>
        <w:t>SO</w:t>
      </w:r>
      <w:r>
        <w:rPr>
          <w:rFonts w:eastAsia="MS Mincho"/>
          <w:sz w:val="24"/>
          <w:vertAlign w:val="subscript"/>
          <w:lang w:eastAsia="ja-JP"/>
        </w:rPr>
        <w:t>4</w:t>
      </w:r>
      <w:r>
        <w:rPr>
          <w:rFonts w:eastAsia="MS Mincho"/>
          <w:sz w:val="24"/>
          <w:lang w:eastAsia="ja-JP"/>
        </w:rPr>
        <w:t xml:space="preserve"> (98%), anhydrous ethanol, Li</w:t>
      </w:r>
      <w:bookmarkStart w:id="14" w:name="OLE_LINK2"/>
      <w:r>
        <w:rPr>
          <w:rFonts w:hint="eastAsia" w:eastAsia="MS Mincho"/>
          <w:sz w:val="24"/>
          <w:lang w:eastAsia="ja-JP"/>
        </w:rPr>
        <w:t>Cl</w:t>
      </w:r>
      <w:bookmarkEnd w:id="14"/>
      <w:r>
        <w:rPr>
          <w:rFonts w:eastAsia="MS Mincho"/>
          <w:sz w:val="24"/>
          <w:lang w:eastAsia="ja-JP"/>
        </w:rPr>
        <w:t>,</w:t>
      </w:r>
      <w:r>
        <w:rPr>
          <w:rFonts w:hint="eastAsia" w:eastAsia="MS Mincho"/>
          <w:sz w:val="24"/>
          <w:lang w:eastAsia="ja-JP"/>
        </w:rPr>
        <w:t xml:space="preserve"> </w:t>
      </w:r>
      <w:r>
        <w:rPr>
          <w:rFonts w:eastAsia="MS Mincho"/>
          <w:sz w:val="24"/>
          <w:lang w:eastAsia="ja-JP"/>
        </w:rPr>
        <w:t>MgCl</w:t>
      </w:r>
      <w:r>
        <w:rPr>
          <w:rFonts w:hint="eastAsia" w:eastAsiaTheme="minorEastAsia"/>
          <w:sz w:val="24"/>
          <w:vertAlign w:val="subscript"/>
        </w:rPr>
        <w:t>2</w:t>
      </w:r>
      <w:r>
        <w:rPr>
          <w:rFonts w:eastAsia="MS Mincho"/>
          <w:sz w:val="24"/>
          <w:lang w:eastAsia="ja-JP"/>
        </w:rPr>
        <w:t>, Na</w:t>
      </w:r>
      <w:r>
        <w:rPr>
          <w:rFonts w:eastAsia="MS Mincho"/>
          <w:sz w:val="24"/>
          <w:vertAlign w:val="subscript"/>
          <w:lang w:eastAsia="ja-JP"/>
        </w:rPr>
        <w:t>2</w:t>
      </w:r>
      <w:r>
        <w:rPr>
          <w:rFonts w:eastAsia="MS Mincho"/>
          <w:sz w:val="24"/>
          <w:lang w:eastAsia="ja-JP"/>
        </w:rPr>
        <w:t>SO</w:t>
      </w:r>
      <w:r>
        <w:rPr>
          <w:rFonts w:eastAsia="MS Mincho"/>
          <w:sz w:val="24"/>
          <w:vertAlign w:val="subscript"/>
          <w:lang w:eastAsia="ja-JP"/>
        </w:rPr>
        <w:t>4</w:t>
      </w:r>
      <w:r>
        <w:rPr>
          <w:rFonts w:eastAsia="MS Mincho"/>
          <w:sz w:val="24"/>
          <w:lang w:eastAsia="ja-JP"/>
        </w:rPr>
        <w:t xml:space="preserve">, </w:t>
      </w:r>
      <w:r>
        <w:rPr>
          <w:rFonts w:hint="eastAsia" w:eastAsia="MS Mincho"/>
          <w:sz w:val="24"/>
          <w:lang w:eastAsia="ja-JP"/>
        </w:rPr>
        <w:t>g</w:t>
      </w:r>
      <w:r>
        <w:rPr>
          <w:rFonts w:eastAsia="MS Mincho"/>
          <w:sz w:val="24"/>
          <w:lang w:eastAsia="ja-JP"/>
        </w:rPr>
        <w:t>raphite plate</w:t>
      </w:r>
      <w:r>
        <w:rPr>
          <w:rFonts w:hint="eastAsia" w:eastAsia="MS Mincho"/>
          <w:sz w:val="24"/>
          <w:lang w:eastAsia="ja-JP"/>
        </w:rPr>
        <w:t xml:space="preserve">. </w:t>
      </w:r>
      <w:r>
        <w:rPr>
          <w:rFonts w:eastAsia="MS Mincho"/>
          <w:sz w:val="24"/>
          <w:lang w:eastAsia="ja-JP"/>
        </w:rPr>
        <w:t xml:space="preserve">All other reagents were obtained from Shanghai Aladdin Industrial Corporation </w:t>
      </w:r>
      <w:r>
        <w:rPr>
          <w:rFonts w:hint="eastAsia" w:eastAsiaTheme="minorEastAsia"/>
          <w:sz w:val="24"/>
        </w:rPr>
        <w:t>(</w:t>
      </w:r>
      <w:r>
        <w:rPr>
          <w:rFonts w:eastAsia="MS Mincho"/>
          <w:sz w:val="24"/>
          <w:lang w:eastAsia="ja-JP"/>
        </w:rPr>
        <w:t>China</w:t>
      </w:r>
      <w:r>
        <w:rPr>
          <w:rFonts w:hint="eastAsia" w:eastAsiaTheme="minorEastAsia"/>
          <w:sz w:val="24"/>
        </w:rPr>
        <w:t>).</w:t>
      </w:r>
      <w:r>
        <w:rPr>
          <w:rFonts w:eastAsia="MS Mincho"/>
          <w:sz w:val="24"/>
          <w:lang w:eastAsia="ja-JP"/>
        </w:rPr>
        <w:t xml:space="preserve"> All reagents</w:t>
      </w:r>
      <w:r>
        <w:rPr>
          <w:rFonts w:hint="eastAsia" w:eastAsia="MS Mincho"/>
          <w:sz w:val="24"/>
          <w:lang w:eastAsia="ja-JP"/>
        </w:rPr>
        <w:t xml:space="preserve"> </w:t>
      </w:r>
      <w:r>
        <w:rPr>
          <w:rFonts w:eastAsia="MS Mincho"/>
          <w:sz w:val="24"/>
          <w:lang w:eastAsia="ja-JP"/>
        </w:rPr>
        <w:t>were analytically pure, except for specifically labeled substances, and solutions were</w:t>
      </w:r>
      <w:r>
        <w:rPr>
          <w:rFonts w:hint="eastAsia" w:eastAsia="MS Mincho"/>
          <w:sz w:val="24"/>
          <w:lang w:eastAsia="ja-JP"/>
        </w:rPr>
        <w:t xml:space="preserve"> </w:t>
      </w:r>
      <w:r>
        <w:rPr>
          <w:rFonts w:eastAsia="MS Mincho"/>
          <w:sz w:val="24"/>
          <w:lang w:eastAsia="ja-JP"/>
        </w:rPr>
        <w:t>prepared using deionized water.</w:t>
      </w:r>
    </w:p>
    <w:p w14:paraId="1D7E9B8C">
      <w:pPr>
        <w:spacing w:line="360" w:lineRule="auto"/>
        <w:jc w:val="left"/>
        <w:rPr>
          <w:b/>
          <w:bCs/>
          <w:sz w:val="28"/>
          <w:szCs w:val="36"/>
        </w:rPr>
      </w:pPr>
      <w:r>
        <w:rPr>
          <w:b/>
          <w:bCs/>
          <w:sz w:val="28"/>
          <w:szCs w:val="36"/>
        </w:rPr>
        <w:t>Physical characterizations</w:t>
      </w:r>
    </w:p>
    <w:p w14:paraId="1D22122B">
      <w:pPr>
        <w:spacing w:line="360" w:lineRule="auto"/>
        <w:ind w:firstLine="480" w:firstLineChars="200"/>
        <w:rPr>
          <w:rFonts w:eastAsiaTheme="minorEastAsia"/>
          <w:sz w:val="24"/>
        </w:rPr>
      </w:pPr>
      <w:r>
        <w:rPr>
          <w:rFonts w:eastAsia="MS Mincho"/>
          <w:sz w:val="24"/>
          <w:lang w:eastAsia="ja-JP"/>
        </w:rPr>
        <w:t xml:space="preserve">Scanning electron microscope (SEM, </w:t>
      </w:r>
      <w:r>
        <w:rPr>
          <w:rFonts w:hint="eastAsia" w:eastAsia="MS Mincho"/>
          <w:sz w:val="24"/>
          <w:lang w:eastAsia="ja-JP"/>
        </w:rPr>
        <w:t>JSM-7900F</w:t>
      </w:r>
      <w:r>
        <w:rPr>
          <w:rFonts w:eastAsia="MS Mincho"/>
          <w:sz w:val="24"/>
          <w:lang w:eastAsia="ja-JP"/>
        </w:rPr>
        <w:t>,</w:t>
      </w:r>
      <w:r>
        <w:rPr>
          <w:rFonts w:hint="eastAsia" w:eastAsia="MS Mincho"/>
          <w:sz w:val="24"/>
          <w:lang w:eastAsia="ja-JP"/>
        </w:rPr>
        <w:t xml:space="preserve"> </w:t>
      </w:r>
      <w:r>
        <w:rPr>
          <w:rFonts w:eastAsia="MS Mincho"/>
          <w:sz w:val="24"/>
          <w:lang w:eastAsia="ja-JP"/>
        </w:rPr>
        <w:t>JEOL,</w:t>
      </w:r>
      <w:r>
        <w:rPr>
          <w:rFonts w:hint="eastAsia" w:eastAsia="MS Mincho"/>
          <w:sz w:val="24"/>
          <w:lang w:eastAsia="ja-JP"/>
        </w:rPr>
        <w:t xml:space="preserve"> Japan</w:t>
      </w:r>
      <w:r>
        <w:rPr>
          <w:rFonts w:eastAsia="MS Mincho"/>
          <w:sz w:val="24"/>
          <w:lang w:eastAsia="ja-JP"/>
        </w:rPr>
        <w:t>)</w:t>
      </w:r>
      <w:r>
        <w:rPr>
          <w:rFonts w:hint="eastAsia" w:eastAsia="MS Mincho"/>
          <w:sz w:val="24"/>
          <w:lang w:eastAsia="ja-JP"/>
        </w:rPr>
        <w:t>、</w:t>
      </w:r>
      <w:r>
        <w:rPr>
          <w:rFonts w:eastAsia="MS Mincho"/>
          <w:sz w:val="24"/>
          <w:lang w:eastAsia="ja-JP"/>
        </w:rPr>
        <w:t xml:space="preserve">Field emission transmission electron microscope </w:t>
      </w:r>
      <w:r>
        <w:rPr>
          <w:rFonts w:hint="eastAsia" w:eastAsia="MS Mincho"/>
          <w:sz w:val="24"/>
          <w:lang w:eastAsia="ja-JP"/>
        </w:rPr>
        <w:t>(T</w:t>
      </w:r>
      <w:r>
        <w:rPr>
          <w:rFonts w:eastAsia="MS Mincho"/>
          <w:sz w:val="24"/>
          <w:lang w:eastAsia="ja-JP"/>
        </w:rPr>
        <w:t xml:space="preserve">EM, </w:t>
      </w:r>
      <w:r>
        <w:rPr>
          <w:rFonts w:hint="eastAsia" w:eastAsia="MS Mincho"/>
          <w:sz w:val="24"/>
          <w:lang w:eastAsia="ja-JP"/>
        </w:rPr>
        <w:t>JEM-F200,</w:t>
      </w:r>
      <w:r>
        <w:rPr>
          <w:rFonts w:eastAsia="MS Mincho"/>
          <w:sz w:val="24"/>
          <w:lang w:eastAsia="ja-JP"/>
        </w:rPr>
        <w:t xml:space="preserve"> JEOL,</w:t>
      </w:r>
      <w:r>
        <w:rPr>
          <w:rFonts w:hint="eastAsia" w:eastAsia="MS Mincho"/>
          <w:sz w:val="24"/>
          <w:lang w:eastAsia="ja-JP"/>
        </w:rPr>
        <w:t xml:space="preserve"> Japan)</w:t>
      </w:r>
      <w:r>
        <w:rPr>
          <w:rFonts w:eastAsia="MS Mincho"/>
          <w:sz w:val="24"/>
          <w:lang w:eastAsia="ja-JP"/>
        </w:rPr>
        <w:t xml:space="preserve"> and X-ray</w:t>
      </w:r>
      <w:r>
        <w:rPr>
          <w:rFonts w:hint="eastAsia" w:eastAsia="MS Mincho"/>
          <w:sz w:val="24"/>
          <w:lang w:eastAsia="ja-JP"/>
        </w:rPr>
        <w:t xml:space="preserve"> </w:t>
      </w:r>
      <w:r>
        <w:rPr>
          <w:rFonts w:eastAsia="MS Mincho"/>
          <w:sz w:val="24"/>
          <w:lang w:eastAsia="ja-JP"/>
        </w:rPr>
        <w:t>diffractometer (XRD</w:t>
      </w:r>
      <w:r>
        <w:rPr>
          <w:rFonts w:hint="eastAsia" w:eastAsia="MS Mincho"/>
          <w:sz w:val="24"/>
          <w:lang w:eastAsia="ja-JP"/>
        </w:rPr>
        <w:t>,</w:t>
      </w:r>
      <w:r>
        <w:rPr>
          <w:rFonts w:eastAsia="MS Mincho"/>
          <w:sz w:val="24"/>
          <w:lang w:eastAsia="ja-JP"/>
        </w:rPr>
        <w:t xml:space="preserve"> </w:t>
      </w:r>
      <w:r>
        <w:rPr>
          <w:rFonts w:hint="eastAsia" w:eastAsia="MS Mincho"/>
          <w:sz w:val="24"/>
          <w:lang w:eastAsia="ja-JP"/>
        </w:rPr>
        <w:t>S</w:t>
      </w:r>
      <w:r>
        <w:rPr>
          <w:rFonts w:eastAsia="MS Mincho"/>
          <w:sz w:val="24"/>
          <w:lang w:eastAsia="ja-JP"/>
        </w:rPr>
        <w:t>martlab</w:t>
      </w:r>
      <w:r>
        <w:rPr>
          <w:rFonts w:hint="eastAsia" w:eastAsia="MS Mincho"/>
          <w:sz w:val="24"/>
          <w:lang w:eastAsia="ja-JP"/>
        </w:rPr>
        <w:t xml:space="preserve"> SE, Japan</w:t>
      </w:r>
      <w:r>
        <w:rPr>
          <w:rFonts w:eastAsia="MS Mincho"/>
          <w:sz w:val="24"/>
          <w:lang w:eastAsia="ja-JP"/>
        </w:rPr>
        <w:t>) were used to analyze the morphology, composition, and</w:t>
      </w:r>
      <w:r>
        <w:rPr>
          <w:rFonts w:hint="eastAsia" w:eastAsia="MS Mincho"/>
          <w:sz w:val="24"/>
          <w:lang w:eastAsia="ja-JP"/>
        </w:rPr>
        <w:t xml:space="preserve"> </w:t>
      </w:r>
      <w:r>
        <w:rPr>
          <w:rFonts w:eastAsia="MS Mincho"/>
          <w:sz w:val="24"/>
          <w:lang w:eastAsia="ja-JP"/>
        </w:rPr>
        <w:t>crystalline structure of the prepared material. The elemental contents of the material</w:t>
      </w:r>
      <w:r>
        <w:rPr>
          <w:rFonts w:hint="eastAsia" w:eastAsia="MS Mincho"/>
          <w:sz w:val="24"/>
          <w:lang w:eastAsia="ja-JP"/>
        </w:rPr>
        <w:t xml:space="preserve"> </w:t>
      </w:r>
      <w:r>
        <w:rPr>
          <w:rFonts w:eastAsia="MS Mincho"/>
          <w:sz w:val="24"/>
          <w:lang w:eastAsia="ja-JP"/>
        </w:rPr>
        <w:t>were tested by EDS</w:t>
      </w:r>
      <w:r>
        <w:rPr>
          <w:rFonts w:hint="eastAsia" w:eastAsiaTheme="minorEastAsia"/>
          <w:sz w:val="24"/>
        </w:rPr>
        <w:t xml:space="preserve"> (</w:t>
      </w:r>
      <w:r>
        <w:rPr>
          <w:rFonts w:eastAsia="MS Mincho"/>
          <w:sz w:val="24"/>
          <w:lang w:eastAsia="ja-JP"/>
        </w:rPr>
        <w:t>S</w:t>
      </w:r>
      <w:r>
        <w:rPr>
          <w:rFonts w:hint="eastAsia" w:eastAsiaTheme="minorEastAsia"/>
          <w:sz w:val="24"/>
        </w:rPr>
        <w:t>T</w:t>
      </w:r>
      <w:r>
        <w:rPr>
          <w:rFonts w:eastAsia="MS Mincho"/>
          <w:sz w:val="24"/>
          <w:lang w:eastAsia="ja-JP"/>
        </w:rPr>
        <w:t xml:space="preserve">EM, </w:t>
      </w:r>
      <w:r>
        <w:rPr>
          <w:rFonts w:hint="eastAsia" w:eastAsia="MS Mincho"/>
          <w:sz w:val="24"/>
          <w:lang w:eastAsia="ja-JP"/>
        </w:rPr>
        <w:t>J</w:t>
      </w:r>
      <w:r>
        <w:rPr>
          <w:rFonts w:hint="eastAsia" w:eastAsiaTheme="minorEastAsia"/>
          <w:sz w:val="24"/>
        </w:rPr>
        <w:t>EOL</w:t>
      </w:r>
      <w:r>
        <w:rPr>
          <w:rFonts w:hint="eastAsia" w:eastAsia="MS Mincho"/>
          <w:sz w:val="24"/>
          <w:lang w:eastAsia="ja-JP"/>
        </w:rPr>
        <w:t>-</w:t>
      </w:r>
      <w:r>
        <w:rPr>
          <w:rFonts w:hint="eastAsia" w:eastAsiaTheme="minorEastAsia"/>
          <w:sz w:val="24"/>
        </w:rPr>
        <w:t>2300</w:t>
      </w:r>
      <w:r>
        <w:rPr>
          <w:rFonts w:eastAsia="MS Mincho"/>
          <w:sz w:val="24"/>
          <w:lang w:eastAsia="ja-JP"/>
        </w:rPr>
        <w:t>,</w:t>
      </w:r>
      <w:r>
        <w:rPr>
          <w:rFonts w:hint="eastAsia" w:eastAsia="MS Mincho"/>
          <w:sz w:val="24"/>
          <w:lang w:eastAsia="ja-JP"/>
        </w:rPr>
        <w:t xml:space="preserve"> </w:t>
      </w:r>
      <w:r>
        <w:rPr>
          <w:rFonts w:eastAsia="MS Mincho"/>
          <w:sz w:val="24"/>
          <w:lang w:eastAsia="ja-JP"/>
        </w:rPr>
        <w:t>JEOL,</w:t>
      </w:r>
      <w:r>
        <w:rPr>
          <w:rFonts w:hint="eastAsia" w:eastAsia="MS Mincho"/>
          <w:sz w:val="24"/>
          <w:lang w:eastAsia="ja-JP"/>
        </w:rPr>
        <w:t xml:space="preserve"> Japan</w:t>
      </w:r>
      <w:r>
        <w:rPr>
          <w:rFonts w:hint="eastAsia" w:eastAsiaTheme="minorEastAsia"/>
          <w:sz w:val="24"/>
        </w:rPr>
        <w:t>). I</w:t>
      </w:r>
      <w:r>
        <w:rPr>
          <w:rFonts w:eastAsia="MS Mincho"/>
          <w:sz w:val="24"/>
          <w:lang w:eastAsia="ja-JP"/>
        </w:rPr>
        <w:t>nductively coupled plasma (ICP-OES</w:t>
      </w:r>
      <w:r>
        <w:rPr>
          <w:rFonts w:hint="eastAsia" w:eastAsia="MS Mincho"/>
          <w:sz w:val="24"/>
          <w:lang w:eastAsia="ja-JP"/>
        </w:rPr>
        <w:t>, Agilent 7800MS,</w:t>
      </w:r>
      <w:r>
        <w:rPr>
          <w:rFonts w:eastAsia="MS Mincho"/>
          <w:sz w:val="24"/>
          <w:lang w:eastAsia="ja-JP"/>
        </w:rPr>
        <w:t xml:space="preserve"> USA). X-ray</w:t>
      </w:r>
      <w:r>
        <w:rPr>
          <w:rFonts w:hint="eastAsia" w:eastAsia="MS Mincho"/>
          <w:sz w:val="24"/>
          <w:lang w:eastAsia="ja-JP"/>
        </w:rPr>
        <w:t xml:space="preserve"> </w:t>
      </w:r>
      <w:r>
        <w:rPr>
          <w:rFonts w:eastAsia="MS Mincho"/>
          <w:sz w:val="24"/>
          <w:lang w:eastAsia="ja-JP"/>
        </w:rPr>
        <w:t>photoelectron spectroscopy (XPS, Thermo Scientific K-Alpha, USA) was used to</w:t>
      </w:r>
      <w:r>
        <w:rPr>
          <w:rFonts w:hint="eastAsia" w:eastAsia="MS Mincho"/>
          <w:sz w:val="24"/>
          <w:lang w:eastAsia="ja-JP"/>
        </w:rPr>
        <w:t xml:space="preserve"> </w:t>
      </w:r>
      <w:r>
        <w:rPr>
          <w:rFonts w:eastAsia="MS Mincho"/>
          <w:sz w:val="24"/>
          <w:lang w:eastAsia="ja-JP"/>
        </w:rPr>
        <w:t>further analyze the elemental composition and valence states of the material surface</w:t>
      </w:r>
      <w:r>
        <w:rPr>
          <w:rFonts w:hint="eastAsia" w:eastAsia="MS Mincho"/>
          <w:sz w:val="24"/>
          <w:lang w:eastAsia="ja-JP"/>
        </w:rPr>
        <w:t xml:space="preserve"> </w:t>
      </w:r>
      <w:r>
        <w:rPr>
          <w:rFonts w:eastAsia="MS Mincho"/>
          <w:sz w:val="24"/>
          <w:lang w:eastAsia="ja-JP"/>
        </w:rPr>
        <w:t>before and after doping. An atomic absorption spectrophotometer (TAS-990,</w:t>
      </w:r>
      <w:r>
        <w:rPr>
          <w:rFonts w:hint="eastAsia" w:eastAsia="MS Mincho"/>
          <w:sz w:val="24"/>
          <w:lang w:eastAsia="ja-JP"/>
        </w:rPr>
        <w:t xml:space="preserve"> China</w:t>
      </w:r>
      <w:r>
        <w:rPr>
          <w:rFonts w:eastAsia="MS Mincho"/>
          <w:sz w:val="24"/>
          <w:lang w:eastAsia="ja-JP"/>
        </w:rPr>
        <w:t>) was applied to</w:t>
      </w:r>
      <w:r>
        <w:rPr>
          <w:rFonts w:hint="eastAsia" w:eastAsia="MS Mincho"/>
          <w:sz w:val="24"/>
          <w:lang w:eastAsia="ja-JP"/>
        </w:rPr>
        <w:t xml:space="preserve"> </w:t>
      </w:r>
      <w:r>
        <w:rPr>
          <w:rFonts w:eastAsia="MS Mincho"/>
          <w:sz w:val="24"/>
          <w:lang w:eastAsia="ja-JP"/>
        </w:rPr>
        <w:t xml:space="preserve">detect the concentrations </w:t>
      </w:r>
      <w:r>
        <w:rPr>
          <w:rFonts w:hint="eastAsia" w:eastAsiaTheme="minorEastAsia"/>
          <w:sz w:val="24"/>
        </w:rPr>
        <w:t>metal</w:t>
      </w:r>
      <w:r>
        <w:rPr>
          <w:rFonts w:eastAsia="MS Mincho"/>
          <w:sz w:val="24"/>
          <w:lang w:eastAsia="ja-JP"/>
        </w:rPr>
        <w:t xml:space="preserve"> ions in solution. Water contact angle of the electroactive f</w:t>
      </w:r>
      <w:r>
        <w:rPr>
          <w:rFonts w:hint="eastAsia" w:eastAsiaTheme="minorEastAsia"/>
          <w:sz w:val="24"/>
        </w:rPr>
        <w:t>i</w:t>
      </w:r>
      <w:r>
        <w:rPr>
          <w:rFonts w:eastAsia="MS Mincho"/>
          <w:sz w:val="24"/>
          <w:lang w:eastAsia="ja-JP"/>
        </w:rPr>
        <w:t>lm coated electrode was examined by a contact angle goniometer (SL200B, USA)</w:t>
      </w:r>
      <w:r>
        <w:rPr>
          <w:rFonts w:hint="eastAsia" w:eastAsiaTheme="minorEastAsia"/>
          <w:sz w:val="24"/>
        </w:rPr>
        <w:t>.</w:t>
      </w:r>
    </w:p>
    <w:p w14:paraId="3F1FB9F6">
      <w:pPr>
        <w:spacing w:line="360" w:lineRule="auto"/>
        <w:jc w:val="left"/>
        <w:rPr>
          <w:b/>
          <w:bCs/>
          <w:sz w:val="28"/>
          <w:szCs w:val="36"/>
        </w:rPr>
      </w:pPr>
      <w:r>
        <w:rPr>
          <w:b/>
          <w:bCs/>
          <w:sz w:val="28"/>
          <w:szCs w:val="36"/>
        </w:rPr>
        <w:t>Electrochemical characterizations</w:t>
      </w:r>
    </w:p>
    <w:p w14:paraId="3F2DF101">
      <w:pPr>
        <w:spacing w:line="360" w:lineRule="auto"/>
        <w:ind w:firstLine="480" w:firstLineChars="200"/>
        <w:rPr>
          <w:rFonts w:eastAsiaTheme="minorEastAsia"/>
          <w:sz w:val="32"/>
          <w:szCs w:val="32"/>
        </w:rPr>
      </w:pPr>
      <w:r>
        <w:rPr>
          <w:rFonts w:eastAsia="MS Mincho"/>
          <w:sz w:val="24"/>
          <w:lang w:eastAsia="ja-JP"/>
        </w:rPr>
        <w:t>CV was performed within a potential range of 0</w:t>
      </w:r>
      <w:r>
        <w:rPr>
          <w:rFonts w:hint="eastAsia" w:eastAsia="MS Mincho"/>
          <w:sz w:val="24"/>
          <w:lang w:eastAsia="ja-JP"/>
        </w:rPr>
        <w:t>.3</w:t>
      </w:r>
      <w:r>
        <w:rPr>
          <w:rFonts w:eastAsia="MS Mincho"/>
          <w:sz w:val="24"/>
          <w:lang w:eastAsia="ja-JP"/>
        </w:rPr>
        <w:t>-1.</w:t>
      </w:r>
      <w:r>
        <w:rPr>
          <w:rFonts w:hint="eastAsia" w:eastAsia="MS Mincho"/>
          <w:sz w:val="24"/>
          <w:lang w:eastAsia="ja-JP"/>
        </w:rPr>
        <w:t>1</w:t>
      </w:r>
      <w:r>
        <w:rPr>
          <w:rFonts w:eastAsia="MS Mincho"/>
          <w:sz w:val="24"/>
          <w:lang w:eastAsia="ja-JP"/>
        </w:rPr>
        <w:t xml:space="preserve"> V in a 0.1 M Li</w:t>
      </w:r>
      <w:r>
        <w:rPr>
          <w:rFonts w:hint="eastAsia" w:eastAsia="MS Mincho"/>
          <w:sz w:val="24"/>
          <w:lang w:eastAsia="ja-JP"/>
        </w:rPr>
        <w:t xml:space="preserve">Cl </w:t>
      </w:r>
      <w:r>
        <w:rPr>
          <w:rFonts w:eastAsia="MS Mincho"/>
          <w:sz w:val="24"/>
          <w:lang w:eastAsia="ja-JP"/>
        </w:rPr>
        <w:t>solution. The obtained electrode was used as the working electrode, and</w:t>
      </w:r>
      <w:r>
        <w:rPr>
          <w:rFonts w:hint="eastAsia" w:eastAsia="MS Mincho"/>
          <w:sz w:val="24"/>
          <w:lang w:eastAsia="ja-JP"/>
        </w:rPr>
        <w:t xml:space="preserve"> </w:t>
      </w:r>
      <w:r>
        <w:rPr>
          <w:rFonts w:eastAsia="MS Mincho"/>
          <w:sz w:val="24"/>
          <w:lang w:eastAsia="ja-JP"/>
        </w:rPr>
        <w:t>Ag/AgCl/saturated MCl</w:t>
      </w:r>
      <w:r>
        <w:rPr>
          <w:rFonts w:hint="eastAsia" w:eastAsia="MS Mincho"/>
          <w:sz w:val="24"/>
          <w:lang w:eastAsia="ja-JP"/>
        </w:rPr>
        <w:t xml:space="preserve"> </w:t>
      </w:r>
      <w:r>
        <w:rPr>
          <w:rFonts w:eastAsia="MS Mincho"/>
          <w:sz w:val="24"/>
          <w:lang w:eastAsia="ja-JP"/>
        </w:rPr>
        <w:t>and Platinum foil</w:t>
      </w:r>
      <w:r>
        <w:rPr>
          <w:rFonts w:hint="eastAsia" w:eastAsia="MS Mincho"/>
          <w:sz w:val="24"/>
          <w:lang w:eastAsia="ja-JP"/>
        </w:rPr>
        <w:t xml:space="preserve"> </w:t>
      </w:r>
      <w:r>
        <w:rPr>
          <w:rFonts w:eastAsia="MS Mincho"/>
          <w:sz w:val="24"/>
          <w:lang w:eastAsia="ja-JP"/>
        </w:rPr>
        <w:t>were applied as the reference and counter</w:t>
      </w:r>
      <w:r>
        <w:rPr>
          <w:rFonts w:hint="eastAsia" w:eastAsia="MS Mincho"/>
          <w:sz w:val="24"/>
          <w:lang w:eastAsia="ja-JP"/>
        </w:rPr>
        <w:t xml:space="preserve"> </w:t>
      </w:r>
      <w:r>
        <w:rPr>
          <w:rFonts w:eastAsia="MS Mincho"/>
          <w:sz w:val="24"/>
          <w:lang w:eastAsia="ja-JP"/>
        </w:rPr>
        <w:t>electrodes, respectively.</w:t>
      </w:r>
      <w:r>
        <w:rPr>
          <w:rFonts w:hint="eastAsia" w:eastAsia="MS Mincho"/>
          <w:sz w:val="24"/>
          <w:lang w:eastAsia="ja-JP"/>
        </w:rPr>
        <w:t xml:space="preserve"> </w:t>
      </w:r>
      <w:r>
        <w:rPr>
          <w:rFonts w:eastAsia="MS Mincho"/>
          <w:sz w:val="24"/>
          <w:lang w:eastAsia="ja-JP"/>
        </w:rPr>
        <w:t>EIS was performed within a frequency range of 0.01 Hz to</w:t>
      </w:r>
      <w:r>
        <w:rPr>
          <w:rFonts w:hint="eastAsia" w:eastAsia="MS Mincho"/>
          <w:sz w:val="24"/>
          <w:lang w:eastAsia="ja-JP"/>
        </w:rPr>
        <w:t xml:space="preserve"> </w:t>
      </w:r>
      <w:r>
        <w:rPr>
          <w:rFonts w:eastAsia="MS Mincho"/>
          <w:sz w:val="24"/>
          <w:lang w:eastAsia="ja-JP"/>
        </w:rPr>
        <w:t>0.1 MHz in a 0.1 M Li</w:t>
      </w:r>
      <w:r>
        <w:rPr>
          <w:rFonts w:hint="eastAsia" w:eastAsia="MS Mincho"/>
          <w:sz w:val="24"/>
          <w:lang w:eastAsia="ja-JP"/>
        </w:rPr>
        <w:t>Cl</w:t>
      </w:r>
      <w:r>
        <w:rPr>
          <w:rFonts w:eastAsia="MS Mincho"/>
          <w:sz w:val="24"/>
          <w:lang w:eastAsia="ja-JP"/>
        </w:rPr>
        <w:t xml:space="preserve"> solution at </w:t>
      </w:r>
      <w:r>
        <w:rPr>
          <w:rFonts w:hint="eastAsia" w:eastAsia="MS Mincho"/>
          <w:sz w:val="24"/>
          <w:lang w:eastAsia="ja-JP"/>
        </w:rPr>
        <w:t>0.05</w:t>
      </w:r>
      <w:r>
        <w:rPr>
          <w:rFonts w:eastAsia="MS Mincho"/>
          <w:sz w:val="24"/>
          <w:lang w:eastAsia="ja-JP"/>
        </w:rPr>
        <w:t xml:space="preserve">V. </w:t>
      </w:r>
      <w:r>
        <w:rPr>
          <w:rFonts w:hint="eastAsia" w:eastAsiaTheme="minorEastAsia"/>
          <w:sz w:val="24"/>
        </w:rPr>
        <w:t>G</w:t>
      </w:r>
      <w:r>
        <w:rPr>
          <w:rFonts w:hint="eastAsia" w:eastAsia="MS Mincho"/>
          <w:sz w:val="24"/>
          <w:lang w:eastAsia="ja-JP"/>
        </w:rPr>
        <w:t>C</w:t>
      </w:r>
      <w:r>
        <w:rPr>
          <w:rFonts w:hint="eastAsia" w:eastAsiaTheme="minorEastAsia"/>
          <w:sz w:val="24"/>
        </w:rPr>
        <w:t>D</w:t>
      </w:r>
      <w:r>
        <w:rPr>
          <w:rFonts w:eastAsia="MS Mincho"/>
          <w:sz w:val="24"/>
          <w:lang w:eastAsia="ja-JP"/>
        </w:rPr>
        <w:t xml:space="preserve"> </w:t>
      </w:r>
      <w:r>
        <w:rPr>
          <w:rFonts w:eastAsiaTheme="minorEastAsia"/>
          <w:bCs/>
          <w:sz w:val="24"/>
          <w:szCs w:val="32"/>
        </w:rPr>
        <w:t>test</w:t>
      </w:r>
      <w:r>
        <w:rPr>
          <w:rFonts w:hint="eastAsia" w:eastAsiaTheme="minorEastAsia"/>
          <w:bCs/>
          <w:sz w:val="24"/>
          <w:szCs w:val="32"/>
        </w:rPr>
        <w:t>s</w:t>
      </w:r>
      <w:r>
        <w:rPr>
          <w:rFonts w:eastAsia="MS Mincho"/>
          <w:sz w:val="24"/>
          <w:lang w:eastAsia="ja-JP"/>
        </w:rPr>
        <w:t xml:space="preserve"> </w:t>
      </w:r>
      <w:bookmarkStart w:id="15" w:name="OLE_LINK37"/>
      <w:r>
        <w:rPr>
          <w:rFonts w:hint="eastAsia" w:eastAsiaTheme="minorEastAsia"/>
          <w:sz w:val="24"/>
        </w:rPr>
        <w:t>(LMO/LZMO)</w:t>
      </w:r>
      <w:bookmarkEnd w:id="15"/>
      <w:r>
        <w:rPr>
          <w:rFonts w:hint="eastAsia" w:eastAsiaTheme="minorEastAsia"/>
          <w:sz w:val="24"/>
        </w:rPr>
        <w:t xml:space="preserve"> </w:t>
      </w:r>
      <w:r>
        <w:rPr>
          <w:rFonts w:eastAsia="MS Mincho"/>
          <w:sz w:val="24"/>
          <w:lang w:eastAsia="ja-JP"/>
        </w:rPr>
        <w:t>was performed within a frequency range of 0.</w:t>
      </w:r>
      <w:r>
        <w:rPr>
          <w:rFonts w:hint="eastAsia" w:eastAsia="MS Mincho"/>
          <w:sz w:val="24"/>
          <w:lang w:eastAsia="ja-JP"/>
        </w:rPr>
        <w:t>3V</w:t>
      </w:r>
      <w:r>
        <w:rPr>
          <w:rFonts w:eastAsia="MS Mincho"/>
          <w:sz w:val="24"/>
          <w:lang w:eastAsia="ja-JP"/>
        </w:rPr>
        <w:t xml:space="preserve"> to</w:t>
      </w:r>
      <w:r>
        <w:rPr>
          <w:rFonts w:hint="eastAsia" w:eastAsia="MS Mincho"/>
          <w:sz w:val="24"/>
          <w:lang w:eastAsia="ja-JP"/>
        </w:rPr>
        <w:t xml:space="preserve"> 1</w:t>
      </w:r>
      <w:r>
        <w:rPr>
          <w:rFonts w:eastAsia="MS Mincho"/>
          <w:sz w:val="24"/>
          <w:lang w:eastAsia="ja-JP"/>
        </w:rPr>
        <w:t xml:space="preserve">.1 </w:t>
      </w:r>
      <w:r>
        <w:rPr>
          <w:rFonts w:hint="eastAsia" w:eastAsia="MS Mincho"/>
          <w:sz w:val="24"/>
          <w:lang w:eastAsia="ja-JP"/>
        </w:rPr>
        <w:t>V</w:t>
      </w:r>
      <w:r>
        <w:rPr>
          <w:rFonts w:eastAsia="MS Mincho"/>
          <w:sz w:val="24"/>
          <w:lang w:eastAsia="ja-JP"/>
        </w:rPr>
        <w:t xml:space="preserve"> in a 0.1 M Li</w:t>
      </w:r>
      <w:r>
        <w:rPr>
          <w:rFonts w:hint="eastAsia" w:eastAsia="MS Mincho"/>
          <w:sz w:val="24"/>
          <w:lang w:eastAsia="ja-JP"/>
        </w:rPr>
        <w:t>Cl</w:t>
      </w:r>
      <w:r>
        <w:rPr>
          <w:rFonts w:eastAsia="MS Mincho"/>
          <w:sz w:val="24"/>
          <w:lang w:eastAsia="ja-JP"/>
        </w:rPr>
        <w:t xml:space="preserve"> solution.</w:t>
      </w:r>
      <w:r>
        <w:rPr>
          <w:rFonts w:hint="eastAsia" w:eastAsiaTheme="minorEastAsia"/>
          <w:sz w:val="24"/>
        </w:rPr>
        <w:t xml:space="preserve"> </w:t>
      </w:r>
      <w:r>
        <w:rPr>
          <w:rFonts w:eastAsiaTheme="minorEastAsia"/>
          <w:bCs/>
          <w:sz w:val="24"/>
          <w:szCs w:val="32"/>
        </w:rPr>
        <w:t>GCD test</w:t>
      </w:r>
      <w:r>
        <w:rPr>
          <w:rFonts w:hint="eastAsia" w:eastAsiaTheme="minorEastAsia"/>
          <w:bCs/>
          <w:sz w:val="24"/>
          <w:szCs w:val="32"/>
        </w:rPr>
        <w:t>s</w:t>
      </w:r>
      <w:r>
        <w:rPr>
          <w:rFonts w:eastAsiaTheme="minorEastAsia"/>
          <w:bCs/>
          <w:sz w:val="24"/>
          <w:szCs w:val="32"/>
        </w:rPr>
        <w:t xml:space="preserve"> were performed at a current density of 0.1 A</w:t>
      </w:r>
      <w:r>
        <w:rPr>
          <w:rFonts w:eastAsia="微软雅黑"/>
          <w:bCs/>
          <w:sz w:val="24"/>
          <w:szCs w:val="32"/>
          <w:vertAlign w:val="superscript"/>
        </w:rPr>
        <w:t>.</w:t>
      </w:r>
      <w:r>
        <w:rPr>
          <w:rFonts w:eastAsia="微软雅黑"/>
          <w:bCs/>
          <w:sz w:val="24"/>
          <w:szCs w:val="32"/>
        </w:rPr>
        <w:t>g</w:t>
      </w:r>
      <w:r>
        <w:rPr>
          <w:rFonts w:eastAsia="微软雅黑"/>
          <w:bCs/>
          <w:sz w:val="24"/>
          <w:szCs w:val="32"/>
          <w:vertAlign w:val="superscript"/>
        </w:rPr>
        <w:t>-1</w:t>
      </w:r>
      <w:r>
        <w:rPr>
          <w:rFonts w:hint="eastAsia" w:eastAsia="微软雅黑"/>
          <w:bCs/>
          <w:sz w:val="24"/>
          <w:szCs w:val="32"/>
        </w:rPr>
        <w:t xml:space="preserve">. </w:t>
      </w:r>
      <w:r>
        <w:rPr>
          <w:rFonts w:hint="eastAsia" w:eastAsiaTheme="minorEastAsia"/>
          <w:bCs/>
          <w:sz w:val="24"/>
          <w:szCs w:val="32"/>
        </w:rPr>
        <w:t xml:space="preserve">GCD </w:t>
      </w:r>
      <w:r>
        <w:rPr>
          <w:rFonts w:eastAsiaTheme="minorEastAsia"/>
          <w:bCs/>
          <w:sz w:val="24"/>
          <w:szCs w:val="32"/>
        </w:rPr>
        <w:t>test</w:t>
      </w:r>
      <w:r>
        <w:rPr>
          <w:rFonts w:hint="eastAsia" w:eastAsiaTheme="minorEastAsia"/>
          <w:bCs/>
          <w:sz w:val="24"/>
          <w:szCs w:val="32"/>
        </w:rPr>
        <w:t>s</w:t>
      </w:r>
      <w:r>
        <w:rPr>
          <w:rFonts w:hint="eastAsia" w:eastAsiaTheme="minorEastAsia"/>
          <w:sz w:val="24"/>
        </w:rPr>
        <w:t xml:space="preserve"> (BiOCl)</w:t>
      </w:r>
      <w:r>
        <w:rPr>
          <w:rFonts w:eastAsiaTheme="minorEastAsia"/>
          <w:bCs/>
          <w:sz w:val="24"/>
          <w:szCs w:val="32"/>
        </w:rPr>
        <w:t xml:space="preserve"> was performed within a potential range of </w:t>
      </w:r>
      <w:r>
        <w:rPr>
          <w:rFonts w:hint="eastAsia" w:eastAsiaTheme="minorEastAsia"/>
          <w:bCs/>
          <w:sz w:val="24"/>
          <w:szCs w:val="32"/>
        </w:rPr>
        <w:t>-0.6</w:t>
      </w:r>
      <w:r>
        <w:rPr>
          <w:rFonts w:eastAsiaTheme="minorEastAsia"/>
          <w:bCs/>
          <w:sz w:val="24"/>
          <w:szCs w:val="32"/>
        </w:rPr>
        <w:t>-1.</w:t>
      </w:r>
      <w:r>
        <w:rPr>
          <w:rFonts w:hint="eastAsia" w:eastAsiaTheme="minorEastAsia"/>
          <w:bCs/>
          <w:sz w:val="24"/>
          <w:szCs w:val="32"/>
        </w:rPr>
        <w:t>0</w:t>
      </w:r>
      <w:r>
        <w:rPr>
          <w:rFonts w:eastAsiaTheme="minorEastAsia"/>
          <w:bCs/>
          <w:sz w:val="24"/>
          <w:szCs w:val="32"/>
        </w:rPr>
        <w:t xml:space="preserve"> V in a 0.1 M LiCl solution. The obtained electrode was used as the working electrode, and Ag/AgCl/saturated MCl and Platinum foil were applied as the reference and counter electrodes, respectively</w:t>
      </w:r>
      <w:r>
        <w:rPr>
          <w:rFonts w:hint="eastAsia" w:eastAsiaTheme="minorEastAsia"/>
          <w:bCs/>
          <w:sz w:val="24"/>
          <w:szCs w:val="32"/>
        </w:rPr>
        <w:t xml:space="preserve">. </w:t>
      </w:r>
      <w:r>
        <w:rPr>
          <w:rFonts w:eastAsiaTheme="minorEastAsia"/>
          <w:bCs/>
          <w:sz w:val="24"/>
          <w:szCs w:val="32"/>
        </w:rPr>
        <w:t>GCD test</w:t>
      </w:r>
      <w:r>
        <w:rPr>
          <w:rFonts w:hint="eastAsia" w:eastAsiaTheme="minorEastAsia"/>
          <w:bCs/>
          <w:sz w:val="24"/>
          <w:szCs w:val="32"/>
        </w:rPr>
        <w:t>s</w:t>
      </w:r>
      <w:r>
        <w:rPr>
          <w:rFonts w:eastAsiaTheme="minorEastAsia"/>
          <w:bCs/>
          <w:sz w:val="24"/>
          <w:szCs w:val="32"/>
        </w:rPr>
        <w:t xml:space="preserve"> were performed at a current density of 0.1 A</w:t>
      </w:r>
      <w:r>
        <w:rPr>
          <w:rFonts w:eastAsia="微软雅黑"/>
          <w:bCs/>
          <w:sz w:val="24"/>
          <w:szCs w:val="32"/>
          <w:vertAlign w:val="superscript"/>
        </w:rPr>
        <w:t>.</w:t>
      </w:r>
      <w:r>
        <w:rPr>
          <w:rFonts w:eastAsia="微软雅黑"/>
          <w:bCs/>
          <w:sz w:val="24"/>
          <w:szCs w:val="32"/>
        </w:rPr>
        <w:t>g</w:t>
      </w:r>
      <w:r>
        <w:rPr>
          <w:rFonts w:eastAsia="微软雅黑"/>
          <w:bCs/>
          <w:sz w:val="24"/>
          <w:szCs w:val="32"/>
          <w:vertAlign w:val="superscript"/>
        </w:rPr>
        <w:t>-1</w:t>
      </w:r>
      <w:r>
        <w:rPr>
          <w:rFonts w:hint="eastAsia" w:eastAsia="微软雅黑"/>
          <w:bCs/>
          <w:sz w:val="24"/>
          <w:szCs w:val="32"/>
        </w:rPr>
        <w:t>.</w:t>
      </w:r>
    </w:p>
    <w:p w14:paraId="608376A6">
      <w:pPr>
        <w:spacing w:line="360" w:lineRule="auto"/>
        <w:jc w:val="left"/>
        <w:rPr>
          <w:b/>
          <w:bCs/>
          <w:sz w:val="28"/>
          <w:szCs w:val="36"/>
        </w:rPr>
      </w:pPr>
      <w:r>
        <w:rPr>
          <w:b/>
          <w:bCs/>
          <w:sz w:val="28"/>
          <w:szCs w:val="36"/>
        </w:rPr>
        <w:t>Electrochemically switched ion exchange system</w:t>
      </w:r>
    </w:p>
    <w:p w14:paraId="2E6B9C7E">
      <w:pPr>
        <w:spacing w:line="360" w:lineRule="auto"/>
        <w:ind w:firstLine="480" w:firstLineChars="200"/>
        <w:rPr>
          <w:rFonts w:eastAsiaTheme="minorEastAsia"/>
          <w:sz w:val="24"/>
        </w:rPr>
      </w:pPr>
      <w:r>
        <w:rPr>
          <w:rFonts w:eastAsia="MS Mincho"/>
          <w:sz w:val="24"/>
          <w:lang w:eastAsia="ja-JP"/>
        </w:rPr>
        <w:t>The electrochemically switched ion exchange (ESI</w:t>
      </w:r>
      <w:r>
        <w:rPr>
          <w:rFonts w:hint="eastAsia" w:eastAsia="MS Mincho"/>
          <w:sz w:val="24"/>
          <w:lang w:eastAsia="ja-JP"/>
        </w:rPr>
        <w:t>X</w:t>
      </w:r>
      <w:r>
        <w:rPr>
          <w:rFonts w:eastAsia="MS Mincho"/>
          <w:sz w:val="24"/>
          <w:lang w:eastAsia="ja-JP"/>
        </w:rPr>
        <w:t xml:space="preserve">) </w:t>
      </w:r>
      <w:bookmarkStart w:id="16" w:name="OLE_LINK10"/>
      <w:r>
        <w:rPr>
          <w:rFonts w:eastAsia="MS Mincho"/>
          <w:sz w:val="24"/>
          <w:lang w:eastAsia="ja-JP"/>
        </w:rPr>
        <w:t>system</w:t>
      </w:r>
      <w:bookmarkEnd w:id="16"/>
      <w:r>
        <w:rPr>
          <w:rFonts w:eastAsia="MS Mincho"/>
          <w:sz w:val="24"/>
          <w:lang w:eastAsia="ja-JP"/>
        </w:rPr>
        <w:t xml:space="preserve"> has t</w:t>
      </w:r>
      <w:r>
        <w:rPr>
          <w:rFonts w:hint="eastAsia" w:eastAsia="MS Mincho"/>
          <w:sz w:val="24"/>
          <w:lang w:eastAsia="ja-JP"/>
        </w:rPr>
        <w:t>wo</w:t>
      </w:r>
      <w:r>
        <w:rPr>
          <w:rFonts w:eastAsia="MS Mincho"/>
          <w:sz w:val="24"/>
          <w:lang w:eastAsia="ja-JP"/>
        </w:rPr>
        <w:t xml:space="preserve"> main</w:t>
      </w:r>
      <w:r>
        <w:rPr>
          <w:rFonts w:hint="eastAsia" w:eastAsia="MS Mincho"/>
          <w:sz w:val="24"/>
          <w:lang w:eastAsia="ja-JP"/>
        </w:rPr>
        <w:t xml:space="preserve"> </w:t>
      </w:r>
      <w:r>
        <w:rPr>
          <w:rFonts w:eastAsia="MS Mincho"/>
          <w:sz w:val="24"/>
          <w:lang w:eastAsia="ja-JP"/>
        </w:rPr>
        <w:t xml:space="preserve">components: the feed </w:t>
      </w:r>
      <w:bookmarkStart w:id="17" w:name="OLE_LINK130"/>
      <w:r>
        <w:rPr>
          <w:rFonts w:hint="eastAsia" w:eastAsiaTheme="minorEastAsia"/>
          <w:sz w:val="24"/>
        </w:rPr>
        <w:t>solution</w:t>
      </w:r>
      <w:bookmarkEnd w:id="17"/>
      <w:r>
        <w:rPr>
          <w:rFonts w:hint="eastAsia" w:eastAsiaTheme="minorEastAsia"/>
          <w:sz w:val="24"/>
        </w:rPr>
        <w:t xml:space="preserve"> </w:t>
      </w:r>
      <w:r>
        <w:rPr>
          <w:rFonts w:eastAsia="MS Mincho"/>
          <w:sz w:val="24"/>
          <w:lang w:eastAsia="ja-JP"/>
        </w:rPr>
        <w:t>(F</w:t>
      </w:r>
      <w:r>
        <w:rPr>
          <w:rFonts w:hint="eastAsia" w:eastAsiaTheme="minorEastAsia"/>
          <w:sz w:val="24"/>
        </w:rPr>
        <w:t>S</w:t>
      </w:r>
      <w:r>
        <w:rPr>
          <w:rFonts w:eastAsia="MS Mincho"/>
          <w:sz w:val="24"/>
          <w:lang w:eastAsia="ja-JP"/>
        </w:rPr>
        <w:t>) and the rec</w:t>
      </w:r>
      <w:r>
        <w:rPr>
          <w:rFonts w:hint="eastAsia" w:eastAsiaTheme="minorEastAsia"/>
          <w:sz w:val="24"/>
        </w:rPr>
        <w:t>overy</w:t>
      </w:r>
      <w:r>
        <w:rPr>
          <w:rFonts w:hint="eastAsia" w:eastAsia="MS Mincho"/>
          <w:sz w:val="24"/>
          <w:lang w:eastAsia="ja-JP"/>
        </w:rPr>
        <w:t xml:space="preserve"> </w:t>
      </w:r>
      <w:r>
        <w:rPr>
          <w:rFonts w:hint="eastAsia" w:eastAsiaTheme="minorEastAsia"/>
          <w:sz w:val="24"/>
        </w:rPr>
        <w:t>solution</w:t>
      </w:r>
      <w:r>
        <w:rPr>
          <w:rFonts w:eastAsia="MS Mincho"/>
          <w:sz w:val="24"/>
          <w:lang w:eastAsia="ja-JP"/>
        </w:rPr>
        <w:t xml:space="preserve"> (R</w:t>
      </w:r>
      <w:r>
        <w:rPr>
          <w:rFonts w:hint="eastAsia" w:eastAsiaTheme="minorEastAsia"/>
          <w:sz w:val="24"/>
        </w:rPr>
        <w:t>S</w:t>
      </w:r>
      <w:r>
        <w:rPr>
          <w:rFonts w:eastAsia="MS Mincho"/>
          <w:sz w:val="24"/>
          <w:lang w:eastAsia="ja-JP"/>
        </w:rPr>
        <w:t>). Working electrodes and counter electrodes were placed inside both chambers as</w:t>
      </w:r>
      <w:r>
        <w:rPr>
          <w:rFonts w:hint="eastAsia" w:eastAsia="MS Mincho"/>
          <w:sz w:val="24"/>
          <w:lang w:eastAsia="ja-JP"/>
        </w:rPr>
        <w:t xml:space="preserve"> </w:t>
      </w:r>
      <w:r>
        <w:rPr>
          <w:rFonts w:eastAsia="MS Mincho"/>
          <w:sz w:val="24"/>
          <w:lang w:eastAsia="ja-JP"/>
        </w:rPr>
        <w:t>counter electrodes.</w:t>
      </w:r>
    </w:p>
    <w:p w14:paraId="715F4D9C">
      <w:pPr>
        <w:spacing w:line="360" w:lineRule="auto"/>
        <w:ind w:firstLine="480" w:firstLineChars="200"/>
        <w:rPr>
          <w:rFonts w:eastAsia="等线"/>
          <w:b/>
          <w:bCs/>
          <w:sz w:val="24"/>
        </w:rPr>
      </w:pPr>
      <w:r>
        <w:rPr>
          <w:rFonts w:hint="eastAsia" w:eastAsia="等线"/>
          <w:b/>
          <w:bCs/>
          <w:sz w:val="24"/>
        </w:rPr>
        <w:t xml:space="preserve">(1) </w:t>
      </w:r>
      <w:r>
        <w:rPr>
          <w:rFonts w:eastAsia="等线"/>
          <w:b/>
          <w:bCs/>
          <w:sz w:val="24"/>
        </w:rPr>
        <w:t>Parameter optimization</w:t>
      </w:r>
    </w:p>
    <w:p w14:paraId="70315095">
      <w:pPr>
        <w:spacing w:line="360" w:lineRule="auto"/>
        <w:ind w:firstLine="480" w:firstLineChars="200"/>
        <w:rPr>
          <w:rFonts w:eastAsia="MS Mincho"/>
          <w:sz w:val="24"/>
          <w:lang w:eastAsia="ja-JP"/>
        </w:rPr>
      </w:pPr>
      <w:r>
        <w:rPr>
          <w:rFonts w:eastAsia="MS Mincho"/>
          <w:sz w:val="24"/>
          <w:lang w:eastAsia="ja-JP"/>
        </w:rPr>
        <w:t>In this experimental section, the F</w:t>
      </w:r>
      <w:r>
        <w:rPr>
          <w:rFonts w:hint="eastAsia" w:eastAsiaTheme="minorEastAsia"/>
          <w:sz w:val="24"/>
        </w:rPr>
        <w:t>S</w:t>
      </w:r>
      <w:r>
        <w:rPr>
          <w:rFonts w:eastAsia="MS Mincho"/>
          <w:sz w:val="24"/>
          <w:lang w:eastAsia="ja-JP"/>
        </w:rPr>
        <w:t xml:space="preserve"> was filled with a 100 ppm Li</w:t>
      </w:r>
      <w:r>
        <w:rPr>
          <w:rFonts w:hint="eastAsia" w:eastAsiaTheme="minorEastAsia"/>
          <w:sz w:val="24"/>
          <w:vertAlign w:val="superscript"/>
        </w:rPr>
        <w:t>+</w:t>
      </w:r>
      <w:r>
        <w:rPr>
          <w:rFonts w:eastAsia="MS Mincho"/>
          <w:sz w:val="24"/>
          <w:lang w:eastAsia="ja-JP"/>
        </w:rPr>
        <w:t xml:space="preserve"> solution,</w:t>
      </w:r>
      <w:r>
        <w:rPr>
          <w:rFonts w:hint="eastAsia" w:eastAsia="MS Mincho"/>
          <w:sz w:val="24"/>
          <w:lang w:eastAsia="ja-JP"/>
        </w:rPr>
        <w:t xml:space="preserve"> </w:t>
      </w:r>
      <w:r>
        <w:rPr>
          <w:rFonts w:eastAsia="MS Mincho"/>
          <w:sz w:val="24"/>
          <w:lang w:eastAsia="ja-JP"/>
        </w:rPr>
        <w:t>while the R</w:t>
      </w:r>
      <w:r>
        <w:rPr>
          <w:rFonts w:hint="eastAsia" w:eastAsiaTheme="minorEastAsia"/>
          <w:sz w:val="24"/>
        </w:rPr>
        <w:t>S</w:t>
      </w:r>
      <w:r>
        <w:rPr>
          <w:rFonts w:eastAsia="MS Mincho"/>
          <w:sz w:val="24"/>
          <w:lang w:eastAsia="ja-JP"/>
        </w:rPr>
        <w:t xml:space="preserve"> contained a 0.1 M </w:t>
      </w:r>
      <w:bookmarkStart w:id="18" w:name="OLE_LINK1"/>
      <w:r>
        <w:rPr>
          <w:rFonts w:eastAsia="MS Mincho"/>
          <w:sz w:val="24"/>
          <w:lang w:eastAsia="ja-JP"/>
        </w:rPr>
        <w:t>Na</w:t>
      </w:r>
      <w:r>
        <w:rPr>
          <w:rFonts w:eastAsia="MS Mincho"/>
          <w:sz w:val="24"/>
          <w:vertAlign w:val="subscript"/>
          <w:lang w:eastAsia="ja-JP"/>
        </w:rPr>
        <w:t>2</w:t>
      </w:r>
      <w:r>
        <w:rPr>
          <w:rFonts w:eastAsia="MS Mincho"/>
          <w:sz w:val="24"/>
          <w:lang w:eastAsia="ja-JP"/>
        </w:rPr>
        <w:t>SO</w:t>
      </w:r>
      <w:r>
        <w:rPr>
          <w:rFonts w:eastAsia="MS Mincho"/>
          <w:sz w:val="24"/>
          <w:vertAlign w:val="subscript"/>
          <w:lang w:eastAsia="ja-JP"/>
        </w:rPr>
        <w:t>4</w:t>
      </w:r>
      <w:bookmarkEnd w:id="18"/>
      <w:r>
        <w:rPr>
          <w:rFonts w:eastAsia="MS Mincho"/>
          <w:sz w:val="24"/>
          <w:lang w:eastAsia="ja-JP"/>
        </w:rPr>
        <w:t xml:space="preserve"> solution. </w:t>
      </w:r>
      <w:bookmarkStart w:id="19" w:name="OLE_LINK11"/>
      <w:r>
        <w:rPr>
          <w:rFonts w:eastAsia="MS Mincho"/>
          <w:sz w:val="24"/>
          <w:lang w:eastAsia="ja-JP"/>
        </w:rPr>
        <w:t xml:space="preserve">After </w:t>
      </w:r>
      <w:r>
        <w:rPr>
          <w:rFonts w:hint="eastAsia" w:eastAsiaTheme="minorEastAsia"/>
          <w:sz w:val="24"/>
        </w:rPr>
        <w:t>2</w:t>
      </w:r>
      <w:r>
        <w:rPr>
          <w:rFonts w:eastAsia="MS Mincho"/>
          <w:sz w:val="24"/>
          <w:lang w:eastAsia="ja-JP"/>
        </w:rPr>
        <w:t>0 cycles, the changes in Li</w:t>
      </w:r>
      <w:r>
        <w:rPr>
          <w:rFonts w:hint="eastAsia" w:eastAsiaTheme="minorEastAsia"/>
          <w:sz w:val="24"/>
          <w:vertAlign w:val="superscript"/>
        </w:rPr>
        <w:t>+</w:t>
      </w:r>
      <w:r>
        <w:rPr>
          <w:rFonts w:hint="eastAsia" w:eastAsia="MS Mincho"/>
          <w:sz w:val="24"/>
          <w:lang w:eastAsia="ja-JP"/>
        </w:rPr>
        <w:t xml:space="preserve"> </w:t>
      </w:r>
      <w:r>
        <w:rPr>
          <w:rFonts w:eastAsia="MS Mincho"/>
          <w:sz w:val="24"/>
          <w:lang w:eastAsia="ja-JP"/>
        </w:rPr>
        <w:t>concentration in both chambers were compared across different membrane electrodes</w:t>
      </w:r>
      <w:r>
        <w:rPr>
          <w:rFonts w:hint="eastAsia" w:eastAsia="MS Mincho"/>
          <w:sz w:val="24"/>
          <w:lang w:eastAsia="ja-JP"/>
        </w:rPr>
        <w:t xml:space="preserve"> </w:t>
      </w:r>
      <w:r>
        <w:rPr>
          <w:rFonts w:eastAsia="MS Mincho"/>
          <w:sz w:val="24"/>
          <w:lang w:eastAsia="ja-JP"/>
        </w:rPr>
        <w:t>and operating conditions. A potential of -1.0 V was applied to the membrane in step</w:t>
      </w:r>
      <w:r>
        <w:rPr>
          <w:rFonts w:hint="eastAsia" w:eastAsia="MS Mincho"/>
          <w:sz w:val="24"/>
          <w:lang w:eastAsia="ja-JP"/>
        </w:rPr>
        <w:t xml:space="preserve"> </w:t>
      </w:r>
      <w:r>
        <w:rPr>
          <w:rFonts w:eastAsia="MS Mincho"/>
          <w:sz w:val="24"/>
          <w:lang w:eastAsia="ja-JP"/>
        </w:rPr>
        <w:t>(</w:t>
      </w:r>
      <w:bookmarkStart w:id="20" w:name="OLE_LINK129"/>
      <w:r>
        <w:rPr>
          <w:rFonts w:eastAsia="MS Mincho"/>
          <w:sz w:val="24"/>
          <w:lang w:eastAsia="ja-JP"/>
        </w:rPr>
        <w:t>i</w:t>
      </w:r>
      <w:bookmarkEnd w:id="20"/>
      <w:r>
        <w:rPr>
          <w:rFonts w:eastAsia="MS Mincho"/>
          <w:sz w:val="24"/>
          <w:lang w:eastAsia="ja-JP"/>
        </w:rPr>
        <w:t>), and a potential of 1.0 V was applied in step (ii) to facilitate continuous ion</w:t>
      </w:r>
      <w:r>
        <w:rPr>
          <w:rFonts w:hint="eastAsia" w:eastAsia="MS Mincho"/>
          <w:sz w:val="24"/>
          <w:lang w:eastAsia="ja-JP"/>
        </w:rPr>
        <w:t xml:space="preserve"> </w:t>
      </w:r>
      <w:r>
        <w:rPr>
          <w:rFonts w:eastAsia="MS Mincho"/>
          <w:sz w:val="24"/>
          <w:lang w:eastAsia="ja-JP"/>
        </w:rPr>
        <w:t>transmission (noted as ±1.0 V). Due to measurement errors in the initial concentration</w:t>
      </w:r>
      <w:r>
        <w:rPr>
          <w:rFonts w:hint="eastAsia" w:eastAsia="MS Mincho"/>
          <w:sz w:val="24"/>
          <w:lang w:eastAsia="ja-JP"/>
        </w:rPr>
        <w:t xml:space="preserve"> </w:t>
      </w:r>
      <w:r>
        <w:rPr>
          <w:rFonts w:eastAsia="MS Mincho"/>
          <w:sz w:val="24"/>
          <w:lang w:eastAsia="ja-JP"/>
        </w:rPr>
        <w:t>of the solution, we normalized the data to allow for a more intuitive comparison of</w:t>
      </w:r>
      <w:r>
        <w:rPr>
          <w:rFonts w:hint="eastAsia" w:eastAsia="MS Mincho"/>
          <w:sz w:val="24"/>
          <w:lang w:eastAsia="ja-JP"/>
        </w:rPr>
        <w:t xml:space="preserve"> </w:t>
      </w:r>
      <w:r>
        <w:rPr>
          <w:rFonts w:eastAsia="MS Mincho"/>
          <w:sz w:val="24"/>
          <w:lang w:eastAsia="ja-JP"/>
        </w:rPr>
        <w:t>changes in Li</w:t>
      </w:r>
      <w:r>
        <w:rPr>
          <w:rFonts w:hint="eastAsia" w:eastAsiaTheme="minorEastAsia"/>
          <w:sz w:val="24"/>
          <w:vertAlign w:val="superscript"/>
        </w:rPr>
        <w:t>+</w:t>
      </w:r>
      <w:r>
        <w:rPr>
          <w:rFonts w:eastAsia="MS Mincho"/>
          <w:sz w:val="24"/>
          <w:lang w:eastAsia="ja-JP"/>
        </w:rPr>
        <w:t xml:space="preserve"> </w:t>
      </w:r>
      <w:bookmarkEnd w:id="19"/>
      <w:r>
        <w:rPr>
          <w:rFonts w:eastAsia="MS Mincho"/>
          <w:sz w:val="24"/>
          <w:lang w:eastAsia="ja-JP"/>
        </w:rPr>
        <w:t>concentration.</w:t>
      </w:r>
    </w:p>
    <w:p w14:paraId="2EED4829">
      <w:pPr>
        <w:spacing w:line="360" w:lineRule="auto"/>
        <w:ind w:left="480"/>
        <w:rPr>
          <w:b/>
          <w:bCs/>
        </w:rPr>
      </w:pPr>
      <w:r>
        <w:rPr>
          <w:rFonts w:eastAsia="等线"/>
          <w:b/>
          <w:bCs/>
          <w:sz w:val="24"/>
        </w:rPr>
        <w:t>(</w:t>
      </w:r>
      <w:r>
        <w:rPr>
          <w:rFonts w:hint="eastAsia" w:eastAsia="等线"/>
          <w:b/>
          <w:bCs/>
          <w:sz w:val="24"/>
        </w:rPr>
        <w:t>2</w:t>
      </w:r>
      <w:r>
        <w:rPr>
          <w:rFonts w:eastAsia="等线"/>
          <w:b/>
          <w:bCs/>
          <w:sz w:val="24"/>
        </w:rPr>
        <w:t>) Selectivity experiments</w:t>
      </w:r>
    </w:p>
    <w:p w14:paraId="5FF61340">
      <w:pPr>
        <w:spacing w:line="360" w:lineRule="auto"/>
        <w:ind w:firstLine="480" w:firstLineChars="200"/>
        <w:rPr>
          <w:rFonts w:eastAsiaTheme="minorEastAsia"/>
          <w:sz w:val="24"/>
        </w:rPr>
      </w:pPr>
      <w:bookmarkStart w:id="21" w:name="OLE_LINK38"/>
      <w:r>
        <w:rPr>
          <w:rFonts w:eastAsia="MS Mincho"/>
          <w:sz w:val="24"/>
          <w:lang w:eastAsia="ja-JP"/>
        </w:rPr>
        <w:t>The F</w:t>
      </w:r>
      <w:r>
        <w:rPr>
          <w:rFonts w:hint="eastAsia" w:eastAsiaTheme="minorEastAsia"/>
          <w:sz w:val="24"/>
        </w:rPr>
        <w:t>S</w:t>
      </w:r>
      <w:r>
        <w:rPr>
          <w:rFonts w:eastAsia="MS Mincho"/>
          <w:sz w:val="24"/>
          <w:lang w:eastAsia="ja-JP"/>
        </w:rPr>
        <w:t xml:space="preserve"> contains a mixed solution of two different cations,</w:t>
      </w:r>
      <w:r>
        <w:rPr>
          <w:rFonts w:eastAsiaTheme="minorEastAsia"/>
        </w:rPr>
        <w:t xml:space="preserve"> </w:t>
      </w:r>
      <w:r>
        <w:rPr>
          <w:rFonts w:eastAsia="MS Mincho"/>
          <w:sz w:val="24"/>
          <w:lang w:eastAsia="ja-JP"/>
        </w:rPr>
        <w:t xml:space="preserve">the FS was replaced by a </w:t>
      </w:r>
      <w:r>
        <w:rPr>
          <w:rFonts w:hint="eastAsia" w:eastAsiaTheme="minorEastAsia"/>
          <w:sz w:val="24"/>
        </w:rPr>
        <w:t xml:space="preserve">real </w:t>
      </w:r>
      <w:r>
        <w:rPr>
          <w:rFonts w:eastAsia="MS Mincho"/>
          <w:sz w:val="24"/>
          <w:lang w:eastAsia="ja-JP"/>
        </w:rPr>
        <w:t>brine, and the R</w:t>
      </w:r>
      <w:r>
        <w:rPr>
          <w:rFonts w:hint="eastAsia" w:eastAsia="MS Mincho"/>
          <w:sz w:val="24"/>
          <w:lang w:eastAsia="ja-JP"/>
        </w:rPr>
        <w:t>S i</w:t>
      </w:r>
      <w:r>
        <w:rPr>
          <w:rFonts w:eastAsia="MS Mincho"/>
          <w:sz w:val="24"/>
          <w:lang w:eastAsia="ja-JP"/>
        </w:rPr>
        <w:t xml:space="preserve">s filled with </w:t>
      </w:r>
      <w:r>
        <w:rPr>
          <w:rFonts w:eastAsiaTheme="minorEastAsia"/>
          <w:sz w:val="24"/>
        </w:rPr>
        <w:t>LiCl with a Li</w:t>
      </w:r>
      <w:r>
        <w:rPr>
          <w:rFonts w:hint="eastAsia" w:eastAsiaTheme="minorEastAsia"/>
          <w:sz w:val="24"/>
          <w:vertAlign w:val="superscript"/>
        </w:rPr>
        <w:t>+</w:t>
      </w:r>
      <w:r>
        <w:rPr>
          <w:rFonts w:eastAsiaTheme="minorEastAsia"/>
          <w:sz w:val="24"/>
        </w:rPr>
        <w:t xml:space="preserve"> concentration of 100 mg</w:t>
      </w:r>
      <w:r>
        <w:rPr>
          <w:rFonts w:hint="eastAsia" w:eastAsiaTheme="minorEastAsia"/>
          <w:sz w:val="24"/>
          <w:vertAlign w:val="superscript"/>
        </w:rPr>
        <w:t xml:space="preserve">. </w:t>
      </w:r>
      <w:r>
        <w:rPr>
          <w:rFonts w:eastAsiaTheme="minorEastAsia"/>
          <w:sz w:val="24"/>
        </w:rPr>
        <w:t>L</w:t>
      </w:r>
      <w:r>
        <w:rPr>
          <w:rFonts w:hint="eastAsia" w:eastAsiaTheme="minorEastAsia"/>
          <w:sz w:val="24"/>
          <w:vertAlign w:val="superscript"/>
        </w:rPr>
        <w:t>-1</w:t>
      </w:r>
      <w:r>
        <w:rPr>
          <w:rFonts w:hint="eastAsia" w:eastAsiaTheme="minorEastAsia"/>
          <w:sz w:val="24"/>
        </w:rPr>
        <w:t>.</w:t>
      </w:r>
    </w:p>
    <w:bookmarkEnd w:id="21"/>
    <w:p w14:paraId="7E4D6D97">
      <w:pPr>
        <w:spacing w:line="360" w:lineRule="auto"/>
        <w:ind w:left="480"/>
      </w:pPr>
      <w:r>
        <w:rPr>
          <w:rFonts w:eastAsia="等线"/>
          <w:b/>
          <w:bCs/>
          <w:sz w:val="24"/>
        </w:rPr>
        <w:t>(3) Stability experiments</w:t>
      </w:r>
    </w:p>
    <w:p w14:paraId="7B7236E8">
      <w:pPr>
        <w:spacing w:line="360" w:lineRule="auto"/>
        <w:ind w:firstLine="480" w:firstLineChars="200"/>
        <w:rPr>
          <w:rFonts w:eastAsiaTheme="minorEastAsia"/>
          <w:sz w:val="24"/>
        </w:rPr>
      </w:pPr>
      <w:r>
        <w:rPr>
          <w:rFonts w:eastAsia="MS Mincho"/>
          <w:sz w:val="24"/>
          <w:lang w:eastAsia="ja-JP"/>
        </w:rPr>
        <w:t xml:space="preserve">The obtained electrode was utilized as the working electrode, while an Ag/AgCl/saturated KCl electrode served as the reference electrode and </w:t>
      </w:r>
      <w:r>
        <w:rPr>
          <w:rFonts w:hint="eastAsia" w:eastAsia="MS Mincho"/>
          <w:sz w:val="24"/>
          <w:lang w:eastAsia="ja-JP"/>
        </w:rPr>
        <w:t>p</w:t>
      </w:r>
      <w:r>
        <w:rPr>
          <w:rFonts w:eastAsia="MS Mincho"/>
          <w:sz w:val="24"/>
          <w:lang w:eastAsia="ja-JP"/>
        </w:rPr>
        <w:t>latinum sheet was employed as the counter electrode. The F</w:t>
      </w:r>
      <w:r>
        <w:rPr>
          <w:rFonts w:hint="eastAsia" w:eastAsiaTheme="minorEastAsia"/>
          <w:sz w:val="24"/>
        </w:rPr>
        <w:t>S</w:t>
      </w:r>
      <w:r>
        <w:rPr>
          <w:rFonts w:eastAsia="MS Mincho"/>
          <w:sz w:val="24"/>
          <w:lang w:eastAsia="ja-JP"/>
        </w:rPr>
        <w:t xml:space="preserve"> contains a mixed solution of two different cations,</w:t>
      </w:r>
      <w:r>
        <w:rPr>
          <w:rFonts w:eastAsiaTheme="minorEastAsia"/>
        </w:rPr>
        <w:t xml:space="preserve"> </w:t>
      </w:r>
      <w:r>
        <w:rPr>
          <w:rFonts w:eastAsia="MS Mincho"/>
          <w:sz w:val="24"/>
          <w:lang w:eastAsia="ja-JP"/>
        </w:rPr>
        <w:t xml:space="preserve">the FS was replaced by a </w:t>
      </w:r>
      <w:r>
        <w:rPr>
          <w:rFonts w:hint="eastAsia" w:eastAsiaTheme="minorEastAsia"/>
          <w:sz w:val="24"/>
        </w:rPr>
        <w:t xml:space="preserve">real </w:t>
      </w:r>
      <w:r>
        <w:rPr>
          <w:rFonts w:eastAsia="MS Mincho"/>
          <w:sz w:val="24"/>
          <w:lang w:eastAsia="ja-JP"/>
        </w:rPr>
        <w:t>brine, and the R</w:t>
      </w:r>
      <w:r>
        <w:rPr>
          <w:rFonts w:hint="eastAsia" w:eastAsia="MS Mincho"/>
          <w:sz w:val="24"/>
          <w:lang w:eastAsia="ja-JP"/>
        </w:rPr>
        <w:t>S i</w:t>
      </w:r>
      <w:r>
        <w:rPr>
          <w:rFonts w:eastAsia="MS Mincho"/>
          <w:sz w:val="24"/>
          <w:lang w:eastAsia="ja-JP"/>
        </w:rPr>
        <w:t xml:space="preserve">s filled with </w:t>
      </w:r>
      <w:r>
        <w:rPr>
          <w:rFonts w:eastAsiaTheme="minorEastAsia"/>
          <w:sz w:val="24"/>
        </w:rPr>
        <w:t>LiCl with a Li</w:t>
      </w:r>
      <w:r>
        <w:rPr>
          <w:rFonts w:hint="eastAsia" w:eastAsiaTheme="minorEastAsia"/>
          <w:sz w:val="24"/>
          <w:vertAlign w:val="superscript"/>
        </w:rPr>
        <w:t>+</w:t>
      </w:r>
      <w:r>
        <w:rPr>
          <w:rFonts w:eastAsiaTheme="minorEastAsia"/>
          <w:sz w:val="24"/>
        </w:rPr>
        <w:t xml:space="preserve"> concentration of 100 mg</w:t>
      </w:r>
      <w:r>
        <w:rPr>
          <w:rFonts w:hint="eastAsia" w:eastAsiaTheme="minorEastAsia"/>
          <w:sz w:val="24"/>
          <w:vertAlign w:val="superscript"/>
        </w:rPr>
        <w:t xml:space="preserve">. </w:t>
      </w:r>
      <w:r>
        <w:rPr>
          <w:rFonts w:eastAsiaTheme="minorEastAsia"/>
          <w:sz w:val="24"/>
        </w:rPr>
        <w:t>L</w:t>
      </w:r>
      <w:r>
        <w:rPr>
          <w:rFonts w:hint="eastAsia" w:eastAsiaTheme="minorEastAsia"/>
          <w:sz w:val="24"/>
          <w:vertAlign w:val="superscript"/>
        </w:rPr>
        <w:t>-1</w:t>
      </w:r>
      <w:r>
        <w:rPr>
          <w:rFonts w:hint="eastAsia" w:eastAsiaTheme="minorEastAsia"/>
          <w:sz w:val="24"/>
        </w:rPr>
        <w:t>.</w:t>
      </w:r>
    </w:p>
    <w:p w14:paraId="67B168A0">
      <w:pPr>
        <w:spacing w:line="360" w:lineRule="auto"/>
        <w:jc w:val="left"/>
        <w:rPr>
          <w:b/>
          <w:bCs/>
          <w:sz w:val="28"/>
          <w:szCs w:val="36"/>
        </w:rPr>
      </w:pPr>
      <w:r>
        <w:rPr>
          <w:b/>
          <w:bCs/>
          <w:sz w:val="28"/>
          <w:szCs w:val="36"/>
        </w:rPr>
        <w:t>Detailed DFT calculation data and analysis procedures</w:t>
      </w:r>
    </w:p>
    <w:p w14:paraId="1C07B631">
      <w:pPr>
        <w:spacing w:line="360" w:lineRule="auto"/>
        <w:ind w:firstLine="480" w:firstLineChars="200"/>
        <w:rPr>
          <w:rFonts w:eastAsia="等线"/>
          <w:sz w:val="24"/>
        </w:rPr>
      </w:pPr>
      <w:r>
        <w:rPr>
          <w:rFonts w:eastAsia="MS Mincho"/>
          <w:sz w:val="24"/>
          <w:lang w:eastAsia="ja-JP"/>
        </w:rPr>
        <w:t>Structural optimization, a crucial step in density functional theory (DFT) computations, involves minimizing system energy through atomic coordinate adjustments to identify the most stable ground state configuration of the material. In this investigation, geometric optimization was performed on pure-phase LiMn</w:t>
      </w:r>
      <w:r>
        <w:rPr>
          <w:rFonts w:eastAsia="MS Mincho"/>
          <w:sz w:val="24"/>
          <w:vertAlign w:val="subscript"/>
          <w:lang w:eastAsia="ja-JP"/>
        </w:rPr>
        <w:t>2</w:t>
      </w:r>
      <w:r>
        <w:rPr>
          <w:rFonts w:eastAsia="MS Mincho"/>
          <w:sz w:val="24"/>
          <w:lang w:eastAsia="ja-JP"/>
        </w:rPr>
        <w:t>O</w:t>
      </w:r>
      <w:r>
        <w:rPr>
          <w:rFonts w:eastAsia="MS Mincho"/>
          <w:sz w:val="24"/>
          <w:vertAlign w:val="subscript"/>
          <w:lang w:eastAsia="ja-JP"/>
        </w:rPr>
        <w:t>4</w:t>
      </w:r>
      <w:r>
        <w:rPr>
          <w:rFonts w:eastAsia="MS Mincho"/>
          <w:sz w:val="24"/>
          <w:lang w:eastAsia="ja-JP"/>
        </w:rPr>
        <w:t>, yielding lattice parameters of a=b=8.15 Å and c=8.70 Å. The computed results aligned with other reported values. Furthermore, between the two doped systems, the energy of the Mn</w:t>
      </w:r>
      <w:r>
        <w:rPr>
          <w:rFonts w:eastAsia="MS Mincho"/>
          <w:sz w:val="24"/>
          <w:vertAlign w:val="superscript"/>
          <w:lang w:eastAsia="ja-JP"/>
        </w:rPr>
        <w:t>4+</w:t>
      </w:r>
      <w:r>
        <w:rPr>
          <w:rFonts w:eastAsia="MS Mincho"/>
          <w:sz w:val="24"/>
          <w:lang w:eastAsia="ja-JP"/>
        </w:rPr>
        <w:t xml:space="preserve"> doped system was approximately 2.78 eV lower than that of the Mn</w:t>
      </w:r>
      <w:r>
        <w:rPr>
          <w:rFonts w:eastAsia="MS Mincho"/>
          <w:sz w:val="24"/>
          <w:vertAlign w:val="superscript"/>
          <w:lang w:eastAsia="ja-JP"/>
        </w:rPr>
        <w:t>3+</w:t>
      </w:r>
      <w:r>
        <w:rPr>
          <w:rFonts w:eastAsia="MS Mincho"/>
          <w:sz w:val="24"/>
          <w:lang w:eastAsia="ja-JP"/>
        </w:rPr>
        <w:t xml:space="preserve"> doped system, suggesting enhanced stability of the lattice structure at the Mn</w:t>
      </w:r>
      <w:r>
        <w:rPr>
          <w:rFonts w:eastAsia="MS Mincho"/>
          <w:sz w:val="24"/>
          <w:vertAlign w:val="superscript"/>
          <w:lang w:eastAsia="ja-JP"/>
        </w:rPr>
        <w:t>4+</w:t>
      </w:r>
      <w:r>
        <w:rPr>
          <w:rFonts w:eastAsia="MS Mincho"/>
          <w:sz w:val="24"/>
          <w:lang w:eastAsia="ja-JP"/>
        </w:rPr>
        <w:t xml:space="preserve"> site following Zr doping.</w:t>
      </w:r>
      <w:r>
        <w:t xml:space="preserve"> </w:t>
      </w:r>
      <w:r>
        <w:rPr>
          <w:rFonts w:eastAsia="MS Mincho"/>
          <w:sz w:val="24"/>
          <w:lang w:eastAsia="ja-JP"/>
        </w:rPr>
        <w:t>Detailed lattice parameters are listed in Table</w:t>
      </w:r>
      <w:r>
        <w:rPr>
          <w:rFonts w:hint="eastAsia" w:eastAsia="等线"/>
          <w:sz w:val="24"/>
        </w:rPr>
        <w:t xml:space="preserve"> S2.</w:t>
      </w:r>
    </w:p>
    <w:p w14:paraId="6EE53723">
      <w:pPr>
        <w:spacing w:line="360" w:lineRule="auto"/>
        <w:ind w:firstLine="480" w:firstLineChars="200"/>
        <w:rPr>
          <w:sz w:val="24"/>
          <w:szCs w:val="32"/>
        </w:rPr>
      </w:pPr>
      <w:r>
        <w:rPr>
          <w:sz w:val="24"/>
          <w:szCs w:val="32"/>
        </w:rPr>
        <w:t>The cyclic voltammetry (CV) curves were evaluated for materials with varying doping ratios in a 0.1 M LiCl solution at a scan rate of 0.5 mV/s. The electrochemical performance of the membrane materials was compared based on parameters such as peak current, peak area, and peak position to identify the most suitable doping ratio. Fig</w:t>
      </w:r>
      <w:r>
        <w:rPr>
          <w:rFonts w:hint="eastAsia"/>
          <w:sz w:val="24"/>
          <w:szCs w:val="32"/>
        </w:rPr>
        <w:t>.</w:t>
      </w:r>
      <w:r>
        <w:rPr>
          <w:sz w:val="24"/>
          <w:szCs w:val="32"/>
        </w:rPr>
        <w:t xml:space="preserve"> S1 depicts the CV curves for all doped materials. Among different doping ratios,</w:t>
      </w:r>
      <w:r>
        <w:rPr>
          <w:rFonts w:eastAsia="MS Mincho"/>
          <w:sz w:val="24"/>
          <w:lang w:eastAsia="ja-JP"/>
        </w:rPr>
        <w:t xml:space="preserve"> LZMO-x exhibits distinctive biphasic characteristics, suggesting a crystal structure and Li</w:t>
      </w:r>
      <w:r>
        <w:rPr>
          <w:rFonts w:eastAsia="MS Mincho"/>
          <w:sz w:val="24"/>
          <w:vertAlign w:val="superscript"/>
          <w:lang w:eastAsia="ja-JP"/>
        </w:rPr>
        <w:t>+</w:t>
      </w:r>
      <w:r>
        <w:rPr>
          <w:rFonts w:eastAsia="MS Mincho"/>
          <w:sz w:val="24"/>
          <w:lang w:eastAsia="ja-JP"/>
        </w:rPr>
        <w:t xml:space="preserve"> intercalation/deintercalation</w:t>
      </w:r>
      <w:r>
        <w:rPr>
          <w:rFonts w:hint="eastAsia" w:eastAsia="MS Mincho"/>
          <w:sz w:val="24"/>
          <w:lang w:eastAsia="ja-JP"/>
        </w:rPr>
        <w:t xml:space="preserve"> </w:t>
      </w:r>
      <w:r>
        <w:rPr>
          <w:rFonts w:eastAsia="MS Mincho"/>
          <w:sz w:val="24"/>
          <w:lang w:eastAsia="ja-JP"/>
        </w:rPr>
        <w:t>mechanism akin to LiMn</w:t>
      </w:r>
      <w:r>
        <w:rPr>
          <w:rFonts w:eastAsia="MS Mincho"/>
          <w:sz w:val="24"/>
          <w:vertAlign w:val="subscript"/>
          <w:lang w:eastAsia="ja-JP"/>
        </w:rPr>
        <w:t>2</w:t>
      </w:r>
      <w:r>
        <w:rPr>
          <w:rFonts w:eastAsia="MS Mincho"/>
          <w:sz w:val="24"/>
          <w:lang w:eastAsia="ja-JP"/>
        </w:rPr>
        <w:t>O</w:t>
      </w:r>
      <w:r>
        <w:rPr>
          <w:rFonts w:eastAsia="MS Mincho"/>
          <w:sz w:val="24"/>
          <w:vertAlign w:val="subscript"/>
          <w:lang w:eastAsia="ja-JP"/>
        </w:rPr>
        <w:t>4</w:t>
      </w:r>
      <w:r>
        <w:rPr>
          <w:rFonts w:eastAsia="MS Mincho"/>
          <w:sz w:val="24"/>
          <w:lang w:eastAsia="ja-JP"/>
        </w:rPr>
        <w:t>. For doping ratios below 0.03, both peak current and area exhibit an increment with doping, whereas they decline as the ratio exceeds this threshold. LZMO-0.03 displays the highest peak current and area, indicating remarkable symmetry, implying enhanced electrochemical intercalation capacity for Li</w:t>
      </w:r>
      <w:r>
        <w:rPr>
          <w:rFonts w:hint="eastAsia" w:eastAsiaTheme="minorEastAsia"/>
          <w:sz w:val="24"/>
          <w:vertAlign w:val="superscript"/>
        </w:rPr>
        <w:t>+</w:t>
      </w:r>
      <w:r>
        <w:rPr>
          <w:rFonts w:eastAsia="MS Mincho"/>
          <w:sz w:val="24"/>
          <w:lang w:eastAsia="ja-JP"/>
        </w:rPr>
        <w:t>, improved lithium storage capability, and favorable reversible reaction behavior. Consequently, LZMO-0.03 is identified as the optimal doping ratio material.</w:t>
      </w:r>
    </w:p>
    <w:p w14:paraId="6A81228A">
      <w:pPr>
        <w:spacing w:line="360" w:lineRule="auto"/>
        <w:jc w:val="center"/>
      </w:pPr>
      <w:r>
        <w:drawing>
          <wp:inline distT="0" distB="0" distL="0" distR="0">
            <wp:extent cx="2515870" cy="2117725"/>
            <wp:effectExtent l="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noChangeArrowheads="1"/>
                    </pic:cNvPicPr>
                  </pic:nvPicPr>
                  <pic:blipFill>
                    <a:blip r:embed="rId4" cstate="hqprint">
                      <a:extLst>
                        <a:ext uri="{28A0092B-C50C-407E-A947-70E740481C1C}">
                          <a14:useLocalDpi xmlns:a14="http://schemas.microsoft.com/office/drawing/2010/main" val="0"/>
                        </a:ext>
                      </a:extLst>
                    </a:blip>
                    <a:srcRect l="4299" t="6636" r="6968"/>
                    <a:stretch>
                      <a:fillRect/>
                    </a:stretch>
                  </pic:blipFill>
                  <pic:spPr>
                    <a:xfrm>
                      <a:off x="0" y="0"/>
                      <a:ext cx="2517927" cy="2119460"/>
                    </a:xfrm>
                    <a:prstGeom prst="rect">
                      <a:avLst/>
                    </a:prstGeom>
                    <a:noFill/>
                    <a:ln>
                      <a:noFill/>
                    </a:ln>
                  </pic:spPr>
                </pic:pic>
              </a:graphicData>
            </a:graphic>
          </wp:inline>
        </w:drawing>
      </w:r>
    </w:p>
    <w:p w14:paraId="7716E677">
      <w:pPr>
        <w:spacing w:line="360" w:lineRule="auto"/>
        <w:jc w:val="center"/>
        <w:rPr>
          <w:rFonts w:eastAsia="等线"/>
          <w:sz w:val="24"/>
        </w:rPr>
      </w:pPr>
      <w:bookmarkStart w:id="22" w:name="OLE_LINK122"/>
      <w:r>
        <w:rPr>
          <w:rFonts w:eastAsia="等线"/>
          <w:b/>
          <w:bCs/>
          <w:sz w:val="24"/>
        </w:rPr>
        <w:t>Fig. S</w:t>
      </w:r>
      <w:r>
        <w:rPr>
          <w:rFonts w:hint="eastAsia" w:eastAsia="等线"/>
          <w:b/>
          <w:bCs/>
          <w:sz w:val="24"/>
        </w:rPr>
        <w:t>1</w:t>
      </w:r>
      <w:r>
        <w:rPr>
          <w:rFonts w:eastAsia="等线"/>
          <w:b/>
          <w:bCs/>
          <w:sz w:val="24"/>
        </w:rPr>
        <w:t xml:space="preserve">. </w:t>
      </w:r>
      <w:r>
        <w:rPr>
          <w:rFonts w:eastAsia="等线"/>
          <w:sz w:val="24"/>
        </w:rPr>
        <w:t>CV curves of</w:t>
      </w:r>
      <w:r>
        <w:rPr>
          <w:rFonts w:hint="eastAsia" w:eastAsia="等线"/>
          <w:sz w:val="24"/>
        </w:rPr>
        <w:t xml:space="preserve"> </w:t>
      </w:r>
      <w:r>
        <w:rPr>
          <w:rFonts w:eastAsia="等线"/>
          <w:sz w:val="24"/>
        </w:rPr>
        <w:t>L</w:t>
      </w:r>
      <w:r>
        <w:rPr>
          <w:rFonts w:hint="eastAsia" w:eastAsia="等线"/>
          <w:sz w:val="24"/>
        </w:rPr>
        <w:t>Z</w:t>
      </w:r>
      <w:r>
        <w:rPr>
          <w:rFonts w:eastAsia="等线"/>
          <w:sz w:val="24"/>
        </w:rPr>
        <w:t>MO-x measured in 0.1 M Li</w:t>
      </w:r>
      <w:r>
        <w:rPr>
          <w:rFonts w:hint="eastAsia" w:eastAsia="等线"/>
          <w:sz w:val="24"/>
        </w:rPr>
        <w:t>Cl</w:t>
      </w:r>
      <w:r>
        <w:rPr>
          <w:rFonts w:eastAsia="等线"/>
          <w:sz w:val="24"/>
        </w:rPr>
        <w:t xml:space="preserve"> solution </w:t>
      </w:r>
      <w:r>
        <w:rPr>
          <w:rFonts w:hint="eastAsia" w:eastAsia="等线"/>
          <w:sz w:val="24"/>
        </w:rPr>
        <w:t xml:space="preserve">at a </w:t>
      </w:r>
      <w:r>
        <w:rPr>
          <w:rFonts w:eastAsia="等线"/>
          <w:sz w:val="24"/>
        </w:rPr>
        <w:t>scan</w:t>
      </w:r>
      <w:r>
        <w:rPr>
          <w:rFonts w:hint="eastAsia" w:eastAsia="等线"/>
          <w:sz w:val="24"/>
        </w:rPr>
        <w:t xml:space="preserve"> </w:t>
      </w:r>
      <w:r>
        <w:rPr>
          <w:rFonts w:eastAsia="等线"/>
          <w:sz w:val="24"/>
        </w:rPr>
        <w:t>rate</w:t>
      </w:r>
      <w:r>
        <w:rPr>
          <w:rFonts w:hint="eastAsia" w:eastAsia="等线"/>
          <w:sz w:val="24"/>
        </w:rPr>
        <w:t xml:space="preserve"> of </w:t>
      </w:r>
      <w:r>
        <w:rPr>
          <w:rFonts w:eastAsia="等线"/>
          <w:sz w:val="24"/>
        </w:rPr>
        <w:t>0.</w:t>
      </w:r>
      <w:r>
        <w:rPr>
          <w:rFonts w:hint="eastAsia" w:eastAsia="等线"/>
          <w:sz w:val="24"/>
        </w:rPr>
        <w:t>5</w:t>
      </w:r>
      <w:r>
        <w:rPr>
          <w:rFonts w:eastAsia="等线"/>
          <w:sz w:val="24"/>
        </w:rPr>
        <w:t xml:space="preserve"> </w:t>
      </w:r>
      <w:bookmarkEnd w:id="22"/>
      <w:r>
        <w:rPr>
          <w:rFonts w:eastAsia="等线"/>
          <w:sz w:val="24"/>
        </w:rPr>
        <w:t>mV</w:t>
      </w:r>
      <w:r>
        <w:rPr>
          <w:rFonts w:hint="eastAsia" w:eastAsia="等线"/>
          <w:sz w:val="24"/>
          <w:vertAlign w:val="superscript"/>
        </w:rPr>
        <w:t>.</w:t>
      </w:r>
      <w:r>
        <w:rPr>
          <w:rFonts w:eastAsia="等线"/>
          <w:sz w:val="24"/>
        </w:rPr>
        <w:t>s</w:t>
      </w:r>
      <w:r>
        <w:rPr>
          <w:rFonts w:hint="eastAsia" w:eastAsia="等线"/>
          <w:sz w:val="24"/>
          <w:vertAlign w:val="superscript"/>
        </w:rPr>
        <w:t>-1</w:t>
      </w:r>
      <w:r>
        <w:rPr>
          <w:rFonts w:eastAsia="等线"/>
          <w:sz w:val="24"/>
        </w:rPr>
        <w:t>.</w:t>
      </w:r>
    </w:p>
    <w:p w14:paraId="4494575F">
      <w:pPr>
        <w:spacing w:line="360" w:lineRule="auto"/>
        <w:jc w:val="center"/>
      </w:pPr>
      <w:r>
        <w:drawing>
          <wp:inline distT="0" distB="0" distL="0" distR="0">
            <wp:extent cx="3061335" cy="2339975"/>
            <wp:effectExtent l="0" t="0" r="5715"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061761" cy="2340000"/>
                    </a:xfrm>
                    <a:prstGeom prst="rect">
                      <a:avLst/>
                    </a:prstGeom>
                    <a:noFill/>
                    <a:ln>
                      <a:noFill/>
                    </a:ln>
                  </pic:spPr>
                </pic:pic>
              </a:graphicData>
            </a:graphic>
          </wp:inline>
        </w:drawing>
      </w:r>
    </w:p>
    <w:p w14:paraId="09E89FF9">
      <w:pPr>
        <w:spacing w:line="360" w:lineRule="auto"/>
        <w:jc w:val="center"/>
        <w:rPr>
          <w:rFonts w:eastAsia="等线"/>
          <w:sz w:val="24"/>
        </w:rPr>
      </w:pPr>
      <w:bookmarkStart w:id="23" w:name="_Hlk225845468"/>
      <w:r>
        <w:rPr>
          <w:rFonts w:eastAsia="等线"/>
          <w:b/>
          <w:bCs/>
          <w:sz w:val="24"/>
        </w:rPr>
        <w:t>Fig. S</w:t>
      </w:r>
      <w:r>
        <w:rPr>
          <w:rFonts w:hint="eastAsia" w:eastAsia="等线"/>
          <w:b/>
          <w:bCs/>
          <w:sz w:val="24"/>
        </w:rPr>
        <w:t>2</w:t>
      </w:r>
      <w:r>
        <w:rPr>
          <w:rFonts w:eastAsia="等线"/>
          <w:b/>
          <w:bCs/>
          <w:sz w:val="24"/>
        </w:rPr>
        <w:t>.</w:t>
      </w:r>
      <w:r>
        <w:rPr>
          <w:rFonts w:hint="eastAsia" w:eastAsia="等线"/>
          <w:b/>
          <w:bCs/>
          <w:sz w:val="24"/>
        </w:rPr>
        <w:t xml:space="preserve"> </w:t>
      </w:r>
      <w:r>
        <w:rPr>
          <w:rFonts w:eastAsia="等线"/>
          <w:sz w:val="24"/>
        </w:rPr>
        <w:t>EDS mappings of (a, b) LMO</w:t>
      </w:r>
      <w:r>
        <w:rPr>
          <w:rFonts w:hint="eastAsia" w:eastAsia="等线"/>
          <w:sz w:val="24"/>
        </w:rPr>
        <w:t xml:space="preserve"> and</w:t>
      </w:r>
      <w:r>
        <w:rPr>
          <w:rFonts w:eastAsia="等线"/>
          <w:sz w:val="24"/>
        </w:rPr>
        <w:t xml:space="preserve"> (</w:t>
      </w:r>
      <w:r>
        <w:rPr>
          <w:rFonts w:hint="eastAsia" w:eastAsia="等线"/>
          <w:sz w:val="24"/>
        </w:rPr>
        <w:t>c</w:t>
      </w:r>
      <w:r>
        <w:rPr>
          <w:rFonts w:eastAsia="等线"/>
          <w:sz w:val="24"/>
        </w:rPr>
        <w:t xml:space="preserve">, </w:t>
      </w:r>
      <w:r>
        <w:rPr>
          <w:rFonts w:hint="eastAsia" w:eastAsia="等线"/>
          <w:sz w:val="24"/>
        </w:rPr>
        <w:t>d</w:t>
      </w:r>
      <w:r>
        <w:rPr>
          <w:rFonts w:eastAsia="等线"/>
          <w:sz w:val="24"/>
        </w:rPr>
        <w:t>) L</w:t>
      </w:r>
      <w:r>
        <w:rPr>
          <w:rFonts w:hint="eastAsia" w:eastAsia="等线"/>
          <w:sz w:val="24"/>
        </w:rPr>
        <w:t>Z</w:t>
      </w:r>
      <w:r>
        <w:rPr>
          <w:rFonts w:eastAsia="等线"/>
          <w:sz w:val="24"/>
        </w:rPr>
        <w:t>MO-0.0</w:t>
      </w:r>
      <w:r>
        <w:rPr>
          <w:rFonts w:hint="eastAsia" w:eastAsia="等线"/>
          <w:sz w:val="24"/>
        </w:rPr>
        <w:t>3.</w:t>
      </w:r>
    </w:p>
    <w:p w14:paraId="064EF0DA">
      <w:pPr>
        <w:spacing w:line="360" w:lineRule="auto"/>
        <w:ind w:firstLine="480" w:firstLineChars="200"/>
        <w:rPr>
          <w:rFonts w:eastAsiaTheme="minorEastAsia"/>
          <w:bCs/>
          <w:sz w:val="24"/>
        </w:rPr>
      </w:pPr>
      <w:r>
        <w:rPr>
          <w:rFonts w:hint="eastAsia" w:eastAsiaTheme="minorEastAsia"/>
          <w:bCs/>
          <w:sz w:val="24"/>
        </w:rPr>
        <w:t>T</w:t>
      </w:r>
      <w:r>
        <w:rPr>
          <w:rFonts w:eastAsiaTheme="minorEastAsia"/>
          <w:bCs/>
          <w:sz w:val="24"/>
        </w:rPr>
        <w:t>he fitted Zr 3d spectrum verifies the incorporation of tetravalent Zr</w:t>
      </w:r>
      <w:r>
        <w:rPr>
          <w:rFonts w:hint="eastAsia" w:eastAsiaTheme="minorEastAsia"/>
          <w:bCs/>
          <w:sz w:val="24"/>
          <w:vertAlign w:val="superscript"/>
        </w:rPr>
        <w:t>4+</w:t>
      </w:r>
      <w:r>
        <w:rPr>
          <w:rFonts w:eastAsiaTheme="minorEastAsia"/>
          <w:bCs/>
          <w:sz w:val="24"/>
        </w:rPr>
        <w:t xml:space="preserve"> into the spinel framework. Substitution by high-valence Zr</w:t>
      </w:r>
      <w:r>
        <w:rPr>
          <w:rFonts w:hint="eastAsia" w:eastAsiaTheme="minorEastAsia"/>
          <w:bCs/>
          <w:sz w:val="24"/>
          <w:vertAlign w:val="superscript"/>
        </w:rPr>
        <w:t>4+</w:t>
      </w:r>
      <w:r>
        <w:rPr>
          <w:rFonts w:eastAsiaTheme="minorEastAsia"/>
          <w:bCs/>
          <w:sz w:val="24"/>
        </w:rPr>
        <w:t xml:space="preserve"> raises the average Mn oxidation state, strengthens Mn</w:t>
      </w:r>
      <w:r>
        <w:rPr>
          <w:rFonts w:hint="eastAsia" w:eastAsiaTheme="minorEastAsia"/>
          <w:bCs/>
          <w:sz w:val="24"/>
        </w:rPr>
        <w:t>-</w:t>
      </w:r>
      <w:r>
        <w:rPr>
          <w:rFonts w:eastAsiaTheme="minorEastAsia"/>
          <w:bCs/>
          <w:sz w:val="24"/>
        </w:rPr>
        <w:t>O linkage and restrains manganese leaching, thereby improving structural stability</w:t>
      </w:r>
      <w:r>
        <w:rPr>
          <w:rFonts w:eastAsiaTheme="minorEastAsia"/>
          <w:bCs/>
          <w:sz w:val="24"/>
          <w:vertAlign w:val="superscript"/>
        </w:rPr>
        <w:t>[1]</w:t>
      </w:r>
      <w:r>
        <w:rPr>
          <w:rFonts w:eastAsiaTheme="minorEastAsia"/>
          <w:bCs/>
          <w:sz w:val="24"/>
        </w:rPr>
        <w:t>. The O 1s profile remains nearly unchanged after doping, demonstrating preservation of the intrinsic oxygen coordination environment of the pristine lattice.</w:t>
      </w:r>
    </w:p>
    <w:p w14:paraId="0CCD47E8">
      <w:pPr>
        <w:spacing w:line="360" w:lineRule="auto"/>
        <w:rPr>
          <w:rFonts w:eastAsiaTheme="minorEastAsia"/>
          <w:bCs/>
        </w:rPr>
      </w:pPr>
      <w:r>
        <w:rPr>
          <w:rFonts w:eastAsiaTheme="minorEastAsia"/>
          <w:bCs/>
        </w:rPr>
        <w:drawing>
          <wp:inline distT="0" distB="0" distL="0" distR="0">
            <wp:extent cx="5363210" cy="1885950"/>
            <wp:effectExtent l="0" t="0" r="8890" b="0"/>
            <wp:docPr id="2233897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8974" name="图片 13"/>
                    <pic:cNvPicPr>
                      <a:picLocks noChangeAspect="1"/>
                    </pic:cNvPicPr>
                  </pic:nvPicPr>
                  <pic:blipFill>
                    <a:blip r:embed="rId6" cstate="hqprint">
                      <a:extLst>
                        <a:ext uri="{28A0092B-C50C-407E-A947-70E740481C1C}">
                          <a14:useLocalDpi xmlns:a14="http://schemas.microsoft.com/office/drawing/2010/main" val="0"/>
                        </a:ext>
                      </a:extLst>
                    </a:blip>
                    <a:srcRect l="2481" t="6941" r="3873"/>
                    <a:stretch>
                      <a:fillRect/>
                    </a:stretch>
                  </pic:blipFill>
                  <pic:spPr>
                    <a:xfrm>
                      <a:off x="0" y="0"/>
                      <a:ext cx="5371217" cy="1888731"/>
                    </a:xfrm>
                    <a:prstGeom prst="rect">
                      <a:avLst/>
                    </a:prstGeom>
                    <a:ln>
                      <a:noFill/>
                    </a:ln>
                  </pic:spPr>
                </pic:pic>
              </a:graphicData>
            </a:graphic>
          </wp:inline>
        </w:drawing>
      </w:r>
    </w:p>
    <w:p w14:paraId="3A4C5351">
      <w:pPr>
        <w:spacing w:line="360" w:lineRule="auto"/>
        <w:jc w:val="center"/>
        <w:rPr>
          <w:rFonts w:eastAsia="等线"/>
          <w:sz w:val="24"/>
        </w:rPr>
      </w:pPr>
      <w:r>
        <w:rPr>
          <w:rFonts w:eastAsia="等线"/>
          <w:b/>
          <w:bCs/>
          <w:sz w:val="24"/>
        </w:rPr>
        <w:t>Fig</w:t>
      </w:r>
      <w:r>
        <w:rPr>
          <w:rFonts w:hint="eastAsia" w:eastAsia="等线"/>
          <w:b/>
          <w:bCs/>
          <w:sz w:val="24"/>
        </w:rPr>
        <w:t>.</w:t>
      </w:r>
      <w:r>
        <w:rPr>
          <w:rFonts w:eastAsia="等线"/>
          <w:b/>
          <w:bCs/>
          <w:sz w:val="24"/>
        </w:rPr>
        <w:t xml:space="preserve"> </w:t>
      </w:r>
      <w:r>
        <w:rPr>
          <w:rFonts w:hint="eastAsia" w:eastAsia="等线"/>
          <w:b/>
          <w:bCs/>
          <w:sz w:val="24"/>
        </w:rPr>
        <w:t>S3</w:t>
      </w:r>
      <w:r>
        <w:rPr>
          <w:rFonts w:eastAsia="等线"/>
          <w:b/>
          <w:bCs/>
          <w:sz w:val="24"/>
        </w:rPr>
        <w:t xml:space="preserve">. </w:t>
      </w:r>
      <w:r>
        <w:rPr>
          <w:rFonts w:eastAsia="等线"/>
          <w:sz w:val="24"/>
        </w:rPr>
        <w:t>High-resolution XPS O 1s spectra of (a) LMO and (b) Zr-doped LZMO; (c) Zr 3d XPS spectrum of LZMO.</w:t>
      </w:r>
    </w:p>
    <w:p w14:paraId="34859B08">
      <w:pPr>
        <w:spacing w:line="360" w:lineRule="auto"/>
        <w:ind w:firstLine="480" w:firstLineChars="200"/>
        <w:rPr>
          <w:rFonts w:eastAsiaTheme="minorEastAsia"/>
          <w:sz w:val="24"/>
        </w:rPr>
      </w:pPr>
      <w:r>
        <w:rPr>
          <w:rFonts w:eastAsia="MS Mincho"/>
          <w:sz w:val="24"/>
          <w:lang w:eastAsia="ja-JP"/>
        </w:rPr>
        <w:t xml:space="preserve">High-resolution XPS analysis of the </w:t>
      </w:r>
      <w:r>
        <w:rPr>
          <w:rFonts w:hint="eastAsia" w:eastAsia="MS Mincho"/>
          <w:sz w:val="24"/>
          <w:lang w:eastAsia="ja-JP"/>
        </w:rPr>
        <w:t xml:space="preserve">LZMO-0.03 </w:t>
      </w:r>
      <w:r>
        <w:rPr>
          <w:rFonts w:eastAsia="MS Mincho"/>
          <w:sz w:val="24"/>
          <w:lang w:eastAsia="ja-JP"/>
        </w:rPr>
        <w:t>membrane electrode reveals a direct correlation between Mn redox chemistry and Li</w:t>
      </w:r>
      <w:r>
        <w:rPr>
          <w:rFonts w:hint="eastAsia" w:eastAsiaTheme="minorEastAsia"/>
          <w:sz w:val="24"/>
          <w:vertAlign w:val="superscript"/>
        </w:rPr>
        <w:t>+</w:t>
      </w:r>
      <w:r>
        <w:rPr>
          <w:rFonts w:eastAsia="MS Mincho"/>
          <w:sz w:val="24"/>
          <w:lang w:eastAsia="ja-JP"/>
        </w:rPr>
        <w:t xml:space="preserve"> intercalation</w:t>
      </w:r>
      <w:r>
        <w:rPr>
          <w:rFonts w:hint="eastAsia" w:eastAsia="MS Mincho"/>
          <w:sz w:val="24"/>
          <w:lang w:eastAsia="ja-JP"/>
        </w:rPr>
        <w:t>/dein</w:t>
      </w:r>
      <w:r>
        <w:rPr>
          <w:rFonts w:eastAsia="MS Mincho"/>
          <w:sz w:val="24"/>
          <w:lang w:eastAsia="ja-JP"/>
        </w:rPr>
        <w:t>tercalation via charge compensation. In the oxidized state, the near-disappearance of the Mn</w:t>
      </w:r>
      <w:bookmarkStart w:id="24" w:name="OLE_LINK13"/>
      <w:r>
        <w:rPr>
          <w:rFonts w:hint="eastAsia" w:eastAsiaTheme="minorEastAsia"/>
          <w:sz w:val="24"/>
          <w:vertAlign w:val="superscript"/>
        </w:rPr>
        <w:t>3+</w:t>
      </w:r>
      <w:bookmarkEnd w:id="24"/>
      <w:r>
        <w:rPr>
          <w:rFonts w:eastAsia="MS Mincho"/>
          <w:sz w:val="24"/>
          <w:lang w:eastAsia="ja-JP"/>
        </w:rPr>
        <w:t xml:space="preserve"> peak alongside a marked increase in Mn⁴⁺ signal confirms the oxidation of Mn</w:t>
      </w:r>
      <w:r>
        <w:rPr>
          <w:rFonts w:hint="eastAsia" w:eastAsiaTheme="minorEastAsia"/>
          <w:sz w:val="24"/>
          <w:vertAlign w:val="superscript"/>
        </w:rPr>
        <w:t>3+</w:t>
      </w:r>
      <w:r>
        <w:rPr>
          <w:rFonts w:eastAsia="MS Mincho"/>
          <w:sz w:val="24"/>
          <w:lang w:eastAsia="ja-JP"/>
        </w:rPr>
        <w:t xml:space="preserve"> to Mn</w:t>
      </w:r>
      <w:r>
        <w:rPr>
          <w:rFonts w:hint="eastAsia" w:eastAsiaTheme="minorEastAsia"/>
          <w:sz w:val="24"/>
          <w:vertAlign w:val="superscript"/>
        </w:rPr>
        <w:t>4+</w:t>
      </w:r>
      <w:r>
        <w:rPr>
          <w:rFonts w:eastAsia="MS Mincho"/>
          <w:sz w:val="24"/>
          <w:lang w:eastAsia="ja-JP"/>
        </w:rPr>
        <w:t>, which coincides with a significant decrease in the Li 1s peak intensity, indicating Li</w:t>
      </w:r>
      <w:r>
        <w:rPr>
          <w:rFonts w:hint="eastAsia" w:eastAsiaTheme="minorEastAsia"/>
          <w:sz w:val="24"/>
          <w:vertAlign w:val="superscript"/>
        </w:rPr>
        <w:t>+</w:t>
      </w:r>
      <w:r>
        <w:rPr>
          <w:rFonts w:eastAsia="MS Mincho"/>
          <w:sz w:val="24"/>
          <w:lang w:eastAsia="ja-JP"/>
        </w:rPr>
        <w:t xml:space="preserve"> extraction. Conversely, in the reduced state, the re-emergence of the Mn</w:t>
      </w:r>
      <w:r>
        <w:rPr>
          <w:rFonts w:hint="eastAsia" w:eastAsiaTheme="minorEastAsia"/>
          <w:sz w:val="24"/>
          <w:vertAlign w:val="superscript"/>
        </w:rPr>
        <w:t>3+</w:t>
      </w:r>
      <w:r>
        <w:rPr>
          <w:rFonts w:eastAsia="MS Mincho"/>
          <w:sz w:val="24"/>
          <w:lang w:eastAsia="ja-JP"/>
        </w:rPr>
        <w:t xml:space="preserve"> peak signifies the reduction of Mn</w:t>
      </w:r>
      <w:r>
        <w:rPr>
          <w:rFonts w:hint="eastAsia" w:eastAsiaTheme="minorEastAsia"/>
          <w:sz w:val="24"/>
          <w:vertAlign w:val="superscript"/>
        </w:rPr>
        <w:t>4+</w:t>
      </w:r>
      <w:r>
        <w:rPr>
          <w:rFonts w:eastAsia="MS Mincho"/>
          <w:sz w:val="24"/>
          <w:lang w:eastAsia="ja-JP"/>
        </w:rPr>
        <w:t xml:space="preserve"> back to Mn</w:t>
      </w:r>
      <w:r>
        <w:rPr>
          <w:rFonts w:hint="eastAsia" w:eastAsiaTheme="minorEastAsia"/>
          <w:sz w:val="24"/>
          <w:vertAlign w:val="superscript"/>
        </w:rPr>
        <w:t>3+</w:t>
      </w:r>
      <w:r>
        <w:rPr>
          <w:rFonts w:eastAsia="MS Mincho"/>
          <w:sz w:val="24"/>
          <w:lang w:eastAsia="ja-JP"/>
        </w:rPr>
        <w:t>, a process accompanied by a pronounced increase in the Li 1s signal that confirms Li</w:t>
      </w:r>
      <w:r>
        <w:rPr>
          <w:rFonts w:hint="eastAsia" w:eastAsiaTheme="minorEastAsia"/>
          <w:sz w:val="24"/>
          <w:vertAlign w:val="superscript"/>
        </w:rPr>
        <w:t>+</w:t>
      </w:r>
      <w:r>
        <w:rPr>
          <w:rFonts w:eastAsia="MS Mincho"/>
          <w:sz w:val="24"/>
          <w:lang w:eastAsia="ja-JP"/>
        </w:rPr>
        <w:t xml:space="preserve"> re-insertion into the electrode structure. </w:t>
      </w:r>
      <w:bookmarkStart w:id="25" w:name="OLE_LINK26"/>
      <w:r>
        <w:rPr>
          <w:rFonts w:eastAsia="MS Mincho"/>
          <w:sz w:val="24"/>
          <w:lang w:eastAsia="ja-JP"/>
        </w:rPr>
        <w:t>The Li 1s/Mn 3p overlapping region exhibits distinct shifts during oxidation/reduction processes: the peak shift toward higher binding energy in the oxidation state (top) and lower binding energy in the reduction state (bottom) confirms the reversible Li</w:t>
      </w:r>
      <w:r>
        <w:rPr>
          <w:rFonts w:hint="eastAsia" w:eastAsiaTheme="minorEastAsia"/>
          <w:sz w:val="24"/>
          <w:vertAlign w:val="superscript"/>
        </w:rPr>
        <w:t>+</w:t>
      </w:r>
      <w:r>
        <w:rPr>
          <w:rFonts w:eastAsia="MS Mincho"/>
          <w:sz w:val="24"/>
          <w:lang w:eastAsia="ja-JP"/>
        </w:rPr>
        <w:t xml:space="preserve"> intercalation/deintercalation behavior. For LZMO-0.03, the smaller peak shift amplitude implies that Zr modified reduces the lattice strain during Li⁺ migration, further contributing to cyclic stability.</w:t>
      </w:r>
      <w:bookmarkEnd w:id="25"/>
    </w:p>
    <w:p w14:paraId="04995634">
      <w:pPr>
        <w:spacing w:line="360" w:lineRule="auto"/>
        <w:jc w:val="center"/>
        <w:rPr>
          <w:rFonts w:eastAsia="等线"/>
          <w:sz w:val="24"/>
        </w:rPr>
      </w:pPr>
      <w:r>
        <w:rPr>
          <w:rFonts w:eastAsia="等线"/>
          <w:b/>
          <w:bCs/>
          <w:sz w:val="24"/>
        </w:rPr>
        <w:drawing>
          <wp:inline distT="0" distB="0" distL="0" distR="0">
            <wp:extent cx="2879725" cy="2500630"/>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noChangeArrowheads="1"/>
                    </pic:cNvPicPr>
                  </pic:nvPicPr>
                  <pic:blipFill>
                    <a:blip r:embed="rId7" cstate="print">
                      <a:extLst>
                        <a:ext uri="{28A0092B-C50C-407E-A947-70E740481C1C}">
                          <a14:useLocalDpi xmlns:a14="http://schemas.microsoft.com/office/drawing/2010/main" val="0"/>
                        </a:ext>
                      </a:extLst>
                    </a:blip>
                    <a:srcRect t="23946"/>
                    <a:stretch>
                      <a:fillRect/>
                    </a:stretch>
                  </pic:blipFill>
                  <pic:spPr>
                    <a:xfrm>
                      <a:off x="0" y="0"/>
                      <a:ext cx="2880000" cy="2501155"/>
                    </a:xfrm>
                    <a:prstGeom prst="rect">
                      <a:avLst/>
                    </a:prstGeom>
                    <a:noFill/>
                    <a:ln>
                      <a:noFill/>
                    </a:ln>
                  </pic:spPr>
                </pic:pic>
              </a:graphicData>
            </a:graphic>
          </wp:inline>
        </w:drawing>
      </w:r>
    </w:p>
    <w:p w14:paraId="791FFCED">
      <w:pPr>
        <w:spacing w:line="360" w:lineRule="auto"/>
        <w:jc w:val="center"/>
        <w:rPr>
          <w:rFonts w:eastAsia="等线"/>
          <w:b/>
          <w:bCs/>
          <w:sz w:val="24"/>
        </w:rPr>
      </w:pPr>
      <w:bookmarkStart w:id="26" w:name="_Hlk225845486"/>
      <w:r>
        <w:rPr>
          <w:rFonts w:eastAsia="等线"/>
          <w:b/>
          <w:bCs/>
          <w:sz w:val="24"/>
        </w:rPr>
        <w:t>Fig. S</w:t>
      </w:r>
      <w:r>
        <w:rPr>
          <w:rFonts w:hint="eastAsia" w:eastAsia="等线"/>
          <w:b/>
          <w:bCs/>
          <w:sz w:val="24"/>
        </w:rPr>
        <w:t xml:space="preserve">4. </w:t>
      </w:r>
      <w:r>
        <w:rPr>
          <w:rFonts w:hint="eastAsia" w:eastAsia="等线"/>
          <w:sz w:val="24"/>
        </w:rPr>
        <w:t>H</w:t>
      </w:r>
      <w:r>
        <w:rPr>
          <w:rFonts w:eastAsia="等线"/>
          <w:sz w:val="24"/>
        </w:rPr>
        <w:t>igh-resolution XPS spectrum of</w:t>
      </w:r>
      <w:r>
        <w:rPr>
          <w:rFonts w:hint="eastAsia" w:eastAsia="等线"/>
          <w:sz w:val="24"/>
        </w:rPr>
        <w:t xml:space="preserve"> </w:t>
      </w:r>
      <w:r>
        <w:rPr>
          <w:rFonts w:eastAsia="等线"/>
          <w:sz w:val="24"/>
        </w:rPr>
        <w:t xml:space="preserve">Mn </w:t>
      </w:r>
      <w:r>
        <w:rPr>
          <w:rFonts w:hint="eastAsia" w:eastAsia="等线"/>
          <w:sz w:val="24"/>
        </w:rPr>
        <w:t>3</w:t>
      </w:r>
      <w:r>
        <w:rPr>
          <w:rFonts w:eastAsia="等线"/>
          <w:sz w:val="24"/>
        </w:rPr>
        <w:t>p</w:t>
      </w:r>
      <w:r>
        <w:rPr>
          <w:rFonts w:hint="eastAsia" w:eastAsia="等线"/>
          <w:sz w:val="24"/>
        </w:rPr>
        <w:t>/Li 1s</w:t>
      </w:r>
      <w:r>
        <w:rPr>
          <w:rFonts w:eastAsia="等线"/>
          <w:sz w:val="24"/>
        </w:rPr>
        <w:t xml:space="preserve"> for</w:t>
      </w:r>
      <w:r>
        <w:rPr>
          <w:rFonts w:hint="eastAsia" w:eastAsia="等线"/>
          <w:sz w:val="24"/>
        </w:rPr>
        <w:t xml:space="preserve"> </w:t>
      </w:r>
      <w:r>
        <w:rPr>
          <w:rFonts w:eastAsia="等线"/>
          <w:sz w:val="24"/>
        </w:rPr>
        <w:t>L</w:t>
      </w:r>
      <w:r>
        <w:rPr>
          <w:rFonts w:hint="eastAsia" w:eastAsia="等线"/>
          <w:sz w:val="24"/>
        </w:rPr>
        <w:t>Z</w:t>
      </w:r>
      <w:r>
        <w:rPr>
          <w:rFonts w:eastAsia="等线"/>
          <w:sz w:val="24"/>
        </w:rPr>
        <w:t>MO-0.</w:t>
      </w:r>
      <w:r>
        <w:rPr>
          <w:rFonts w:hint="eastAsia" w:eastAsia="等线"/>
          <w:sz w:val="24"/>
        </w:rPr>
        <w:t>03</w:t>
      </w:r>
      <w:r>
        <w:rPr>
          <w:rFonts w:eastAsia="等线"/>
          <w:sz w:val="24"/>
        </w:rPr>
        <w:t>.</w:t>
      </w:r>
      <w:bookmarkEnd w:id="26"/>
    </w:p>
    <w:bookmarkEnd w:id="23"/>
    <w:p w14:paraId="5B370F53">
      <w:pPr>
        <w:spacing w:line="360" w:lineRule="auto"/>
        <w:ind w:firstLine="480" w:firstLineChars="200"/>
        <w:rPr>
          <w:sz w:val="24"/>
        </w:rPr>
      </w:pPr>
      <w:r>
        <w:rPr>
          <w:sz w:val="24"/>
        </w:rPr>
        <w:t>Fig. S</w:t>
      </w:r>
      <w:r>
        <w:rPr>
          <w:rFonts w:hint="eastAsia"/>
          <w:sz w:val="24"/>
        </w:rPr>
        <w:t>5</w:t>
      </w:r>
      <w:r>
        <w:rPr>
          <w:sz w:val="24"/>
        </w:rPr>
        <w:t xml:space="preserve"> presented the total density of states (TDOS) for the LiMn</w:t>
      </w:r>
      <w:r>
        <w:rPr>
          <w:sz w:val="24"/>
          <w:vertAlign w:val="subscript"/>
        </w:rPr>
        <w:t>2</w:t>
      </w:r>
      <w:r>
        <w:rPr>
          <w:sz w:val="24"/>
        </w:rPr>
        <w:t>O</w:t>
      </w:r>
      <w:r>
        <w:rPr>
          <w:sz w:val="24"/>
          <w:vertAlign w:val="subscript"/>
        </w:rPr>
        <w:t>4</w:t>
      </w:r>
      <w:r>
        <w:rPr>
          <w:sz w:val="24"/>
        </w:rPr>
        <w:t xml:space="preserve"> and Zr-</w:t>
      </w:r>
      <w:bookmarkStart w:id="27" w:name="OLE_LINK66"/>
      <w:r>
        <w:rPr>
          <w:rFonts w:hint="eastAsia"/>
          <w:sz w:val="24"/>
        </w:rPr>
        <w:t>modified</w:t>
      </w:r>
      <w:bookmarkEnd w:id="27"/>
      <w:r>
        <w:rPr>
          <w:sz w:val="24"/>
        </w:rPr>
        <w:t xml:space="preserve"> LMO systems. As shown in Fig. S</w:t>
      </w:r>
      <w:r>
        <w:rPr>
          <w:rFonts w:hint="eastAsia"/>
          <w:sz w:val="24"/>
        </w:rPr>
        <w:t>5</w:t>
      </w:r>
      <w:r>
        <w:rPr>
          <w:sz w:val="24"/>
        </w:rPr>
        <w:t>, the electronic density of states of the Zr-</w:t>
      </w:r>
      <w:r>
        <w:rPr>
          <w:rFonts w:hint="eastAsia"/>
          <w:sz w:val="24"/>
        </w:rPr>
        <w:t xml:space="preserve"> modified</w:t>
      </w:r>
      <w:r>
        <w:rPr>
          <w:sz w:val="24"/>
        </w:rPr>
        <w:t xml:space="preserve"> LMO system shifts predominantly toward lower energy levels compared with that of pristine LMO, which is attributed to the fact that Zr atoms with lower electronegativity substitute for partial Mn atoms and tend to donate electrons to Mn ions. Furthermore, the spin-down electronic states of Zr-</w:t>
      </w:r>
      <w:r>
        <w:rPr>
          <w:rFonts w:hint="eastAsia"/>
          <w:sz w:val="24"/>
        </w:rPr>
        <w:t>modified</w:t>
      </w:r>
      <w:r>
        <w:rPr>
          <w:sz w:val="24"/>
        </w:rPr>
        <w:t xml:space="preserve"> LMO cross the Fermi level, endowing the doped system with metallic properties. This alteration facilitates the excitation and transition of electrons within the downward spin channel, thereby significantly enhancing the system's electronic conductivity. This optimization at the electronic structure level aligns closely with the observed reduction in charge transfer resistance (Rct) from electrochemical impedance spectroscopy (EIS) tests. The enhanced conductivity accelerates interfacial charge transfer kinetics, lowers the electron transport energy barrier at the electrode-electrolyte interface, and manifests as decreased charge transfer resistance.</w:t>
      </w:r>
    </w:p>
    <w:p w14:paraId="6A53CD79">
      <w:pPr>
        <w:spacing w:after="240" w:line="360" w:lineRule="auto"/>
        <w:jc w:val="center"/>
        <w:rPr>
          <w:b/>
          <w:bCs/>
          <w:sz w:val="24"/>
        </w:rPr>
      </w:pPr>
      <w:r>
        <w:rPr>
          <w:b/>
          <w:bCs/>
          <w:sz w:val="24"/>
        </w:rPr>
        <w:drawing>
          <wp:inline distT="0" distB="0" distL="0" distR="0">
            <wp:extent cx="2985770" cy="2438400"/>
            <wp:effectExtent l="0" t="0" r="0" b="0"/>
            <wp:docPr id="21438117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11785" name="图片 1"/>
                    <pic:cNvPicPr>
                      <a:picLocks noChangeAspect="1"/>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2995348" cy="2446118"/>
                    </a:xfrm>
                    <a:prstGeom prst="rect">
                      <a:avLst/>
                    </a:prstGeom>
                  </pic:spPr>
                </pic:pic>
              </a:graphicData>
            </a:graphic>
          </wp:inline>
        </w:drawing>
      </w:r>
    </w:p>
    <w:p w14:paraId="799D11F3">
      <w:pPr>
        <w:spacing w:line="360" w:lineRule="auto"/>
        <w:jc w:val="center"/>
        <w:rPr>
          <w:rFonts w:eastAsia="等线"/>
          <w:sz w:val="24"/>
        </w:rPr>
      </w:pPr>
      <w:bookmarkStart w:id="28" w:name="_Hlk225845504"/>
      <w:r>
        <w:rPr>
          <w:rFonts w:eastAsia="等线"/>
          <w:b/>
          <w:bCs/>
          <w:sz w:val="24"/>
        </w:rPr>
        <w:t>Fig. S</w:t>
      </w:r>
      <w:r>
        <w:rPr>
          <w:rFonts w:hint="eastAsia" w:eastAsia="等线"/>
          <w:b/>
          <w:bCs/>
          <w:sz w:val="24"/>
        </w:rPr>
        <w:t>5.</w:t>
      </w:r>
      <w:r>
        <w:rPr>
          <w:rFonts w:eastAsia="等线"/>
          <w:b/>
          <w:bCs/>
          <w:sz w:val="24"/>
        </w:rPr>
        <w:t xml:space="preserve"> </w:t>
      </w:r>
      <w:bookmarkStart w:id="29" w:name="OLE_LINK89"/>
      <w:r>
        <w:rPr>
          <w:rFonts w:eastAsia="等线"/>
          <w:sz w:val="24"/>
        </w:rPr>
        <w:t>Density of states (DOS)</w:t>
      </w:r>
      <w:bookmarkEnd w:id="29"/>
      <w:r>
        <w:rPr>
          <w:rFonts w:eastAsia="等线"/>
          <w:sz w:val="24"/>
        </w:rPr>
        <w:t xml:space="preserve"> calculation for LMO and L</w:t>
      </w:r>
      <w:r>
        <w:rPr>
          <w:rFonts w:hint="eastAsia" w:eastAsia="等线"/>
          <w:sz w:val="24"/>
        </w:rPr>
        <w:t>Z</w:t>
      </w:r>
      <w:r>
        <w:rPr>
          <w:rFonts w:eastAsia="等线"/>
          <w:sz w:val="24"/>
        </w:rPr>
        <w:t>MO.</w:t>
      </w:r>
    </w:p>
    <w:p w14:paraId="6F809FF4">
      <w:pPr>
        <w:spacing w:line="360" w:lineRule="auto"/>
        <w:ind w:firstLine="480" w:firstLineChars="200"/>
        <w:rPr>
          <w:rFonts w:eastAsia="等线"/>
          <w:sz w:val="32"/>
          <w:szCs w:val="32"/>
        </w:rPr>
      </w:pPr>
      <w:r>
        <w:rPr>
          <w:rFonts w:hint="eastAsia" w:eastAsiaTheme="minorEastAsia"/>
          <w:bCs/>
          <w:sz w:val="24"/>
          <w:szCs w:val="32"/>
        </w:rPr>
        <w:t xml:space="preserve">As </w:t>
      </w:r>
      <w:r>
        <w:rPr>
          <w:rFonts w:eastAsiaTheme="minorEastAsia"/>
          <w:bCs/>
          <w:sz w:val="24"/>
          <w:szCs w:val="32"/>
        </w:rPr>
        <w:t>Fig. S6</w:t>
      </w:r>
      <w:r>
        <w:rPr>
          <w:rFonts w:hint="eastAsia" w:eastAsiaTheme="minorEastAsia"/>
          <w:bCs/>
          <w:sz w:val="24"/>
          <w:szCs w:val="32"/>
        </w:rPr>
        <w:t>(</w:t>
      </w:r>
      <w:r>
        <w:rPr>
          <w:rFonts w:eastAsiaTheme="minorEastAsia"/>
          <w:bCs/>
          <w:sz w:val="24"/>
          <w:szCs w:val="32"/>
        </w:rPr>
        <w:t>a</w:t>
      </w:r>
      <w:r>
        <w:rPr>
          <w:rFonts w:hint="eastAsia" w:eastAsiaTheme="minorEastAsia"/>
          <w:bCs/>
          <w:sz w:val="24"/>
          <w:szCs w:val="32"/>
        </w:rPr>
        <w:t>)</w:t>
      </w:r>
      <w:r>
        <w:rPr>
          <w:rFonts w:eastAsiaTheme="minorEastAsia"/>
          <w:bCs/>
          <w:sz w:val="24"/>
          <w:szCs w:val="32"/>
        </w:rPr>
        <w:t xml:space="preserve">: </w:t>
      </w:r>
      <w:bookmarkStart w:id="30" w:name="OLE_LINK96"/>
      <w:r>
        <w:rPr>
          <w:rFonts w:eastAsiaTheme="minorEastAsia"/>
          <w:bCs/>
          <w:sz w:val="24"/>
          <w:szCs w:val="32"/>
        </w:rPr>
        <w:t>BiOCl</w:t>
      </w:r>
      <w:bookmarkEnd w:id="30"/>
      <w:r>
        <w:rPr>
          <w:rFonts w:eastAsiaTheme="minorEastAsia"/>
          <w:bCs/>
          <w:sz w:val="24"/>
          <w:szCs w:val="32"/>
        </w:rPr>
        <w:t xml:space="preserve"> maintains symmetric charge</w:t>
      </w:r>
      <w:r>
        <w:rPr>
          <w:rFonts w:hint="eastAsia" w:eastAsiaTheme="minorEastAsia"/>
          <w:bCs/>
          <w:sz w:val="24"/>
          <w:szCs w:val="32"/>
        </w:rPr>
        <w:t>-</w:t>
      </w:r>
      <w:r>
        <w:rPr>
          <w:rFonts w:eastAsiaTheme="minorEastAsia"/>
          <w:bCs/>
          <w:sz w:val="24"/>
          <w:szCs w:val="32"/>
        </w:rPr>
        <w:t xml:space="preserve">discharge profiles and reaction reversibility in both pure LiCl and real brine, </w:t>
      </w:r>
      <w:bookmarkStart w:id="31" w:name="OLE_LINK62"/>
      <w:r>
        <w:rPr>
          <w:rFonts w:eastAsiaTheme="minorEastAsia"/>
          <w:bCs/>
          <w:sz w:val="24"/>
          <w:szCs w:val="32"/>
        </w:rPr>
        <w:t>with a slightly lower specific capacity</w:t>
      </w:r>
      <w:r>
        <w:rPr>
          <w:bCs/>
          <w:sz w:val="24"/>
          <w:szCs w:val="32"/>
        </w:rPr>
        <w:t xml:space="preserve"> </w:t>
      </w:r>
      <w:r>
        <w:rPr>
          <w:rFonts w:eastAsiaTheme="minorEastAsia"/>
          <w:bCs/>
          <w:sz w:val="24"/>
          <w:szCs w:val="32"/>
        </w:rPr>
        <w:t>in brine from elevated solution resistance induced by impurity ions.</w:t>
      </w:r>
      <w:bookmarkEnd w:id="31"/>
      <w:r>
        <w:rPr>
          <w:rFonts w:hint="eastAsia" w:eastAsiaTheme="minorEastAsia"/>
          <w:bCs/>
          <w:sz w:val="24"/>
          <w:szCs w:val="32"/>
        </w:rPr>
        <w:t xml:space="preserve"> </w:t>
      </w:r>
      <w:r>
        <w:rPr>
          <w:rFonts w:eastAsiaTheme="minorEastAsia"/>
          <w:bCs/>
          <w:sz w:val="24"/>
          <w:szCs w:val="32"/>
        </w:rPr>
        <w:t xml:space="preserve">Specifically, </w:t>
      </w:r>
      <w:r>
        <w:rPr>
          <w:rFonts w:hint="eastAsia" w:eastAsiaTheme="minorEastAsia"/>
          <w:bCs/>
          <w:sz w:val="24"/>
          <w:szCs w:val="32"/>
        </w:rPr>
        <w:t>w</w:t>
      </w:r>
      <w:r>
        <w:rPr>
          <w:rFonts w:eastAsiaTheme="minorEastAsia"/>
          <w:bCs/>
          <w:sz w:val="24"/>
          <w:szCs w:val="32"/>
        </w:rPr>
        <w:t xml:space="preserve">e conducted GCD characterization after 20 intercalation-deintercalation cycles, with the corresponding curves shown in Fig. S6b. The results show that the BiOCl electrode undergoes capacity fading during prolonged cycling, with a capacity retention of approximately </w:t>
      </w:r>
      <w:r>
        <w:rPr>
          <w:rFonts w:hint="eastAsia" w:eastAsiaTheme="minorEastAsia"/>
          <w:bCs/>
          <w:sz w:val="24"/>
          <w:szCs w:val="32"/>
        </w:rPr>
        <w:t>86.7</w:t>
      </w:r>
      <w:r>
        <w:rPr>
          <w:rFonts w:eastAsiaTheme="minorEastAsia"/>
          <w:bCs/>
          <w:sz w:val="24"/>
          <w:szCs w:val="32"/>
        </w:rPr>
        <w:t xml:space="preserve">% after </w:t>
      </w:r>
      <w:r>
        <w:rPr>
          <w:rFonts w:hint="eastAsia" w:eastAsiaTheme="minorEastAsia"/>
          <w:bCs/>
          <w:sz w:val="24"/>
          <w:szCs w:val="32"/>
        </w:rPr>
        <w:t>20</w:t>
      </w:r>
      <w:r>
        <w:rPr>
          <w:rFonts w:eastAsiaTheme="minorEastAsia"/>
          <w:bCs/>
          <w:sz w:val="24"/>
          <w:szCs w:val="32"/>
        </w:rPr>
        <w:t xml:space="preserve"> cycles.</w:t>
      </w:r>
    </w:p>
    <w:p w14:paraId="6020763F">
      <w:pPr>
        <w:spacing w:line="360" w:lineRule="auto"/>
        <w:jc w:val="center"/>
        <w:rPr>
          <w:rFonts w:eastAsiaTheme="minorEastAsia"/>
          <w:bCs/>
          <w:i/>
          <w:iCs/>
        </w:rPr>
      </w:pPr>
      <w:r>
        <w:rPr>
          <w:rFonts w:eastAsiaTheme="minorEastAsia"/>
          <w:bCs/>
          <w:i/>
          <w:iCs/>
        </w:rPr>
        <w:drawing>
          <wp:inline distT="0" distB="0" distL="0" distR="0">
            <wp:extent cx="4417695" cy="1845310"/>
            <wp:effectExtent l="0" t="0" r="1905" b="2540"/>
            <wp:docPr id="16465247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24737" name="图片 4"/>
                    <pic:cNvPicPr>
                      <a:picLocks noChangeAspect="1"/>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4446445" cy="1857275"/>
                    </a:xfrm>
                    <a:prstGeom prst="rect">
                      <a:avLst/>
                    </a:prstGeom>
                  </pic:spPr>
                </pic:pic>
              </a:graphicData>
            </a:graphic>
          </wp:inline>
        </w:drawing>
      </w:r>
    </w:p>
    <w:p w14:paraId="7559FF07">
      <w:pPr>
        <w:spacing w:line="360" w:lineRule="auto"/>
        <w:jc w:val="center"/>
        <w:rPr>
          <w:rFonts w:eastAsiaTheme="minorEastAsia"/>
          <w:bCs/>
          <w:sz w:val="24"/>
        </w:rPr>
      </w:pPr>
      <w:bookmarkStart w:id="32" w:name="OLE_LINK79"/>
      <w:r>
        <w:rPr>
          <w:rFonts w:eastAsiaTheme="minorEastAsia"/>
          <w:bCs/>
          <w:sz w:val="24"/>
        </w:rPr>
        <w:t>Fig</w:t>
      </w:r>
      <w:r>
        <w:rPr>
          <w:rFonts w:hint="eastAsia" w:eastAsiaTheme="minorEastAsia"/>
          <w:bCs/>
          <w:sz w:val="24"/>
        </w:rPr>
        <w:t>. S6</w:t>
      </w:r>
      <w:r>
        <w:rPr>
          <w:rFonts w:eastAsiaTheme="minorEastAsia"/>
          <w:bCs/>
          <w:sz w:val="24"/>
        </w:rPr>
        <w:t xml:space="preserve">. </w:t>
      </w:r>
      <w:bookmarkStart w:id="33" w:name="_Hlk233389338"/>
      <w:r>
        <w:rPr>
          <w:rFonts w:eastAsiaTheme="minorEastAsia"/>
          <w:bCs/>
          <w:sz w:val="24"/>
        </w:rPr>
        <w:t xml:space="preserve">GCD curves of the optimized </w:t>
      </w:r>
      <w:r>
        <w:rPr>
          <w:rFonts w:eastAsiaTheme="minorEastAsia"/>
          <w:bCs/>
          <w:sz w:val="24"/>
          <w:szCs w:val="32"/>
        </w:rPr>
        <w:t>BiOCl</w:t>
      </w:r>
      <w:r>
        <w:rPr>
          <w:rFonts w:eastAsiaTheme="minorEastAsia"/>
          <w:bCs/>
          <w:sz w:val="24"/>
        </w:rPr>
        <w:t xml:space="preserve"> film electrode. (a)</w:t>
      </w:r>
      <w:r>
        <w:rPr>
          <w:rFonts w:hint="eastAsia" w:eastAsiaTheme="minorEastAsia"/>
          <w:bCs/>
          <w:sz w:val="24"/>
        </w:rPr>
        <w:t>c</w:t>
      </w:r>
      <w:r>
        <w:rPr>
          <w:rFonts w:eastAsiaTheme="minorEastAsia"/>
          <w:bCs/>
          <w:sz w:val="24"/>
        </w:rPr>
        <w:t xml:space="preserve">urves measured in pure LiCl solution and </w:t>
      </w:r>
      <w:r>
        <w:rPr>
          <w:rFonts w:hint="eastAsia" w:eastAsiaTheme="minorEastAsia"/>
          <w:bCs/>
          <w:sz w:val="24"/>
        </w:rPr>
        <w:t xml:space="preserve">real </w:t>
      </w:r>
      <w:r>
        <w:rPr>
          <w:rFonts w:eastAsiaTheme="minorEastAsia"/>
          <w:bCs/>
          <w:sz w:val="24"/>
        </w:rPr>
        <w:t xml:space="preserve">salt lake brine; (b) </w:t>
      </w:r>
      <w:r>
        <w:rPr>
          <w:rFonts w:hint="eastAsia" w:eastAsiaTheme="minorEastAsia"/>
          <w:bCs/>
          <w:sz w:val="24"/>
        </w:rPr>
        <w:t>c</w:t>
      </w:r>
      <w:r>
        <w:rPr>
          <w:rFonts w:eastAsiaTheme="minorEastAsia"/>
          <w:bCs/>
          <w:sz w:val="24"/>
        </w:rPr>
        <w:t xml:space="preserve">urves recorded after 20 intercalation-deintercalation cycles </w:t>
      </w:r>
      <w:bookmarkEnd w:id="32"/>
      <w:bookmarkEnd w:id="33"/>
    </w:p>
    <w:p w14:paraId="1899AB67">
      <w:pPr>
        <w:spacing w:line="360" w:lineRule="auto"/>
        <w:jc w:val="center"/>
        <w:rPr>
          <w:rFonts w:eastAsiaTheme="minorEastAsia"/>
        </w:rPr>
      </w:pPr>
      <w:r>
        <w:rPr>
          <w:rFonts w:eastAsiaTheme="minorEastAsia"/>
        </w:rPr>
        <w:drawing>
          <wp:inline distT="0" distB="0" distL="0" distR="0">
            <wp:extent cx="4784090" cy="2205355"/>
            <wp:effectExtent l="0" t="0" r="0" b="4445"/>
            <wp:docPr id="20174503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50321" name="图片 1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07004" cy="2215991"/>
                    </a:xfrm>
                    <a:prstGeom prst="rect">
                      <a:avLst/>
                    </a:prstGeom>
                  </pic:spPr>
                </pic:pic>
              </a:graphicData>
            </a:graphic>
          </wp:inline>
        </w:drawing>
      </w:r>
    </w:p>
    <w:p w14:paraId="5A514BA2">
      <w:pPr>
        <w:spacing w:line="360" w:lineRule="auto"/>
        <w:jc w:val="center"/>
        <w:rPr>
          <w:rFonts w:eastAsiaTheme="minorEastAsia"/>
        </w:rPr>
      </w:pPr>
      <w:bookmarkStart w:id="34" w:name="_Hlk232475359"/>
      <w:bookmarkStart w:id="35" w:name="OLE_LINK28"/>
      <w:r>
        <w:rPr>
          <w:rFonts w:eastAsiaTheme="minorEastAsia"/>
          <w:b/>
          <w:bCs/>
          <w:sz w:val="24"/>
          <w:szCs w:val="32"/>
        </w:rPr>
        <w:t>Fig. S</w:t>
      </w:r>
      <w:bookmarkEnd w:id="34"/>
      <w:r>
        <w:rPr>
          <w:rFonts w:hint="eastAsia" w:eastAsiaTheme="minorEastAsia"/>
          <w:b/>
          <w:bCs/>
          <w:sz w:val="24"/>
          <w:szCs w:val="32"/>
        </w:rPr>
        <w:t>7</w:t>
      </w:r>
      <w:r>
        <w:rPr>
          <w:rFonts w:eastAsiaTheme="minorEastAsia"/>
          <w:sz w:val="24"/>
          <w:szCs w:val="32"/>
        </w:rPr>
        <w:t xml:space="preserve"> </w:t>
      </w:r>
      <w:bookmarkEnd w:id="35"/>
      <w:r>
        <w:rPr>
          <w:rFonts w:hint="eastAsia" w:eastAsiaTheme="minorEastAsia"/>
          <w:sz w:val="24"/>
          <w:szCs w:val="32"/>
        </w:rPr>
        <w:t>D</w:t>
      </w:r>
      <w:r>
        <w:rPr>
          <w:rFonts w:eastAsiaTheme="minorEastAsia"/>
          <w:sz w:val="24"/>
          <w:szCs w:val="32"/>
        </w:rPr>
        <w:t>igital photographs of LZMO electrodes after the cross cut tape test</w:t>
      </w:r>
    </w:p>
    <w:p w14:paraId="7BCF6F0C">
      <w:pPr>
        <w:spacing w:after="240" w:line="360" w:lineRule="auto"/>
        <w:rPr>
          <w:rFonts w:eastAsia="等线"/>
          <w:b/>
          <w:bCs/>
          <w:sz w:val="24"/>
        </w:rPr>
      </w:pPr>
    </w:p>
    <w:bookmarkEnd w:id="28"/>
    <w:p w14:paraId="5FE42076">
      <w:pPr>
        <w:spacing w:after="240" w:line="360" w:lineRule="auto"/>
        <w:jc w:val="center"/>
        <w:rPr>
          <w:sz w:val="24"/>
        </w:rPr>
      </w:pPr>
      <w:r>
        <w:rPr>
          <w:sz w:val="24"/>
        </w:rPr>
        <w:drawing>
          <wp:inline distT="0" distB="0" distL="0" distR="0">
            <wp:extent cx="4968240" cy="3107055"/>
            <wp:effectExtent l="0" t="0" r="3810" b="0"/>
            <wp:docPr id="12877307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30723" name="图片 2"/>
                    <pic:cNvPicPr>
                      <a:picLocks noChangeAspect="1"/>
                    </pic:cNvPicPr>
                  </pic:nvPicPr>
                  <pic:blipFill>
                    <a:blip r:embed="rId11" cstate="hqprint">
                      <a:extLst>
                        <a:ext uri="{28A0092B-C50C-407E-A947-70E740481C1C}">
                          <a14:useLocalDpi xmlns:a14="http://schemas.microsoft.com/office/drawing/2010/main" val="0"/>
                        </a:ext>
                      </a:extLst>
                    </a:blip>
                    <a:stretch>
                      <a:fillRect/>
                    </a:stretch>
                  </pic:blipFill>
                  <pic:spPr>
                    <a:xfrm>
                      <a:off x="0" y="0"/>
                      <a:ext cx="4973328" cy="3110575"/>
                    </a:xfrm>
                    <a:prstGeom prst="rect">
                      <a:avLst/>
                    </a:prstGeom>
                  </pic:spPr>
                </pic:pic>
              </a:graphicData>
            </a:graphic>
          </wp:inline>
        </w:drawing>
      </w:r>
    </w:p>
    <w:p w14:paraId="4DBE2782">
      <w:pPr>
        <w:spacing w:line="360" w:lineRule="auto"/>
        <w:jc w:val="center"/>
        <w:rPr>
          <w:szCs w:val="21"/>
        </w:rPr>
      </w:pPr>
      <w:bookmarkStart w:id="36" w:name="_Hlk225845521"/>
      <w:r>
        <w:rPr>
          <w:b/>
          <w:bCs/>
          <w:sz w:val="24"/>
        </w:rPr>
        <w:t xml:space="preserve">Fig. </w:t>
      </w:r>
      <w:r>
        <w:rPr>
          <w:rFonts w:hint="eastAsia"/>
          <w:b/>
          <w:bCs/>
          <w:sz w:val="24"/>
        </w:rPr>
        <w:t xml:space="preserve">S8. </w:t>
      </w:r>
      <w:r>
        <w:rPr>
          <w:sz w:val="24"/>
        </w:rPr>
        <w:t xml:space="preserve">SEM images of </w:t>
      </w:r>
      <w:r>
        <w:rPr>
          <w:rFonts w:hint="eastAsia"/>
          <w:sz w:val="24"/>
        </w:rPr>
        <w:t xml:space="preserve">LZMO-0.03 </w:t>
      </w:r>
      <w:r>
        <w:rPr>
          <w:sz w:val="24"/>
        </w:rPr>
        <w:t>cross-sectional SEM images of the film electrode</w:t>
      </w:r>
      <w:r>
        <w:rPr>
          <w:rFonts w:hint="eastAsia"/>
          <w:sz w:val="24"/>
        </w:rPr>
        <w:t>.</w:t>
      </w:r>
    </w:p>
    <w:bookmarkEnd w:id="36"/>
    <w:p w14:paraId="12FE7B7F">
      <w:pPr>
        <w:kinsoku w:val="0"/>
        <w:autoSpaceDE w:val="0"/>
        <w:autoSpaceDN w:val="0"/>
        <w:spacing w:line="360" w:lineRule="auto"/>
        <w:ind w:firstLine="480" w:firstLineChars="200"/>
        <w:rPr>
          <w:kern w:val="0"/>
          <w:sz w:val="24"/>
        </w:rPr>
      </w:pPr>
      <w:r>
        <w:rPr>
          <w:kern w:val="0"/>
          <w:sz w:val="24"/>
          <w:lang w:eastAsia="en-US"/>
        </w:rPr>
        <w:t>An investigation was conducted to ascertain the impact of varying drive modes on the electrolytic</w:t>
      </w:r>
      <w:r>
        <w:rPr>
          <w:rFonts w:hint="eastAsia"/>
          <w:kern w:val="0"/>
          <w:sz w:val="24"/>
        </w:rPr>
        <w:t xml:space="preserve"> </w:t>
      </w:r>
      <w:r>
        <w:rPr>
          <w:kern w:val="0"/>
          <w:sz w:val="24"/>
          <w:lang w:eastAsia="en-US"/>
        </w:rPr>
        <w:t>lithium extraction performance of the ESIX separation device. This investigation led to the optimization of the device's lithium-ion extraction efficiency. Constant voltage drive has been identified as the predominant drive mode in the field of electrochemical lithium-ion capture research. Consequently, the voltage remains constant while the current gradually decreases over time, resulting in a progressively reduced lithium extraction rate. Conversely, adopting a constant-current drive mode facilitates expeditious and effective lithium capture by establishing an appropriate current value. However, during constant-current operation, the voltage gradually increases despite the constant current, and excessively high voltages can readily induce side reactions in the system</w:t>
      </w:r>
      <w:r>
        <w:rPr>
          <w:rFonts w:hint="eastAsia"/>
          <w:kern w:val="0"/>
          <w:sz w:val="24"/>
        </w:rPr>
        <w:t>.</w:t>
      </w:r>
      <w:r>
        <w:rPr>
          <w:kern w:val="0"/>
          <w:sz w:val="24"/>
          <w:lang w:eastAsia="en-US"/>
        </w:rPr>
        <w:t xml:space="preserve"> In light of these considerations, the present work proposes a coupled constant-current-constant-voltage drive strategy. The specific operation procedure is as follows: Initiall</w:t>
      </w:r>
      <w:r>
        <w:rPr>
          <w:rFonts w:hint="eastAsia"/>
          <w:kern w:val="0"/>
          <w:sz w:val="24"/>
          <w:lang w:eastAsia="en-US"/>
        </w:rPr>
        <w:t>y</w:t>
      </w:r>
      <w:r>
        <w:rPr>
          <w:kern w:val="0"/>
          <w:sz w:val="24"/>
          <w:lang w:eastAsia="en-US"/>
        </w:rPr>
        <w:t xml:space="preserve">, the system operates in constant-current mode, during which the voltage gradually increases over time. Upon attaining a voltage of 1 V, the constant-current phase is terminated (to circumvent side reactions), and the circuit transitions to constant-voltage drive mode. In constant voltage drive mode, the voltage value remains constant while the current value gradually decreases over time and approaches equilibrium at 120 minutes. When the constant current values are set at 0.5 mA, the current remains constant while the voltage continues to increase over time. The system's inability to attain a constant voltage phase within 120 minutes signifies that, in both instances, the current density remains comparatively low and the voltage growth rate is gradual. </w:t>
      </w:r>
      <w:bookmarkStart w:id="37" w:name="OLE_LINK128"/>
      <w:bookmarkStart w:id="38" w:name="OLE_LINK168"/>
      <w:r>
        <w:rPr>
          <w:kern w:val="0"/>
          <w:sz w:val="24"/>
          <w:lang w:eastAsia="en-US"/>
        </w:rPr>
        <w:t>When utilizing 1.0 mA-1 V and 1.5 mA-1 V, respectively, the duration of the constant current phase undergoes a progressive reduction (from approximately 96 minutes to approximately 39 minutes), while the duration of the constant voltage phase undergoes a progressive increase (from approximately 24 minutes to approximately 81 minutes).</w:t>
      </w:r>
      <w:bookmarkEnd w:id="37"/>
    </w:p>
    <w:bookmarkEnd w:id="38"/>
    <w:p w14:paraId="47D485BD">
      <w:pPr>
        <w:spacing w:line="360" w:lineRule="auto"/>
        <w:jc w:val="center"/>
        <w:rPr>
          <w:rFonts w:eastAsia="等线"/>
          <w:b/>
          <w:bCs/>
          <w:sz w:val="24"/>
        </w:rPr>
      </w:pPr>
      <w:r>
        <w:rPr>
          <w:rFonts w:eastAsia="等线"/>
          <w:b/>
          <w:bCs/>
          <w:sz w:val="24"/>
        </w:rPr>
        <w:drawing>
          <wp:inline distT="0" distB="0" distL="0" distR="0">
            <wp:extent cx="4348480" cy="3402330"/>
            <wp:effectExtent l="0" t="0" r="0" b="7620"/>
            <wp:docPr id="19806161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616136" name="图片 3"/>
                    <pic:cNvPicPr>
                      <a:picLocks noChangeAspect="1"/>
                    </pic:cNvPicPr>
                  </pic:nvPicPr>
                  <pic:blipFill>
                    <a:blip r:embed="rId12" cstate="hqprint">
                      <a:extLst>
                        <a:ext uri="{28A0092B-C50C-407E-A947-70E740481C1C}">
                          <a14:useLocalDpi xmlns:a14="http://schemas.microsoft.com/office/drawing/2010/main" val="0"/>
                        </a:ext>
                      </a:extLst>
                    </a:blip>
                    <a:stretch>
                      <a:fillRect/>
                    </a:stretch>
                  </pic:blipFill>
                  <pic:spPr>
                    <a:xfrm>
                      <a:off x="0" y="0"/>
                      <a:ext cx="4357028" cy="3409141"/>
                    </a:xfrm>
                    <a:prstGeom prst="rect">
                      <a:avLst/>
                    </a:prstGeom>
                  </pic:spPr>
                </pic:pic>
              </a:graphicData>
            </a:graphic>
          </wp:inline>
        </w:drawing>
      </w:r>
    </w:p>
    <w:p w14:paraId="1A06E791">
      <w:pPr>
        <w:kinsoku w:val="0"/>
        <w:autoSpaceDE w:val="0"/>
        <w:autoSpaceDN w:val="0"/>
        <w:spacing w:after="240" w:line="360" w:lineRule="auto"/>
        <w:jc w:val="center"/>
      </w:pPr>
      <w:bookmarkStart w:id="39" w:name="_Hlk225845547"/>
      <w:r>
        <w:rPr>
          <w:b/>
          <w:bCs/>
          <w:sz w:val="24"/>
        </w:rPr>
        <w:t>Fig. S</w:t>
      </w:r>
      <w:r>
        <w:rPr>
          <w:rFonts w:hint="eastAsia"/>
          <w:b/>
          <w:bCs/>
          <w:sz w:val="24"/>
        </w:rPr>
        <w:t xml:space="preserve">9. </w:t>
      </w:r>
      <w:r>
        <w:rPr>
          <w:rFonts w:hint="eastAsia"/>
        </w:rPr>
        <w:t>The potential and current curves in constant current-constant voltage driving mode.</w:t>
      </w:r>
      <w:bookmarkEnd w:id="39"/>
    </w:p>
    <w:p w14:paraId="15EE6212">
      <w:pPr>
        <w:spacing w:before="240" w:after="240" w:line="360" w:lineRule="auto"/>
        <w:jc w:val="center"/>
        <w:rPr>
          <w:rFonts w:eastAsia="等线"/>
          <w:b/>
          <w:bCs/>
          <w:sz w:val="24"/>
        </w:rPr>
      </w:pPr>
      <w:r>
        <w:rPr>
          <w:rFonts w:eastAsia="等线"/>
          <w:b/>
          <w:bCs/>
          <w:sz w:val="24"/>
        </w:rPr>
        <w:t xml:space="preserve">Table S1. </w:t>
      </w:r>
      <w:r>
        <w:rPr>
          <w:rFonts w:eastAsia="等线"/>
          <w:sz w:val="24"/>
        </w:rPr>
        <w:t>Content of each element measured by EDS mappings.</w:t>
      </w:r>
    </w:p>
    <w:tbl>
      <w:tblPr>
        <w:tblStyle w:val="11"/>
        <w:tblW w:w="0" w:type="auto"/>
        <w:tblInd w:w="0" w:type="dxa"/>
        <w:tblLayout w:type="autofit"/>
        <w:tblCellMar>
          <w:top w:w="0" w:type="dxa"/>
          <w:left w:w="108" w:type="dxa"/>
          <w:bottom w:w="0" w:type="dxa"/>
          <w:right w:w="108" w:type="dxa"/>
        </w:tblCellMar>
      </w:tblPr>
      <w:tblGrid>
        <w:gridCol w:w="2088"/>
        <w:gridCol w:w="2069"/>
        <w:gridCol w:w="2068"/>
        <w:gridCol w:w="2081"/>
      </w:tblGrid>
      <w:tr w14:paraId="5B883BFA">
        <w:tblPrEx>
          <w:tblCellMar>
            <w:top w:w="0" w:type="dxa"/>
            <w:left w:w="108" w:type="dxa"/>
            <w:bottom w:w="0" w:type="dxa"/>
            <w:right w:w="108" w:type="dxa"/>
          </w:tblCellMar>
        </w:tblPrEx>
        <w:tc>
          <w:tcPr>
            <w:tcW w:w="2130" w:type="dxa"/>
            <w:tcBorders>
              <w:top w:val="single" w:color="auto" w:sz="12" w:space="0"/>
              <w:bottom w:val="single" w:color="auto" w:sz="12" w:space="0"/>
            </w:tcBorders>
          </w:tcPr>
          <w:p w14:paraId="75350F72">
            <w:pPr>
              <w:spacing w:line="360" w:lineRule="auto"/>
              <w:jc w:val="center"/>
              <w:rPr>
                <w:b/>
                <w:bCs/>
                <w:sz w:val="24"/>
              </w:rPr>
            </w:pPr>
            <w:bookmarkStart w:id="40" w:name="OLE_LINK9"/>
            <w:bookmarkStart w:id="41" w:name="OLE_LINK68"/>
            <w:r>
              <w:rPr>
                <w:b/>
                <w:bCs/>
                <w:sz w:val="24"/>
              </w:rPr>
              <w:t>Material</w:t>
            </w:r>
          </w:p>
        </w:tc>
        <w:tc>
          <w:tcPr>
            <w:tcW w:w="2130" w:type="dxa"/>
            <w:tcBorders>
              <w:top w:val="single" w:color="auto" w:sz="12" w:space="0"/>
              <w:bottom w:val="single" w:color="auto" w:sz="12" w:space="0"/>
            </w:tcBorders>
          </w:tcPr>
          <w:p w14:paraId="0F9E907D">
            <w:pPr>
              <w:spacing w:line="360" w:lineRule="auto"/>
              <w:jc w:val="center"/>
              <w:rPr>
                <w:b/>
                <w:bCs/>
                <w:sz w:val="24"/>
              </w:rPr>
            </w:pPr>
            <w:r>
              <w:rPr>
                <w:b/>
                <w:bCs/>
                <w:sz w:val="24"/>
              </w:rPr>
              <w:t xml:space="preserve">Element </w:t>
            </w:r>
          </w:p>
        </w:tc>
        <w:tc>
          <w:tcPr>
            <w:tcW w:w="2130" w:type="dxa"/>
            <w:tcBorders>
              <w:top w:val="single" w:color="auto" w:sz="12" w:space="0"/>
              <w:bottom w:val="single" w:color="auto" w:sz="12" w:space="0"/>
            </w:tcBorders>
          </w:tcPr>
          <w:p w14:paraId="5119B97E">
            <w:pPr>
              <w:spacing w:line="360" w:lineRule="auto"/>
              <w:jc w:val="center"/>
              <w:rPr>
                <w:b/>
                <w:bCs/>
                <w:sz w:val="24"/>
              </w:rPr>
            </w:pPr>
            <w:r>
              <w:rPr>
                <w:rFonts w:hint="eastAsia"/>
                <w:b/>
                <w:bCs/>
                <w:sz w:val="24"/>
              </w:rPr>
              <w:t>Mass</w:t>
            </w:r>
            <w:r>
              <w:rPr>
                <w:b/>
                <w:bCs/>
                <w:sz w:val="24"/>
              </w:rPr>
              <w:t xml:space="preserve"> %</w:t>
            </w:r>
          </w:p>
        </w:tc>
        <w:tc>
          <w:tcPr>
            <w:tcW w:w="2130" w:type="dxa"/>
            <w:tcBorders>
              <w:top w:val="single" w:color="auto" w:sz="12" w:space="0"/>
              <w:bottom w:val="single" w:color="auto" w:sz="12" w:space="0"/>
            </w:tcBorders>
          </w:tcPr>
          <w:p w14:paraId="62EDE572">
            <w:pPr>
              <w:spacing w:line="360" w:lineRule="auto"/>
              <w:jc w:val="center"/>
              <w:rPr>
                <w:b/>
                <w:bCs/>
                <w:sz w:val="24"/>
              </w:rPr>
            </w:pPr>
            <w:r>
              <w:rPr>
                <w:b/>
                <w:bCs/>
                <w:sz w:val="24"/>
              </w:rPr>
              <w:t>Atomic %</w:t>
            </w:r>
          </w:p>
        </w:tc>
      </w:tr>
      <w:bookmarkEnd w:id="40"/>
      <w:tr w14:paraId="04A28BAD">
        <w:tblPrEx>
          <w:tblCellMar>
            <w:top w:w="0" w:type="dxa"/>
            <w:left w:w="108" w:type="dxa"/>
            <w:bottom w:w="0" w:type="dxa"/>
            <w:right w:w="108" w:type="dxa"/>
          </w:tblCellMar>
        </w:tblPrEx>
        <w:tc>
          <w:tcPr>
            <w:tcW w:w="2130" w:type="dxa"/>
            <w:vMerge w:val="restart"/>
            <w:tcBorders>
              <w:top w:val="single" w:color="auto" w:sz="12" w:space="0"/>
            </w:tcBorders>
          </w:tcPr>
          <w:p w14:paraId="1471BF70">
            <w:pPr>
              <w:spacing w:line="360" w:lineRule="auto"/>
              <w:jc w:val="center"/>
              <w:rPr>
                <w:sz w:val="24"/>
              </w:rPr>
            </w:pPr>
            <w:bookmarkStart w:id="42" w:name="_Hlk218090804"/>
          </w:p>
          <w:p w14:paraId="6AC9E874">
            <w:pPr>
              <w:spacing w:line="360" w:lineRule="auto"/>
              <w:jc w:val="center"/>
              <w:rPr>
                <w:sz w:val="24"/>
              </w:rPr>
            </w:pPr>
            <w:r>
              <w:rPr>
                <w:sz w:val="24"/>
              </w:rPr>
              <w:t>LMO</w:t>
            </w:r>
          </w:p>
        </w:tc>
        <w:tc>
          <w:tcPr>
            <w:tcW w:w="2130" w:type="dxa"/>
            <w:tcBorders>
              <w:top w:val="single" w:color="auto" w:sz="12" w:space="0"/>
            </w:tcBorders>
          </w:tcPr>
          <w:p w14:paraId="5EE78FE4">
            <w:pPr>
              <w:spacing w:line="360" w:lineRule="auto"/>
              <w:jc w:val="center"/>
              <w:rPr>
                <w:sz w:val="24"/>
              </w:rPr>
            </w:pPr>
            <w:r>
              <w:rPr>
                <w:rFonts w:hint="eastAsia"/>
                <w:sz w:val="24"/>
              </w:rPr>
              <w:t>Zr</w:t>
            </w:r>
          </w:p>
        </w:tc>
        <w:tc>
          <w:tcPr>
            <w:tcW w:w="2130" w:type="dxa"/>
            <w:tcBorders>
              <w:top w:val="single" w:color="auto" w:sz="12" w:space="0"/>
            </w:tcBorders>
          </w:tcPr>
          <w:p w14:paraId="74881171">
            <w:pPr>
              <w:spacing w:line="360" w:lineRule="auto"/>
              <w:jc w:val="center"/>
              <w:rPr>
                <w:sz w:val="24"/>
              </w:rPr>
            </w:pPr>
          </w:p>
        </w:tc>
        <w:tc>
          <w:tcPr>
            <w:tcW w:w="2130" w:type="dxa"/>
            <w:tcBorders>
              <w:top w:val="single" w:color="auto" w:sz="12" w:space="0"/>
            </w:tcBorders>
          </w:tcPr>
          <w:p w14:paraId="2312004F">
            <w:pPr>
              <w:spacing w:line="360" w:lineRule="auto"/>
              <w:jc w:val="center"/>
              <w:rPr>
                <w:sz w:val="24"/>
              </w:rPr>
            </w:pPr>
          </w:p>
        </w:tc>
      </w:tr>
      <w:tr w14:paraId="732890AE">
        <w:tblPrEx>
          <w:tblCellMar>
            <w:top w:w="0" w:type="dxa"/>
            <w:left w:w="108" w:type="dxa"/>
            <w:bottom w:w="0" w:type="dxa"/>
            <w:right w:w="108" w:type="dxa"/>
          </w:tblCellMar>
        </w:tblPrEx>
        <w:tc>
          <w:tcPr>
            <w:tcW w:w="2130" w:type="dxa"/>
            <w:vMerge w:val="continue"/>
          </w:tcPr>
          <w:p w14:paraId="6AD52F6E">
            <w:pPr>
              <w:spacing w:line="360" w:lineRule="auto"/>
              <w:jc w:val="center"/>
              <w:rPr>
                <w:sz w:val="24"/>
              </w:rPr>
            </w:pPr>
          </w:p>
        </w:tc>
        <w:tc>
          <w:tcPr>
            <w:tcW w:w="2130" w:type="dxa"/>
          </w:tcPr>
          <w:p w14:paraId="0F898906">
            <w:pPr>
              <w:spacing w:line="360" w:lineRule="auto"/>
              <w:jc w:val="center"/>
              <w:rPr>
                <w:sz w:val="24"/>
              </w:rPr>
            </w:pPr>
            <w:r>
              <w:rPr>
                <w:sz w:val="24"/>
              </w:rPr>
              <w:t>Mn</w:t>
            </w:r>
          </w:p>
        </w:tc>
        <w:tc>
          <w:tcPr>
            <w:tcW w:w="2130" w:type="dxa"/>
          </w:tcPr>
          <w:p w14:paraId="2A5A5A9C">
            <w:pPr>
              <w:spacing w:line="360" w:lineRule="auto"/>
              <w:jc w:val="center"/>
              <w:rPr>
                <w:sz w:val="24"/>
              </w:rPr>
            </w:pPr>
            <w:r>
              <w:rPr>
                <w:rFonts w:hint="eastAsia"/>
                <w:sz w:val="24"/>
              </w:rPr>
              <w:t>50.66</w:t>
            </w:r>
          </w:p>
        </w:tc>
        <w:tc>
          <w:tcPr>
            <w:tcW w:w="2130" w:type="dxa"/>
          </w:tcPr>
          <w:p w14:paraId="6752EBAF">
            <w:pPr>
              <w:spacing w:line="360" w:lineRule="auto"/>
              <w:jc w:val="center"/>
              <w:rPr>
                <w:sz w:val="24"/>
              </w:rPr>
            </w:pPr>
            <w:bookmarkStart w:id="62" w:name="_GoBack"/>
            <w:r>
              <w:rPr>
                <w:rFonts w:hint="eastAsia"/>
                <w:sz w:val="24"/>
              </w:rPr>
              <w:t>23.02</w:t>
            </w:r>
            <w:bookmarkEnd w:id="62"/>
          </w:p>
        </w:tc>
      </w:tr>
      <w:tr w14:paraId="122059A4">
        <w:tblPrEx>
          <w:tblCellMar>
            <w:top w:w="0" w:type="dxa"/>
            <w:left w:w="108" w:type="dxa"/>
            <w:bottom w:w="0" w:type="dxa"/>
            <w:right w:w="108" w:type="dxa"/>
          </w:tblCellMar>
        </w:tblPrEx>
        <w:tc>
          <w:tcPr>
            <w:tcW w:w="2130" w:type="dxa"/>
            <w:vMerge w:val="continue"/>
            <w:tcBorders>
              <w:bottom w:val="single" w:color="auto" w:sz="12" w:space="0"/>
            </w:tcBorders>
          </w:tcPr>
          <w:p w14:paraId="764369EE">
            <w:pPr>
              <w:spacing w:line="360" w:lineRule="auto"/>
              <w:jc w:val="center"/>
              <w:rPr>
                <w:sz w:val="24"/>
              </w:rPr>
            </w:pPr>
          </w:p>
        </w:tc>
        <w:tc>
          <w:tcPr>
            <w:tcW w:w="2130" w:type="dxa"/>
            <w:tcBorders>
              <w:bottom w:val="single" w:color="auto" w:sz="12" w:space="0"/>
            </w:tcBorders>
          </w:tcPr>
          <w:p w14:paraId="1343C015">
            <w:pPr>
              <w:spacing w:line="360" w:lineRule="auto"/>
              <w:jc w:val="center"/>
              <w:rPr>
                <w:sz w:val="24"/>
              </w:rPr>
            </w:pPr>
            <w:r>
              <w:rPr>
                <w:sz w:val="24"/>
              </w:rPr>
              <w:t>O</w:t>
            </w:r>
          </w:p>
        </w:tc>
        <w:tc>
          <w:tcPr>
            <w:tcW w:w="2130" w:type="dxa"/>
            <w:tcBorders>
              <w:bottom w:val="single" w:color="auto" w:sz="12" w:space="0"/>
            </w:tcBorders>
          </w:tcPr>
          <w:p w14:paraId="292C9968">
            <w:pPr>
              <w:spacing w:line="360" w:lineRule="auto"/>
              <w:jc w:val="center"/>
              <w:rPr>
                <w:sz w:val="24"/>
              </w:rPr>
            </w:pPr>
            <w:r>
              <w:rPr>
                <w:rFonts w:hint="eastAsia"/>
                <w:sz w:val="24"/>
              </w:rPr>
              <w:t>49.34</w:t>
            </w:r>
          </w:p>
        </w:tc>
        <w:tc>
          <w:tcPr>
            <w:tcW w:w="2130" w:type="dxa"/>
            <w:tcBorders>
              <w:bottom w:val="single" w:color="auto" w:sz="12" w:space="0"/>
            </w:tcBorders>
          </w:tcPr>
          <w:p w14:paraId="2F05F1F7">
            <w:pPr>
              <w:spacing w:line="360" w:lineRule="auto"/>
              <w:jc w:val="center"/>
              <w:rPr>
                <w:sz w:val="24"/>
              </w:rPr>
            </w:pPr>
            <w:r>
              <w:rPr>
                <w:rFonts w:hint="eastAsia"/>
                <w:sz w:val="24"/>
              </w:rPr>
              <w:t>76.95</w:t>
            </w:r>
          </w:p>
        </w:tc>
      </w:tr>
      <w:bookmarkEnd w:id="41"/>
      <w:bookmarkEnd w:id="42"/>
      <w:tr w14:paraId="5BDB3618">
        <w:tblPrEx>
          <w:tblCellMar>
            <w:top w:w="0" w:type="dxa"/>
            <w:left w:w="108" w:type="dxa"/>
            <w:bottom w:w="0" w:type="dxa"/>
            <w:right w:w="108" w:type="dxa"/>
          </w:tblCellMar>
        </w:tblPrEx>
        <w:tc>
          <w:tcPr>
            <w:tcW w:w="2130" w:type="dxa"/>
            <w:vMerge w:val="restart"/>
            <w:tcBorders>
              <w:top w:val="single" w:color="auto" w:sz="12" w:space="0"/>
            </w:tcBorders>
          </w:tcPr>
          <w:p w14:paraId="7E1B91EF">
            <w:pPr>
              <w:spacing w:line="360" w:lineRule="auto"/>
              <w:jc w:val="center"/>
              <w:rPr>
                <w:sz w:val="24"/>
              </w:rPr>
            </w:pPr>
          </w:p>
          <w:p w14:paraId="02BA8839">
            <w:pPr>
              <w:spacing w:line="360" w:lineRule="auto"/>
              <w:jc w:val="center"/>
              <w:rPr>
                <w:sz w:val="24"/>
              </w:rPr>
            </w:pPr>
            <w:r>
              <w:rPr>
                <w:sz w:val="24"/>
              </w:rPr>
              <w:t>L</w:t>
            </w:r>
            <w:r>
              <w:rPr>
                <w:rFonts w:hint="eastAsia"/>
                <w:sz w:val="24"/>
              </w:rPr>
              <w:t>Z</w:t>
            </w:r>
            <w:r>
              <w:rPr>
                <w:sz w:val="24"/>
              </w:rPr>
              <w:t>MO-0.0</w:t>
            </w:r>
            <w:r>
              <w:rPr>
                <w:rFonts w:hint="eastAsia"/>
                <w:sz w:val="24"/>
              </w:rPr>
              <w:t>3</w:t>
            </w:r>
          </w:p>
        </w:tc>
        <w:tc>
          <w:tcPr>
            <w:tcW w:w="2130" w:type="dxa"/>
            <w:tcBorders>
              <w:top w:val="single" w:color="auto" w:sz="12" w:space="0"/>
            </w:tcBorders>
          </w:tcPr>
          <w:p w14:paraId="490892B4">
            <w:pPr>
              <w:spacing w:line="360" w:lineRule="auto"/>
              <w:jc w:val="center"/>
              <w:rPr>
                <w:sz w:val="24"/>
              </w:rPr>
            </w:pPr>
            <w:r>
              <w:rPr>
                <w:rFonts w:hint="eastAsia"/>
                <w:sz w:val="24"/>
              </w:rPr>
              <w:t>Zr</w:t>
            </w:r>
          </w:p>
        </w:tc>
        <w:tc>
          <w:tcPr>
            <w:tcW w:w="2130" w:type="dxa"/>
            <w:tcBorders>
              <w:top w:val="single" w:color="auto" w:sz="12" w:space="0"/>
            </w:tcBorders>
          </w:tcPr>
          <w:p w14:paraId="68F0CC5F">
            <w:pPr>
              <w:spacing w:line="360" w:lineRule="auto"/>
              <w:jc w:val="center"/>
              <w:rPr>
                <w:sz w:val="24"/>
              </w:rPr>
            </w:pPr>
            <w:r>
              <w:rPr>
                <w:sz w:val="24"/>
              </w:rPr>
              <w:t>0.04</w:t>
            </w:r>
          </w:p>
        </w:tc>
        <w:tc>
          <w:tcPr>
            <w:tcW w:w="2130" w:type="dxa"/>
            <w:tcBorders>
              <w:top w:val="single" w:color="auto" w:sz="12" w:space="0"/>
            </w:tcBorders>
          </w:tcPr>
          <w:p w14:paraId="78DD4634">
            <w:pPr>
              <w:spacing w:line="360" w:lineRule="auto"/>
              <w:jc w:val="center"/>
              <w:rPr>
                <w:sz w:val="24"/>
              </w:rPr>
            </w:pPr>
            <w:r>
              <w:rPr>
                <w:sz w:val="24"/>
              </w:rPr>
              <w:t>0.12</w:t>
            </w:r>
          </w:p>
        </w:tc>
      </w:tr>
      <w:tr w14:paraId="0233D357">
        <w:tblPrEx>
          <w:tblCellMar>
            <w:top w:w="0" w:type="dxa"/>
            <w:left w:w="108" w:type="dxa"/>
            <w:bottom w:w="0" w:type="dxa"/>
            <w:right w:w="108" w:type="dxa"/>
          </w:tblCellMar>
        </w:tblPrEx>
        <w:tc>
          <w:tcPr>
            <w:tcW w:w="2130" w:type="dxa"/>
            <w:vMerge w:val="continue"/>
          </w:tcPr>
          <w:p w14:paraId="03B724A4">
            <w:pPr>
              <w:spacing w:line="360" w:lineRule="auto"/>
              <w:jc w:val="center"/>
              <w:rPr>
                <w:sz w:val="24"/>
              </w:rPr>
            </w:pPr>
          </w:p>
        </w:tc>
        <w:tc>
          <w:tcPr>
            <w:tcW w:w="2130" w:type="dxa"/>
          </w:tcPr>
          <w:p w14:paraId="24056CF7">
            <w:pPr>
              <w:spacing w:line="360" w:lineRule="auto"/>
              <w:jc w:val="center"/>
              <w:rPr>
                <w:sz w:val="24"/>
              </w:rPr>
            </w:pPr>
            <w:r>
              <w:rPr>
                <w:sz w:val="24"/>
              </w:rPr>
              <w:t>Mn</w:t>
            </w:r>
          </w:p>
        </w:tc>
        <w:tc>
          <w:tcPr>
            <w:tcW w:w="2130" w:type="dxa"/>
          </w:tcPr>
          <w:p w14:paraId="7F31FAD8">
            <w:pPr>
              <w:spacing w:line="360" w:lineRule="auto"/>
              <w:jc w:val="center"/>
              <w:rPr>
                <w:sz w:val="24"/>
              </w:rPr>
            </w:pPr>
            <w:r>
              <w:rPr>
                <w:sz w:val="24"/>
              </w:rPr>
              <w:t>66.44</w:t>
            </w:r>
          </w:p>
        </w:tc>
        <w:tc>
          <w:tcPr>
            <w:tcW w:w="2130" w:type="dxa"/>
          </w:tcPr>
          <w:p w14:paraId="3B713CBC">
            <w:pPr>
              <w:spacing w:line="360" w:lineRule="auto"/>
              <w:jc w:val="center"/>
              <w:rPr>
                <w:sz w:val="24"/>
              </w:rPr>
            </w:pPr>
            <w:r>
              <w:rPr>
                <w:sz w:val="24"/>
              </w:rPr>
              <w:t>36.48</w:t>
            </w:r>
          </w:p>
        </w:tc>
      </w:tr>
      <w:tr w14:paraId="71465E57">
        <w:tblPrEx>
          <w:tblCellMar>
            <w:top w:w="0" w:type="dxa"/>
            <w:left w:w="108" w:type="dxa"/>
            <w:bottom w:w="0" w:type="dxa"/>
            <w:right w:w="108" w:type="dxa"/>
          </w:tblCellMar>
        </w:tblPrEx>
        <w:tc>
          <w:tcPr>
            <w:tcW w:w="2130" w:type="dxa"/>
            <w:vMerge w:val="continue"/>
            <w:tcBorders>
              <w:bottom w:val="single" w:color="auto" w:sz="12" w:space="0"/>
            </w:tcBorders>
          </w:tcPr>
          <w:p w14:paraId="193F5852">
            <w:pPr>
              <w:spacing w:line="360" w:lineRule="auto"/>
              <w:jc w:val="center"/>
              <w:rPr>
                <w:sz w:val="24"/>
              </w:rPr>
            </w:pPr>
          </w:p>
        </w:tc>
        <w:tc>
          <w:tcPr>
            <w:tcW w:w="2130" w:type="dxa"/>
            <w:tcBorders>
              <w:bottom w:val="single" w:color="auto" w:sz="12" w:space="0"/>
            </w:tcBorders>
          </w:tcPr>
          <w:p w14:paraId="2E2BFF9C">
            <w:pPr>
              <w:spacing w:line="360" w:lineRule="auto"/>
              <w:jc w:val="center"/>
              <w:rPr>
                <w:sz w:val="24"/>
              </w:rPr>
            </w:pPr>
            <w:r>
              <w:rPr>
                <w:sz w:val="24"/>
              </w:rPr>
              <w:t>O</w:t>
            </w:r>
          </w:p>
        </w:tc>
        <w:tc>
          <w:tcPr>
            <w:tcW w:w="2130" w:type="dxa"/>
            <w:tcBorders>
              <w:bottom w:val="single" w:color="auto" w:sz="12" w:space="0"/>
            </w:tcBorders>
          </w:tcPr>
          <w:p w14:paraId="68F9C887">
            <w:pPr>
              <w:spacing w:line="360" w:lineRule="auto"/>
              <w:jc w:val="center"/>
              <w:rPr>
                <w:sz w:val="24"/>
              </w:rPr>
            </w:pPr>
            <w:r>
              <w:rPr>
                <w:sz w:val="24"/>
              </w:rPr>
              <w:t>33.52</w:t>
            </w:r>
          </w:p>
        </w:tc>
        <w:tc>
          <w:tcPr>
            <w:tcW w:w="2130" w:type="dxa"/>
            <w:tcBorders>
              <w:bottom w:val="single" w:color="auto" w:sz="12" w:space="0"/>
            </w:tcBorders>
          </w:tcPr>
          <w:p w14:paraId="518EE079">
            <w:pPr>
              <w:spacing w:line="360" w:lineRule="auto"/>
              <w:jc w:val="center"/>
              <w:rPr>
                <w:sz w:val="24"/>
              </w:rPr>
            </w:pPr>
            <w:r>
              <w:rPr>
                <w:sz w:val="24"/>
              </w:rPr>
              <w:t>63.40</w:t>
            </w:r>
          </w:p>
        </w:tc>
      </w:tr>
    </w:tbl>
    <w:p w14:paraId="339E2E63">
      <w:pPr>
        <w:spacing w:before="240" w:after="240" w:line="360" w:lineRule="auto"/>
        <w:jc w:val="center"/>
        <w:rPr>
          <w:sz w:val="24"/>
        </w:rPr>
      </w:pPr>
      <w:bookmarkStart w:id="43" w:name="_Hlk164174542"/>
      <w:bookmarkEnd w:id="43"/>
      <w:r>
        <w:rPr>
          <w:b/>
          <w:bCs/>
          <w:sz w:val="24"/>
        </w:rPr>
        <w:t>Table S</w:t>
      </w:r>
      <w:r>
        <w:rPr>
          <w:rFonts w:hint="eastAsia"/>
          <w:b/>
          <w:bCs/>
          <w:sz w:val="24"/>
        </w:rPr>
        <w:t>2.</w:t>
      </w:r>
      <w:r>
        <w:rPr>
          <w:sz w:val="24"/>
        </w:rPr>
        <w:t xml:space="preserve"> DFT calculations of lattice parameters of different model</w:t>
      </w:r>
      <w:r>
        <w:rPr>
          <w:rFonts w:hint="eastAsia"/>
          <w:sz w:val="24"/>
        </w:rPr>
        <w:t>s.</w:t>
      </w:r>
    </w:p>
    <w:tbl>
      <w:tblPr>
        <w:tblStyle w:val="11"/>
        <w:tblW w:w="5000" w:type="pct"/>
        <w:tblInd w:w="0" w:type="dxa"/>
        <w:tblLayout w:type="autofit"/>
        <w:tblCellMar>
          <w:top w:w="0" w:type="dxa"/>
          <w:left w:w="108" w:type="dxa"/>
          <w:bottom w:w="0" w:type="dxa"/>
          <w:right w:w="108" w:type="dxa"/>
        </w:tblCellMar>
      </w:tblPr>
      <w:tblGrid>
        <w:gridCol w:w="4799"/>
        <w:gridCol w:w="1169"/>
        <w:gridCol w:w="1169"/>
        <w:gridCol w:w="1169"/>
      </w:tblGrid>
      <w:tr w14:paraId="0005446C">
        <w:tblPrEx>
          <w:tblCellMar>
            <w:top w:w="0" w:type="dxa"/>
            <w:left w:w="108" w:type="dxa"/>
            <w:bottom w:w="0" w:type="dxa"/>
            <w:right w:w="108" w:type="dxa"/>
          </w:tblCellMar>
        </w:tblPrEx>
        <w:trPr>
          <w:trHeight w:val="482" w:hRule="atLeast"/>
        </w:trPr>
        <w:tc>
          <w:tcPr>
            <w:tcW w:w="2889" w:type="pct"/>
            <w:tcBorders>
              <w:top w:val="single" w:color="auto" w:sz="12" w:space="0"/>
              <w:bottom w:val="single" w:color="auto" w:sz="12" w:space="0"/>
            </w:tcBorders>
          </w:tcPr>
          <w:p w14:paraId="56664C54">
            <w:pPr>
              <w:spacing w:line="360" w:lineRule="auto"/>
              <w:jc w:val="center"/>
              <w:rPr>
                <w:b/>
                <w:bCs/>
                <w:sz w:val="24"/>
              </w:rPr>
            </w:pPr>
            <w:bookmarkStart w:id="44" w:name="OLE_LINK81"/>
            <w:bookmarkStart w:id="45" w:name="OLE_LINK78"/>
            <w:r>
              <w:rPr>
                <w:b/>
                <w:bCs/>
                <w:sz w:val="24"/>
              </w:rPr>
              <w:t>Bulk</w:t>
            </w:r>
          </w:p>
        </w:tc>
        <w:tc>
          <w:tcPr>
            <w:tcW w:w="704" w:type="pct"/>
            <w:tcBorders>
              <w:top w:val="single" w:color="auto" w:sz="12" w:space="0"/>
              <w:bottom w:val="single" w:color="auto" w:sz="12" w:space="0"/>
            </w:tcBorders>
          </w:tcPr>
          <w:p w14:paraId="2D8B0D7B">
            <w:pPr>
              <w:spacing w:line="360" w:lineRule="auto"/>
              <w:jc w:val="center"/>
              <w:rPr>
                <w:b/>
                <w:bCs/>
                <w:sz w:val="24"/>
              </w:rPr>
            </w:pPr>
            <w:r>
              <w:rPr>
                <w:rFonts w:hint="eastAsia"/>
                <w:b/>
                <w:bCs/>
                <w:sz w:val="24"/>
              </w:rPr>
              <w:t xml:space="preserve">a </w:t>
            </w:r>
          </w:p>
        </w:tc>
        <w:tc>
          <w:tcPr>
            <w:tcW w:w="704" w:type="pct"/>
            <w:tcBorders>
              <w:top w:val="single" w:color="auto" w:sz="12" w:space="0"/>
              <w:bottom w:val="single" w:color="auto" w:sz="12" w:space="0"/>
            </w:tcBorders>
          </w:tcPr>
          <w:p w14:paraId="4A90EECA">
            <w:pPr>
              <w:spacing w:line="360" w:lineRule="auto"/>
              <w:jc w:val="center"/>
              <w:rPr>
                <w:b/>
                <w:bCs/>
                <w:sz w:val="24"/>
              </w:rPr>
            </w:pPr>
            <w:r>
              <w:rPr>
                <w:rFonts w:hint="eastAsia"/>
                <w:b/>
                <w:bCs/>
                <w:sz w:val="24"/>
              </w:rPr>
              <w:t>b</w:t>
            </w:r>
          </w:p>
        </w:tc>
        <w:tc>
          <w:tcPr>
            <w:tcW w:w="703" w:type="pct"/>
            <w:tcBorders>
              <w:top w:val="single" w:color="auto" w:sz="12" w:space="0"/>
              <w:bottom w:val="single" w:color="auto" w:sz="12" w:space="0"/>
            </w:tcBorders>
          </w:tcPr>
          <w:p w14:paraId="3525A3AF">
            <w:pPr>
              <w:spacing w:line="360" w:lineRule="auto"/>
              <w:jc w:val="center"/>
              <w:rPr>
                <w:b/>
                <w:bCs/>
                <w:sz w:val="24"/>
              </w:rPr>
            </w:pPr>
            <w:r>
              <w:rPr>
                <w:rFonts w:hint="eastAsia"/>
                <w:b/>
                <w:bCs/>
                <w:sz w:val="24"/>
              </w:rPr>
              <w:t>c</w:t>
            </w:r>
          </w:p>
        </w:tc>
      </w:tr>
      <w:bookmarkEnd w:id="44"/>
      <w:tr w14:paraId="53E14E65">
        <w:tblPrEx>
          <w:tblCellMar>
            <w:top w:w="0" w:type="dxa"/>
            <w:left w:w="108" w:type="dxa"/>
            <w:bottom w:w="0" w:type="dxa"/>
            <w:right w:w="108" w:type="dxa"/>
          </w:tblCellMar>
        </w:tblPrEx>
        <w:trPr>
          <w:trHeight w:val="482" w:hRule="atLeast"/>
        </w:trPr>
        <w:tc>
          <w:tcPr>
            <w:tcW w:w="2889" w:type="pct"/>
            <w:tcBorders>
              <w:top w:val="single" w:color="auto" w:sz="12" w:space="0"/>
            </w:tcBorders>
          </w:tcPr>
          <w:p w14:paraId="651EA086">
            <w:pPr>
              <w:spacing w:line="360" w:lineRule="auto"/>
              <w:jc w:val="center"/>
              <w:rPr>
                <w:sz w:val="24"/>
              </w:rPr>
            </w:pPr>
            <w:bookmarkStart w:id="46" w:name="OLE_LINK80"/>
            <w:r>
              <w:rPr>
                <w:sz w:val="24"/>
              </w:rPr>
              <w:t>LiMn</w:t>
            </w:r>
            <w:r>
              <w:rPr>
                <w:sz w:val="24"/>
                <w:vertAlign w:val="subscript"/>
              </w:rPr>
              <w:t>2</w:t>
            </w:r>
            <w:r>
              <w:rPr>
                <w:sz w:val="24"/>
              </w:rPr>
              <w:t>O</w:t>
            </w:r>
            <w:r>
              <w:rPr>
                <w:sz w:val="24"/>
                <w:vertAlign w:val="subscript"/>
              </w:rPr>
              <w:t>4</w:t>
            </w:r>
            <w:bookmarkEnd w:id="46"/>
            <w:r>
              <w:rPr>
                <w:sz w:val="24"/>
              </w:rPr>
              <w:t>(Li</w:t>
            </w:r>
            <w:r>
              <w:rPr>
                <w:sz w:val="24"/>
                <w:vertAlign w:val="subscript"/>
              </w:rPr>
              <w:t>8</w:t>
            </w:r>
            <w:r>
              <w:rPr>
                <w:sz w:val="24"/>
              </w:rPr>
              <w:t>Mn</w:t>
            </w:r>
            <w:r>
              <w:rPr>
                <w:sz w:val="24"/>
                <w:vertAlign w:val="subscript"/>
              </w:rPr>
              <w:t>16</w:t>
            </w:r>
            <w:r>
              <w:rPr>
                <w:sz w:val="24"/>
              </w:rPr>
              <w:t>O</w:t>
            </w:r>
            <w:r>
              <w:rPr>
                <w:sz w:val="24"/>
                <w:vertAlign w:val="subscript"/>
              </w:rPr>
              <w:t>32</w:t>
            </w:r>
            <w:r>
              <w:rPr>
                <w:rFonts w:hint="eastAsia"/>
                <w:sz w:val="24"/>
              </w:rPr>
              <w:t>)</w:t>
            </w:r>
          </w:p>
        </w:tc>
        <w:tc>
          <w:tcPr>
            <w:tcW w:w="704" w:type="pct"/>
            <w:tcBorders>
              <w:top w:val="single" w:color="auto" w:sz="12" w:space="0"/>
            </w:tcBorders>
          </w:tcPr>
          <w:p w14:paraId="630124D9">
            <w:pPr>
              <w:spacing w:line="360" w:lineRule="auto"/>
              <w:jc w:val="center"/>
              <w:rPr>
                <w:sz w:val="24"/>
              </w:rPr>
            </w:pPr>
            <w:r>
              <w:rPr>
                <w:rFonts w:hint="eastAsia"/>
                <w:sz w:val="24"/>
              </w:rPr>
              <w:t xml:space="preserve">8.15 </w:t>
            </w:r>
            <w:r>
              <w:rPr>
                <w:sz w:val="24"/>
              </w:rPr>
              <w:t>Å</w:t>
            </w:r>
          </w:p>
        </w:tc>
        <w:tc>
          <w:tcPr>
            <w:tcW w:w="704" w:type="pct"/>
            <w:tcBorders>
              <w:top w:val="single" w:color="auto" w:sz="12" w:space="0"/>
            </w:tcBorders>
          </w:tcPr>
          <w:p w14:paraId="3DEF7D50">
            <w:pPr>
              <w:spacing w:line="360" w:lineRule="auto"/>
              <w:jc w:val="center"/>
              <w:rPr>
                <w:sz w:val="24"/>
              </w:rPr>
            </w:pPr>
            <w:r>
              <w:rPr>
                <w:rFonts w:hint="eastAsia"/>
                <w:sz w:val="24"/>
              </w:rPr>
              <w:t xml:space="preserve">8.15 </w:t>
            </w:r>
            <w:r>
              <w:rPr>
                <w:sz w:val="24"/>
              </w:rPr>
              <w:t>Å</w:t>
            </w:r>
          </w:p>
        </w:tc>
        <w:tc>
          <w:tcPr>
            <w:tcW w:w="703" w:type="pct"/>
            <w:tcBorders>
              <w:top w:val="single" w:color="auto" w:sz="12" w:space="0"/>
            </w:tcBorders>
          </w:tcPr>
          <w:p w14:paraId="27A72FCB">
            <w:pPr>
              <w:spacing w:line="360" w:lineRule="auto"/>
              <w:jc w:val="center"/>
              <w:rPr>
                <w:sz w:val="24"/>
              </w:rPr>
            </w:pPr>
            <w:r>
              <w:rPr>
                <w:rFonts w:hint="eastAsia"/>
                <w:sz w:val="24"/>
              </w:rPr>
              <w:t xml:space="preserve">8.70 </w:t>
            </w:r>
            <w:r>
              <w:rPr>
                <w:sz w:val="24"/>
              </w:rPr>
              <w:t>Å</w:t>
            </w:r>
          </w:p>
        </w:tc>
      </w:tr>
      <w:bookmarkEnd w:id="45"/>
      <w:tr w14:paraId="57A9A00F">
        <w:tblPrEx>
          <w:tblCellMar>
            <w:top w:w="0" w:type="dxa"/>
            <w:left w:w="108" w:type="dxa"/>
            <w:bottom w:w="0" w:type="dxa"/>
            <w:right w:w="108" w:type="dxa"/>
          </w:tblCellMar>
        </w:tblPrEx>
        <w:trPr>
          <w:trHeight w:val="482" w:hRule="atLeast"/>
        </w:trPr>
        <w:tc>
          <w:tcPr>
            <w:tcW w:w="2889" w:type="pct"/>
            <w:vAlign w:val="center"/>
          </w:tcPr>
          <w:p w14:paraId="058955C2">
            <w:pPr>
              <w:pStyle w:val="9"/>
              <w:widowControl/>
              <w:spacing w:line="360" w:lineRule="auto"/>
              <w:jc w:val="center"/>
              <w:rPr>
                <w:vertAlign w:val="subscript"/>
              </w:rPr>
            </w:pPr>
            <w:r>
              <w:t>Zr</w:t>
            </w:r>
            <w:r>
              <w:rPr>
                <w:rFonts w:hint="eastAsia"/>
              </w:rPr>
              <w:t xml:space="preserve"> </w:t>
            </w:r>
            <w:r>
              <w:t>(III)-LiMn</w:t>
            </w:r>
            <w:r>
              <w:rPr>
                <w:vertAlign w:val="subscript"/>
              </w:rPr>
              <w:t>2</w:t>
            </w:r>
            <w:r>
              <w:t>O</w:t>
            </w:r>
            <w:r>
              <w:rPr>
                <w:vertAlign w:val="subscript"/>
              </w:rPr>
              <w:t>4</w:t>
            </w:r>
            <w:r>
              <w:t>(Zr</w:t>
            </w:r>
            <w:r>
              <w:rPr>
                <w:vertAlign w:val="subscript"/>
              </w:rPr>
              <w:t>1</w:t>
            </w:r>
            <w:r>
              <w:t>Li</w:t>
            </w:r>
            <w:r>
              <w:rPr>
                <w:vertAlign w:val="subscript"/>
              </w:rPr>
              <w:t>8</w:t>
            </w:r>
            <w:r>
              <w:t>Mn</w:t>
            </w:r>
            <w:r>
              <w:rPr>
                <w:vertAlign w:val="subscript"/>
              </w:rPr>
              <w:t>15</w:t>
            </w:r>
            <w:r>
              <w:t>O</w:t>
            </w:r>
            <w:r>
              <w:rPr>
                <w:vertAlign w:val="subscript"/>
              </w:rPr>
              <w:t>32</w:t>
            </w:r>
            <w:r>
              <w:rPr>
                <w:rFonts w:hint="eastAsia"/>
              </w:rPr>
              <w:t>)</w:t>
            </w:r>
          </w:p>
        </w:tc>
        <w:tc>
          <w:tcPr>
            <w:tcW w:w="704" w:type="pct"/>
          </w:tcPr>
          <w:p w14:paraId="00AB9785">
            <w:pPr>
              <w:spacing w:line="360" w:lineRule="auto"/>
              <w:jc w:val="center"/>
              <w:rPr>
                <w:sz w:val="24"/>
              </w:rPr>
            </w:pPr>
            <w:r>
              <w:rPr>
                <w:rFonts w:hint="eastAsia"/>
                <w:sz w:val="24"/>
              </w:rPr>
              <w:t xml:space="preserve">8.21 </w:t>
            </w:r>
            <w:r>
              <w:rPr>
                <w:sz w:val="24"/>
              </w:rPr>
              <w:t>Å</w:t>
            </w:r>
          </w:p>
        </w:tc>
        <w:tc>
          <w:tcPr>
            <w:tcW w:w="704" w:type="pct"/>
          </w:tcPr>
          <w:p w14:paraId="51E08AF4">
            <w:pPr>
              <w:spacing w:line="360" w:lineRule="auto"/>
              <w:jc w:val="center"/>
              <w:rPr>
                <w:sz w:val="24"/>
              </w:rPr>
            </w:pPr>
            <w:r>
              <w:rPr>
                <w:rFonts w:hint="eastAsia"/>
                <w:sz w:val="24"/>
              </w:rPr>
              <w:t>8.21</w:t>
            </w:r>
          </w:p>
        </w:tc>
        <w:tc>
          <w:tcPr>
            <w:tcW w:w="703" w:type="pct"/>
          </w:tcPr>
          <w:p w14:paraId="2E3F90FA">
            <w:pPr>
              <w:spacing w:line="360" w:lineRule="auto"/>
              <w:jc w:val="center"/>
              <w:rPr>
                <w:sz w:val="24"/>
              </w:rPr>
            </w:pPr>
            <w:r>
              <w:rPr>
                <w:rFonts w:hint="eastAsia"/>
                <w:sz w:val="24"/>
              </w:rPr>
              <w:t xml:space="preserve">8.76 </w:t>
            </w:r>
            <w:r>
              <w:rPr>
                <w:sz w:val="24"/>
              </w:rPr>
              <w:t>Å</w:t>
            </w:r>
          </w:p>
        </w:tc>
      </w:tr>
      <w:tr w14:paraId="700DB635">
        <w:tblPrEx>
          <w:tblCellMar>
            <w:top w:w="0" w:type="dxa"/>
            <w:left w:w="108" w:type="dxa"/>
            <w:bottom w:w="0" w:type="dxa"/>
            <w:right w:w="108" w:type="dxa"/>
          </w:tblCellMar>
        </w:tblPrEx>
        <w:trPr>
          <w:trHeight w:val="482" w:hRule="atLeast"/>
        </w:trPr>
        <w:tc>
          <w:tcPr>
            <w:tcW w:w="2889" w:type="pct"/>
            <w:tcBorders>
              <w:bottom w:val="single" w:color="auto" w:sz="12" w:space="0"/>
            </w:tcBorders>
            <w:vAlign w:val="center"/>
          </w:tcPr>
          <w:p w14:paraId="216E461A">
            <w:pPr>
              <w:pStyle w:val="9"/>
              <w:widowControl/>
              <w:spacing w:line="360" w:lineRule="auto"/>
              <w:jc w:val="center"/>
              <w:rPr>
                <w:vertAlign w:val="subscript"/>
              </w:rPr>
            </w:pPr>
            <w:bookmarkStart w:id="47" w:name="OLE_LINK63"/>
            <w:r>
              <w:t>Zr</w:t>
            </w:r>
            <w:r>
              <w:rPr>
                <w:rFonts w:hint="eastAsia"/>
              </w:rPr>
              <w:t xml:space="preserve"> </w:t>
            </w:r>
            <w:r>
              <w:t>(IV)-LiMn</w:t>
            </w:r>
            <w:r>
              <w:rPr>
                <w:vertAlign w:val="subscript"/>
              </w:rPr>
              <w:t>2</w:t>
            </w:r>
            <w:r>
              <w:t>O</w:t>
            </w:r>
            <w:r>
              <w:rPr>
                <w:vertAlign w:val="subscript"/>
              </w:rPr>
              <w:t>4</w:t>
            </w:r>
            <w:r>
              <w:t>(Zr</w:t>
            </w:r>
            <w:r>
              <w:rPr>
                <w:vertAlign w:val="subscript"/>
              </w:rPr>
              <w:t>1</w:t>
            </w:r>
            <w:r>
              <w:t>Li</w:t>
            </w:r>
            <w:r>
              <w:rPr>
                <w:vertAlign w:val="subscript"/>
              </w:rPr>
              <w:t>8</w:t>
            </w:r>
            <w:r>
              <w:t>Mn</w:t>
            </w:r>
            <w:r>
              <w:rPr>
                <w:vertAlign w:val="subscript"/>
              </w:rPr>
              <w:t>15</w:t>
            </w:r>
            <w:r>
              <w:t>O</w:t>
            </w:r>
            <w:r>
              <w:rPr>
                <w:vertAlign w:val="subscript"/>
              </w:rPr>
              <w:t>32</w:t>
            </w:r>
            <w:bookmarkEnd w:id="47"/>
            <w:r>
              <w:rPr>
                <w:rFonts w:hint="eastAsia"/>
              </w:rPr>
              <w:t>)</w:t>
            </w:r>
          </w:p>
        </w:tc>
        <w:tc>
          <w:tcPr>
            <w:tcW w:w="704" w:type="pct"/>
            <w:tcBorders>
              <w:bottom w:val="single" w:color="auto" w:sz="12" w:space="0"/>
            </w:tcBorders>
          </w:tcPr>
          <w:p w14:paraId="1E842771">
            <w:pPr>
              <w:spacing w:line="360" w:lineRule="auto"/>
              <w:jc w:val="center"/>
              <w:rPr>
                <w:sz w:val="24"/>
              </w:rPr>
            </w:pPr>
            <w:r>
              <w:rPr>
                <w:rFonts w:hint="eastAsia"/>
                <w:sz w:val="24"/>
              </w:rPr>
              <w:t xml:space="preserve">8.21 </w:t>
            </w:r>
            <w:r>
              <w:rPr>
                <w:sz w:val="24"/>
              </w:rPr>
              <w:t>Å</w:t>
            </w:r>
          </w:p>
        </w:tc>
        <w:tc>
          <w:tcPr>
            <w:tcW w:w="704" w:type="pct"/>
            <w:tcBorders>
              <w:bottom w:val="single" w:color="auto" w:sz="12" w:space="0"/>
            </w:tcBorders>
          </w:tcPr>
          <w:p w14:paraId="4EE9E547">
            <w:pPr>
              <w:spacing w:line="360" w:lineRule="auto"/>
              <w:jc w:val="center"/>
              <w:rPr>
                <w:sz w:val="24"/>
              </w:rPr>
            </w:pPr>
            <w:r>
              <w:rPr>
                <w:rFonts w:hint="eastAsia"/>
                <w:sz w:val="24"/>
              </w:rPr>
              <w:t xml:space="preserve">8.19 </w:t>
            </w:r>
            <w:r>
              <w:rPr>
                <w:sz w:val="24"/>
              </w:rPr>
              <w:t>Å</w:t>
            </w:r>
          </w:p>
        </w:tc>
        <w:tc>
          <w:tcPr>
            <w:tcW w:w="703" w:type="pct"/>
            <w:tcBorders>
              <w:bottom w:val="single" w:color="auto" w:sz="12" w:space="0"/>
            </w:tcBorders>
          </w:tcPr>
          <w:p w14:paraId="7E0DBCB7">
            <w:pPr>
              <w:spacing w:line="360" w:lineRule="auto"/>
              <w:jc w:val="center"/>
              <w:rPr>
                <w:sz w:val="24"/>
              </w:rPr>
            </w:pPr>
            <w:r>
              <w:rPr>
                <w:rFonts w:hint="eastAsia"/>
                <w:sz w:val="24"/>
              </w:rPr>
              <w:t xml:space="preserve">8.75 </w:t>
            </w:r>
            <w:r>
              <w:rPr>
                <w:sz w:val="24"/>
              </w:rPr>
              <w:t>Å</w:t>
            </w:r>
          </w:p>
        </w:tc>
      </w:tr>
    </w:tbl>
    <w:p w14:paraId="591407AA">
      <w:pPr>
        <w:spacing w:before="240" w:after="240" w:line="360" w:lineRule="auto"/>
        <w:jc w:val="center"/>
        <w:rPr>
          <w:b/>
          <w:bCs/>
          <w:sz w:val="24"/>
        </w:rPr>
      </w:pPr>
      <w:r>
        <w:rPr>
          <w:b/>
          <w:bCs/>
          <w:sz w:val="24"/>
        </w:rPr>
        <w:t xml:space="preserve">Table </w:t>
      </w:r>
      <w:r>
        <w:rPr>
          <w:rFonts w:hint="eastAsia"/>
          <w:b/>
          <w:bCs/>
          <w:sz w:val="24"/>
        </w:rPr>
        <w:t>S3</w:t>
      </w:r>
      <w:r>
        <w:rPr>
          <w:b/>
          <w:bCs/>
          <w:sz w:val="24"/>
        </w:rPr>
        <w:t xml:space="preserve">. </w:t>
      </w:r>
      <w:r>
        <w:rPr>
          <w:sz w:val="24"/>
        </w:rPr>
        <w:t xml:space="preserve">Bader charge populations of Mn and O sites for bare </w:t>
      </w:r>
      <w:r>
        <w:rPr>
          <w:rFonts w:hint="eastAsia"/>
          <w:sz w:val="24"/>
        </w:rPr>
        <w:t>LMO</w:t>
      </w:r>
      <w:r>
        <w:rPr>
          <w:sz w:val="24"/>
        </w:rPr>
        <w:t xml:space="preserve"> and </w:t>
      </w:r>
      <w:r>
        <w:rPr>
          <w:rFonts w:hint="eastAsia"/>
          <w:sz w:val="24"/>
        </w:rPr>
        <w:t>LZMO</w:t>
      </w:r>
      <w:r>
        <w:rPr>
          <w:sz w:val="24"/>
        </w:rPr>
        <w:t xml:space="preserve"> obtained via DFT calculations.</w:t>
      </w:r>
    </w:p>
    <w:tbl>
      <w:tblPr>
        <w:tblStyle w:val="12"/>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85"/>
        <w:gridCol w:w="2828"/>
        <w:gridCol w:w="3483"/>
      </w:tblGrid>
      <w:tr w14:paraId="1059C5D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Merge w:val="restart"/>
            <w:tcBorders>
              <w:top w:val="single" w:color="auto" w:sz="4" w:space="0"/>
              <w:left w:val="nil"/>
              <w:bottom w:val="single" w:color="auto" w:sz="4" w:space="0"/>
              <w:right w:val="nil"/>
            </w:tcBorders>
            <w:vAlign w:val="center"/>
          </w:tcPr>
          <w:p w14:paraId="7076DAB3">
            <w:pPr>
              <w:spacing w:after="200" w:line="360" w:lineRule="auto"/>
              <w:jc w:val="center"/>
              <w:rPr>
                <w:bCs/>
                <w:sz w:val="24"/>
                <w:szCs w:val="32"/>
              </w:rPr>
            </w:pPr>
            <w:r>
              <w:rPr>
                <w:rFonts w:hint="eastAsia"/>
                <w:bCs/>
                <w:sz w:val="24"/>
                <w:szCs w:val="32"/>
              </w:rPr>
              <w:t>Materials</w:t>
            </w:r>
          </w:p>
        </w:tc>
        <w:tc>
          <w:tcPr>
            <w:tcW w:w="6311" w:type="dxa"/>
            <w:gridSpan w:val="2"/>
            <w:tcBorders>
              <w:top w:val="single" w:color="auto" w:sz="4" w:space="0"/>
              <w:left w:val="nil"/>
              <w:bottom w:val="nil"/>
              <w:right w:val="nil"/>
            </w:tcBorders>
            <w:vAlign w:val="center"/>
          </w:tcPr>
          <w:p w14:paraId="1AB0EBFB">
            <w:pPr>
              <w:spacing w:after="200" w:line="360" w:lineRule="auto"/>
              <w:jc w:val="center"/>
              <w:rPr>
                <w:bCs/>
                <w:sz w:val="24"/>
                <w:szCs w:val="32"/>
              </w:rPr>
            </w:pPr>
            <w:r>
              <w:rPr>
                <w:rFonts w:hint="eastAsia"/>
                <w:bCs/>
                <w:sz w:val="24"/>
                <w:szCs w:val="32"/>
              </w:rPr>
              <w:t>Bader charge</w:t>
            </w:r>
          </w:p>
        </w:tc>
      </w:tr>
      <w:tr w14:paraId="5AD2BBE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Merge w:val="continue"/>
            <w:tcBorders>
              <w:top w:val="single" w:color="auto" w:sz="4" w:space="0"/>
              <w:left w:val="nil"/>
              <w:bottom w:val="single" w:color="auto" w:sz="4" w:space="0"/>
              <w:right w:val="nil"/>
            </w:tcBorders>
            <w:vAlign w:val="center"/>
          </w:tcPr>
          <w:p w14:paraId="5F0791C9">
            <w:pPr>
              <w:spacing w:after="200" w:line="360" w:lineRule="auto"/>
              <w:jc w:val="center"/>
              <w:rPr>
                <w:bCs/>
                <w:sz w:val="24"/>
                <w:szCs w:val="32"/>
              </w:rPr>
            </w:pPr>
          </w:p>
        </w:tc>
        <w:tc>
          <w:tcPr>
            <w:tcW w:w="2828" w:type="dxa"/>
            <w:tcBorders>
              <w:top w:val="nil"/>
              <w:left w:val="nil"/>
              <w:bottom w:val="single" w:color="auto" w:sz="4" w:space="0"/>
              <w:right w:val="nil"/>
            </w:tcBorders>
            <w:vAlign w:val="center"/>
          </w:tcPr>
          <w:p w14:paraId="4070AD34">
            <w:pPr>
              <w:spacing w:after="200" w:line="360" w:lineRule="auto"/>
              <w:jc w:val="center"/>
              <w:rPr>
                <w:bCs/>
                <w:sz w:val="24"/>
                <w:szCs w:val="32"/>
              </w:rPr>
            </w:pPr>
            <w:r>
              <w:rPr>
                <w:rFonts w:hint="eastAsia"/>
                <w:bCs/>
                <w:sz w:val="24"/>
                <w:szCs w:val="32"/>
              </w:rPr>
              <w:t>Mn</w:t>
            </w:r>
          </w:p>
        </w:tc>
        <w:tc>
          <w:tcPr>
            <w:tcW w:w="3483" w:type="dxa"/>
            <w:tcBorders>
              <w:top w:val="nil"/>
              <w:left w:val="nil"/>
              <w:bottom w:val="single" w:color="auto" w:sz="4" w:space="0"/>
              <w:right w:val="nil"/>
            </w:tcBorders>
            <w:vAlign w:val="center"/>
          </w:tcPr>
          <w:p w14:paraId="3DB16DEC">
            <w:pPr>
              <w:spacing w:after="200" w:line="360" w:lineRule="auto"/>
              <w:jc w:val="center"/>
              <w:rPr>
                <w:bCs/>
                <w:sz w:val="24"/>
                <w:szCs w:val="32"/>
              </w:rPr>
            </w:pPr>
            <w:r>
              <w:rPr>
                <w:rFonts w:hint="eastAsia"/>
                <w:bCs/>
                <w:sz w:val="24"/>
                <w:szCs w:val="32"/>
              </w:rPr>
              <w:t>O</w:t>
            </w:r>
          </w:p>
        </w:tc>
      </w:tr>
      <w:tr w14:paraId="16D389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tcBorders>
              <w:top w:val="single" w:color="auto" w:sz="4" w:space="0"/>
              <w:left w:val="nil"/>
              <w:bottom w:val="nil"/>
              <w:right w:val="nil"/>
            </w:tcBorders>
            <w:vAlign w:val="center"/>
          </w:tcPr>
          <w:p w14:paraId="617F0CC4">
            <w:pPr>
              <w:spacing w:after="200" w:line="360" w:lineRule="auto"/>
              <w:jc w:val="center"/>
              <w:rPr>
                <w:bCs/>
                <w:sz w:val="24"/>
                <w:szCs w:val="32"/>
              </w:rPr>
            </w:pPr>
            <w:r>
              <w:rPr>
                <w:rFonts w:hint="eastAsia"/>
                <w:bCs/>
                <w:sz w:val="24"/>
                <w:szCs w:val="32"/>
              </w:rPr>
              <w:t>LiMn</w:t>
            </w:r>
            <w:r>
              <w:rPr>
                <w:rFonts w:hint="eastAsia"/>
                <w:bCs/>
                <w:sz w:val="24"/>
                <w:szCs w:val="32"/>
                <w:vertAlign w:val="subscript"/>
              </w:rPr>
              <w:t>2</w:t>
            </w:r>
            <w:r>
              <w:rPr>
                <w:rFonts w:hint="eastAsia"/>
                <w:bCs/>
                <w:sz w:val="24"/>
                <w:szCs w:val="32"/>
              </w:rPr>
              <w:t>O</w:t>
            </w:r>
            <w:r>
              <w:rPr>
                <w:rFonts w:hint="eastAsia"/>
                <w:bCs/>
                <w:sz w:val="24"/>
                <w:szCs w:val="32"/>
                <w:vertAlign w:val="subscript"/>
              </w:rPr>
              <w:t>4</w:t>
            </w:r>
          </w:p>
        </w:tc>
        <w:tc>
          <w:tcPr>
            <w:tcW w:w="2828" w:type="dxa"/>
            <w:tcBorders>
              <w:top w:val="single" w:color="auto" w:sz="4" w:space="0"/>
              <w:left w:val="nil"/>
              <w:bottom w:val="nil"/>
              <w:right w:val="nil"/>
            </w:tcBorders>
            <w:vAlign w:val="center"/>
          </w:tcPr>
          <w:p w14:paraId="6219AD78">
            <w:pPr>
              <w:spacing w:after="200" w:line="360" w:lineRule="auto"/>
              <w:jc w:val="center"/>
              <w:rPr>
                <w:bCs/>
                <w:sz w:val="24"/>
                <w:szCs w:val="32"/>
              </w:rPr>
            </w:pPr>
            <w:r>
              <w:rPr>
                <w:rFonts w:hint="eastAsia"/>
                <w:bCs/>
                <w:sz w:val="24"/>
                <w:szCs w:val="32"/>
              </w:rPr>
              <w:t>1.727</w:t>
            </w:r>
          </w:p>
        </w:tc>
        <w:tc>
          <w:tcPr>
            <w:tcW w:w="3483" w:type="dxa"/>
            <w:tcBorders>
              <w:top w:val="single" w:color="auto" w:sz="4" w:space="0"/>
              <w:left w:val="nil"/>
              <w:bottom w:val="nil"/>
              <w:right w:val="nil"/>
            </w:tcBorders>
            <w:vAlign w:val="center"/>
          </w:tcPr>
          <w:p w14:paraId="0E20AE83">
            <w:pPr>
              <w:spacing w:after="200" w:line="360" w:lineRule="auto"/>
              <w:jc w:val="center"/>
              <w:rPr>
                <w:bCs/>
                <w:sz w:val="24"/>
                <w:szCs w:val="32"/>
              </w:rPr>
            </w:pPr>
            <w:r>
              <w:rPr>
                <w:rFonts w:hint="eastAsia"/>
                <w:bCs/>
                <w:sz w:val="24"/>
                <w:szCs w:val="32"/>
              </w:rPr>
              <w:t>-1.108</w:t>
            </w:r>
          </w:p>
        </w:tc>
      </w:tr>
      <w:tr w14:paraId="788F38A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tcBorders>
              <w:top w:val="nil"/>
              <w:left w:val="nil"/>
              <w:bottom w:val="single" w:color="auto" w:sz="4" w:space="0"/>
              <w:right w:val="nil"/>
            </w:tcBorders>
            <w:vAlign w:val="center"/>
          </w:tcPr>
          <w:p w14:paraId="4C5CDEEB">
            <w:pPr>
              <w:spacing w:after="200" w:line="360" w:lineRule="auto"/>
              <w:jc w:val="center"/>
              <w:rPr>
                <w:bCs/>
                <w:sz w:val="24"/>
                <w:szCs w:val="32"/>
              </w:rPr>
            </w:pPr>
            <w:r>
              <w:rPr>
                <w:rFonts w:hint="eastAsia"/>
                <w:bCs/>
                <w:sz w:val="24"/>
                <w:szCs w:val="32"/>
              </w:rPr>
              <w:t>Zr-LiMn</w:t>
            </w:r>
            <w:r>
              <w:rPr>
                <w:rFonts w:hint="eastAsia"/>
                <w:bCs/>
                <w:sz w:val="24"/>
                <w:szCs w:val="32"/>
                <w:vertAlign w:val="subscript"/>
              </w:rPr>
              <w:t>2</w:t>
            </w:r>
            <w:r>
              <w:rPr>
                <w:rFonts w:hint="eastAsia"/>
                <w:bCs/>
                <w:sz w:val="24"/>
                <w:szCs w:val="32"/>
              </w:rPr>
              <w:t>O</w:t>
            </w:r>
            <w:r>
              <w:rPr>
                <w:rFonts w:hint="eastAsia"/>
                <w:bCs/>
                <w:sz w:val="24"/>
                <w:szCs w:val="32"/>
                <w:vertAlign w:val="subscript"/>
              </w:rPr>
              <w:t>4</w:t>
            </w:r>
          </w:p>
        </w:tc>
        <w:tc>
          <w:tcPr>
            <w:tcW w:w="2828" w:type="dxa"/>
            <w:tcBorders>
              <w:top w:val="nil"/>
              <w:left w:val="nil"/>
              <w:bottom w:val="single" w:color="auto" w:sz="4" w:space="0"/>
              <w:right w:val="nil"/>
            </w:tcBorders>
            <w:vAlign w:val="center"/>
          </w:tcPr>
          <w:p w14:paraId="21E0ABF9">
            <w:pPr>
              <w:spacing w:after="200" w:line="360" w:lineRule="auto"/>
              <w:jc w:val="center"/>
              <w:rPr>
                <w:bCs/>
                <w:sz w:val="24"/>
                <w:szCs w:val="32"/>
              </w:rPr>
            </w:pPr>
            <w:r>
              <w:rPr>
                <w:rFonts w:hint="eastAsia"/>
                <w:bCs/>
                <w:sz w:val="24"/>
                <w:szCs w:val="32"/>
              </w:rPr>
              <w:t>1.751</w:t>
            </w:r>
          </w:p>
        </w:tc>
        <w:tc>
          <w:tcPr>
            <w:tcW w:w="3483" w:type="dxa"/>
            <w:tcBorders>
              <w:top w:val="nil"/>
              <w:left w:val="nil"/>
              <w:bottom w:val="single" w:color="auto" w:sz="4" w:space="0"/>
              <w:right w:val="nil"/>
            </w:tcBorders>
            <w:vAlign w:val="center"/>
          </w:tcPr>
          <w:p w14:paraId="433237B0">
            <w:pPr>
              <w:spacing w:after="200" w:line="360" w:lineRule="auto"/>
              <w:jc w:val="center"/>
              <w:rPr>
                <w:bCs/>
                <w:sz w:val="24"/>
                <w:szCs w:val="32"/>
              </w:rPr>
            </w:pPr>
            <w:r>
              <w:rPr>
                <w:rFonts w:hint="eastAsia"/>
                <w:bCs/>
                <w:sz w:val="24"/>
                <w:szCs w:val="32"/>
              </w:rPr>
              <w:t>-1.122</w:t>
            </w:r>
          </w:p>
        </w:tc>
      </w:tr>
    </w:tbl>
    <w:p w14:paraId="62026A95">
      <w:pPr>
        <w:spacing w:before="240" w:after="240" w:line="360" w:lineRule="auto"/>
        <w:rPr>
          <w:b/>
          <w:bCs/>
          <w:sz w:val="24"/>
        </w:rPr>
      </w:pPr>
    </w:p>
    <w:p w14:paraId="11BFC5C6">
      <w:pPr>
        <w:spacing w:before="240" w:after="240" w:line="360" w:lineRule="auto"/>
        <w:jc w:val="center"/>
        <w:rPr>
          <w:sz w:val="24"/>
        </w:rPr>
      </w:pPr>
      <w:r>
        <w:rPr>
          <w:b/>
          <w:bCs/>
          <w:sz w:val="24"/>
        </w:rPr>
        <w:t>Table S</w:t>
      </w:r>
      <w:r>
        <w:rPr>
          <w:rFonts w:hint="eastAsia"/>
          <w:b/>
          <w:bCs/>
          <w:sz w:val="24"/>
        </w:rPr>
        <w:t>4.</w:t>
      </w:r>
      <w:r>
        <w:rPr>
          <w:sz w:val="24"/>
        </w:rPr>
        <w:t xml:space="preserve"> Content of each element measured by XPS</w:t>
      </w:r>
      <w:r>
        <w:rPr>
          <w:rFonts w:hint="eastAsia"/>
          <w:sz w:val="24"/>
        </w:rPr>
        <w:t>.</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2765"/>
        <w:gridCol w:w="2765"/>
      </w:tblGrid>
      <w:tr w14:paraId="0174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Borders>
              <w:top w:val="single" w:color="auto" w:sz="12" w:space="0"/>
              <w:left w:val="nil"/>
              <w:bottom w:val="single" w:color="000000" w:sz="12" w:space="0"/>
              <w:right w:val="nil"/>
            </w:tcBorders>
            <w:vAlign w:val="center"/>
          </w:tcPr>
          <w:p w14:paraId="05130923">
            <w:pPr>
              <w:spacing w:line="360" w:lineRule="auto"/>
              <w:jc w:val="center"/>
              <w:rPr>
                <w:rFonts w:eastAsia="MS Mincho"/>
                <w:b/>
                <w:bCs/>
                <w:sz w:val="24"/>
                <w:lang w:eastAsia="ja-JP"/>
              </w:rPr>
            </w:pPr>
            <w:r>
              <w:rPr>
                <w:b/>
                <w:bCs/>
                <w:sz w:val="24"/>
              </w:rPr>
              <w:t>Material</w:t>
            </w:r>
          </w:p>
        </w:tc>
        <w:tc>
          <w:tcPr>
            <w:tcW w:w="1667" w:type="pct"/>
            <w:tcBorders>
              <w:top w:val="single" w:color="auto" w:sz="12" w:space="0"/>
              <w:left w:val="nil"/>
              <w:bottom w:val="single" w:color="auto" w:sz="12" w:space="0"/>
              <w:right w:val="nil"/>
            </w:tcBorders>
          </w:tcPr>
          <w:p w14:paraId="46522CC7">
            <w:pPr>
              <w:spacing w:line="360" w:lineRule="auto"/>
              <w:jc w:val="center"/>
              <w:rPr>
                <w:b/>
                <w:bCs/>
                <w:sz w:val="24"/>
              </w:rPr>
            </w:pPr>
            <w:r>
              <w:rPr>
                <w:b/>
                <w:bCs/>
                <w:sz w:val="24"/>
              </w:rPr>
              <w:t xml:space="preserve">Name </w:t>
            </w:r>
          </w:p>
        </w:tc>
        <w:tc>
          <w:tcPr>
            <w:tcW w:w="1667" w:type="pct"/>
            <w:tcBorders>
              <w:top w:val="single" w:color="auto" w:sz="12" w:space="0"/>
              <w:left w:val="nil"/>
              <w:bottom w:val="single" w:color="auto" w:sz="12" w:space="0"/>
              <w:right w:val="nil"/>
            </w:tcBorders>
          </w:tcPr>
          <w:p w14:paraId="598C9673">
            <w:pPr>
              <w:spacing w:line="360" w:lineRule="auto"/>
              <w:jc w:val="center"/>
              <w:rPr>
                <w:b/>
                <w:bCs/>
                <w:sz w:val="24"/>
              </w:rPr>
            </w:pPr>
            <w:r>
              <w:rPr>
                <w:b/>
                <w:bCs/>
                <w:sz w:val="24"/>
              </w:rPr>
              <w:t>Atomic %</w:t>
            </w:r>
          </w:p>
        </w:tc>
      </w:tr>
      <w:tr w14:paraId="3C9D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restart"/>
            <w:tcBorders>
              <w:top w:val="single" w:color="000000" w:sz="12" w:space="0"/>
              <w:left w:val="nil"/>
              <w:bottom w:val="single" w:color="000000" w:sz="12" w:space="0"/>
              <w:right w:val="nil"/>
            </w:tcBorders>
            <w:vAlign w:val="center"/>
          </w:tcPr>
          <w:p w14:paraId="6FDA0B5F">
            <w:pPr>
              <w:spacing w:line="360" w:lineRule="auto"/>
              <w:jc w:val="center"/>
              <w:rPr>
                <w:sz w:val="24"/>
              </w:rPr>
            </w:pPr>
            <w:r>
              <w:rPr>
                <w:sz w:val="24"/>
              </w:rPr>
              <w:t>LMO</w:t>
            </w:r>
          </w:p>
        </w:tc>
        <w:tc>
          <w:tcPr>
            <w:tcW w:w="1667" w:type="pct"/>
            <w:tcBorders>
              <w:top w:val="single" w:color="auto" w:sz="12" w:space="0"/>
              <w:left w:val="nil"/>
              <w:bottom w:val="nil"/>
              <w:right w:val="nil"/>
            </w:tcBorders>
          </w:tcPr>
          <w:p w14:paraId="1AF3246A">
            <w:pPr>
              <w:spacing w:line="360" w:lineRule="auto"/>
              <w:jc w:val="center"/>
              <w:rPr>
                <w:sz w:val="24"/>
              </w:rPr>
            </w:pPr>
            <w:bookmarkStart w:id="48" w:name="OLE_LINK25"/>
            <w:r>
              <w:rPr>
                <w:rFonts w:hint="eastAsia"/>
                <w:sz w:val="24"/>
              </w:rPr>
              <w:t>Zr</w:t>
            </w:r>
            <w:r>
              <w:rPr>
                <w:sz w:val="24"/>
              </w:rPr>
              <w:t xml:space="preserve"> </w:t>
            </w:r>
            <w:r>
              <w:rPr>
                <w:rFonts w:hint="eastAsia"/>
                <w:sz w:val="24"/>
              </w:rPr>
              <w:t>3d</w:t>
            </w:r>
            <w:bookmarkEnd w:id="48"/>
          </w:p>
        </w:tc>
        <w:tc>
          <w:tcPr>
            <w:tcW w:w="1667" w:type="pct"/>
            <w:tcBorders>
              <w:top w:val="single" w:color="auto" w:sz="12" w:space="0"/>
              <w:left w:val="nil"/>
              <w:bottom w:val="nil"/>
              <w:right w:val="nil"/>
            </w:tcBorders>
          </w:tcPr>
          <w:p w14:paraId="7CC8C0E9">
            <w:pPr>
              <w:spacing w:line="360" w:lineRule="auto"/>
              <w:jc w:val="center"/>
              <w:rPr>
                <w:sz w:val="24"/>
              </w:rPr>
            </w:pPr>
          </w:p>
        </w:tc>
      </w:tr>
      <w:tr w14:paraId="4F7A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top w:val="single" w:color="000000" w:sz="12" w:space="0"/>
              <w:left w:val="nil"/>
              <w:bottom w:val="single" w:color="000000" w:sz="12" w:space="0"/>
              <w:right w:val="nil"/>
            </w:tcBorders>
          </w:tcPr>
          <w:p w14:paraId="040FA248">
            <w:pPr>
              <w:spacing w:line="360" w:lineRule="auto"/>
              <w:jc w:val="center"/>
              <w:rPr>
                <w:sz w:val="24"/>
              </w:rPr>
            </w:pPr>
          </w:p>
        </w:tc>
        <w:tc>
          <w:tcPr>
            <w:tcW w:w="1667" w:type="pct"/>
            <w:tcBorders>
              <w:top w:val="nil"/>
              <w:left w:val="nil"/>
              <w:bottom w:val="nil"/>
              <w:right w:val="nil"/>
            </w:tcBorders>
          </w:tcPr>
          <w:p w14:paraId="66D14B91">
            <w:pPr>
              <w:spacing w:line="360" w:lineRule="auto"/>
              <w:jc w:val="center"/>
              <w:rPr>
                <w:sz w:val="24"/>
              </w:rPr>
            </w:pPr>
            <w:r>
              <w:rPr>
                <w:sz w:val="24"/>
              </w:rPr>
              <w:t>Li 1s</w:t>
            </w:r>
          </w:p>
        </w:tc>
        <w:tc>
          <w:tcPr>
            <w:tcW w:w="1667" w:type="pct"/>
            <w:tcBorders>
              <w:top w:val="nil"/>
              <w:left w:val="nil"/>
              <w:bottom w:val="nil"/>
              <w:right w:val="nil"/>
            </w:tcBorders>
          </w:tcPr>
          <w:p w14:paraId="064CE859">
            <w:pPr>
              <w:spacing w:line="360" w:lineRule="auto"/>
              <w:jc w:val="center"/>
              <w:rPr>
                <w:sz w:val="24"/>
              </w:rPr>
            </w:pPr>
            <w:r>
              <w:rPr>
                <w:sz w:val="24"/>
              </w:rPr>
              <w:t>20.5</w:t>
            </w:r>
            <w:r>
              <w:rPr>
                <w:rFonts w:hint="eastAsia"/>
                <w:sz w:val="24"/>
              </w:rPr>
              <w:t>3</w:t>
            </w:r>
          </w:p>
        </w:tc>
      </w:tr>
      <w:tr w14:paraId="0495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top w:val="single" w:color="000000" w:sz="12" w:space="0"/>
              <w:left w:val="nil"/>
              <w:bottom w:val="single" w:color="000000" w:sz="12" w:space="0"/>
              <w:right w:val="nil"/>
            </w:tcBorders>
          </w:tcPr>
          <w:p w14:paraId="2442111F">
            <w:pPr>
              <w:spacing w:line="360" w:lineRule="auto"/>
              <w:jc w:val="center"/>
              <w:rPr>
                <w:sz w:val="24"/>
              </w:rPr>
            </w:pPr>
          </w:p>
        </w:tc>
        <w:tc>
          <w:tcPr>
            <w:tcW w:w="1667" w:type="pct"/>
            <w:tcBorders>
              <w:top w:val="nil"/>
              <w:left w:val="nil"/>
              <w:bottom w:val="nil"/>
              <w:right w:val="nil"/>
            </w:tcBorders>
          </w:tcPr>
          <w:p w14:paraId="1597958D">
            <w:pPr>
              <w:spacing w:line="360" w:lineRule="auto"/>
              <w:jc w:val="center"/>
              <w:rPr>
                <w:sz w:val="24"/>
              </w:rPr>
            </w:pPr>
            <w:r>
              <w:rPr>
                <w:sz w:val="24"/>
              </w:rPr>
              <w:t>Mn 2p</w:t>
            </w:r>
          </w:p>
        </w:tc>
        <w:tc>
          <w:tcPr>
            <w:tcW w:w="1667" w:type="pct"/>
            <w:tcBorders>
              <w:top w:val="nil"/>
              <w:left w:val="nil"/>
              <w:bottom w:val="nil"/>
              <w:right w:val="nil"/>
            </w:tcBorders>
          </w:tcPr>
          <w:p w14:paraId="7350FA0B">
            <w:pPr>
              <w:spacing w:line="360" w:lineRule="auto"/>
              <w:jc w:val="center"/>
              <w:rPr>
                <w:sz w:val="24"/>
              </w:rPr>
            </w:pPr>
            <w:r>
              <w:rPr>
                <w:sz w:val="24"/>
              </w:rPr>
              <w:t>20.6</w:t>
            </w:r>
            <w:r>
              <w:rPr>
                <w:rFonts w:hint="eastAsia"/>
                <w:sz w:val="24"/>
              </w:rPr>
              <w:t>9</w:t>
            </w:r>
          </w:p>
        </w:tc>
      </w:tr>
      <w:tr w14:paraId="6D99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top w:val="single" w:color="000000" w:sz="12" w:space="0"/>
              <w:left w:val="nil"/>
              <w:bottom w:val="nil"/>
              <w:right w:val="nil"/>
            </w:tcBorders>
          </w:tcPr>
          <w:p w14:paraId="714B9B13">
            <w:pPr>
              <w:spacing w:line="360" w:lineRule="auto"/>
              <w:jc w:val="center"/>
              <w:rPr>
                <w:sz w:val="24"/>
              </w:rPr>
            </w:pPr>
          </w:p>
        </w:tc>
        <w:tc>
          <w:tcPr>
            <w:tcW w:w="1667" w:type="pct"/>
            <w:tcBorders>
              <w:top w:val="nil"/>
              <w:left w:val="nil"/>
              <w:bottom w:val="nil"/>
              <w:right w:val="nil"/>
            </w:tcBorders>
          </w:tcPr>
          <w:p w14:paraId="7C890BDA">
            <w:pPr>
              <w:spacing w:line="360" w:lineRule="auto"/>
              <w:jc w:val="center"/>
              <w:rPr>
                <w:sz w:val="24"/>
              </w:rPr>
            </w:pPr>
            <w:r>
              <w:rPr>
                <w:sz w:val="24"/>
              </w:rPr>
              <w:t>O 1s</w:t>
            </w:r>
          </w:p>
        </w:tc>
        <w:tc>
          <w:tcPr>
            <w:tcW w:w="1667" w:type="pct"/>
            <w:tcBorders>
              <w:top w:val="nil"/>
              <w:left w:val="nil"/>
              <w:bottom w:val="nil"/>
              <w:right w:val="nil"/>
            </w:tcBorders>
          </w:tcPr>
          <w:p w14:paraId="3098B663">
            <w:pPr>
              <w:spacing w:line="360" w:lineRule="auto"/>
              <w:jc w:val="center"/>
              <w:rPr>
                <w:sz w:val="24"/>
              </w:rPr>
            </w:pPr>
            <w:r>
              <w:rPr>
                <w:sz w:val="24"/>
              </w:rPr>
              <w:t>58.</w:t>
            </w:r>
            <w:r>
              <w:rPr>
                <w:rFonts w:hint="eastAsia"/>
                <w:sz w:val="24"/>
              </w:rPr>
              <w:t>78</w:t>
            </w:r>
          </w:p>
        </w:tc>
      </w:tr>
      <w:tr w14:paraId="5240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restart"/>
            <w:tcBorders>
              <w:top w:val="nil"/>
              <w:left w:val="nil"/>
              <w:right w:val="nil"/>
            </w:tcBorders>
            <w:vAlign w:val="center"/>
          </w:tcPr>
          <w:p w14:paraId="3F9EB356">
            <w:pPr>
              <w:spacing w:line="360" w:lineRule="auto"/>
              <w:jc w:val="center"/>
              <w:rPr>
                <w:sz w:val="24"/>
              </w:rPr>
            </w:pPr>
            <w:r>
              <w:rPr>
                <w:sz w:val="24"/>
              </w:rPr>
              <w:t>L</w:t>
            </w:r>
            <w:r>
              <w:rPr>
                <w:rFonts w:hint="eastAsia"/>
                <w:sz w:val="24"/>
              </w:rPr>
              <w:t>Z</w:t>
            </w:r>
            <w:r>
              <w:rPr>
                <w:sz w:val="24"/>
              </w:rPr>
              <w:t>MO-0.</w:t>
            </w:r>
            <w:r>
              <w:rPr>
                <w:rFonts w:hint="eastAsia"/>
                <w:sz w:val="24"/>
              </w:rPr>
              <w:t>03</w:t>
            </w:r>
          </w:p>
        </w:tc>
        <w:tc>
          <w:tcPr>
            <w:tcW w:w="1667" w:type="pct"/>
            <w:tcBorders>
              <w:top w:val="nil"/>
              <w:left w:val="nil"/>
              <w:bottom w:val="nil"/>
              <w:right w:val="nil"/>
            </w:tcBorders>
          </w:tcPr>
          <w:p w14:paraId="4652CA13">
            <w:pPr>
              <w:spacing w:line="360" w:lineRule="auto"/>
              <w:jc w:val="center"/>
              <w:rPr>
                <w:sz w:val="24"/>
              </w:rPr>
            </w:pPr>
            <w:r>
              <w:rPr>
                <w:rFonts w:hint="eastAsia"/>
                <w:sz w:val="24"/>
              </w:rPr>
              <w:t>Zr</w:t>
            </w:r>
            <w:r>
              <w:rPr>
                <w:sz w:val="24"/>
              </w:rPr>
              <w:t xml:space="preserve"> </w:t>
            </w:r>
            <w:r>
              <w:rPr>
                <w:rFonts w:hint="eastAsia"/>
                <w:sz w:val="24"/>
              </w:rPr>
              <w:t>3d</w:t>
            </w:r>
          </w:p>
        </w:tc>
        <w:tc>
          <w:tcPr>
            <w:tcW w:w="1667" w:type="pct"/>
            <w:tcBorders>
              <w:top w:val="nil"/>
              <w:left w:val="nil"/>
              <w:bottom w:val="nil"/>
              <w:right w:val="nil"/>
            </w:tcBorders>
          </w:tcPr>
          <w:p w14:paraId="711F20F4">
            <w:pPr>
              <w:spacing w:line="360" w:lineRule="auto"/>
              <w:jc w:val="center"/>
              <w:rPr>
                <w:sz w:val="24"/>
              </w:rPr>
            </w:pPr>
            <w:r>
              <w:rPr>
                <w:rFonts w:hint="eastAsia"/>
                <w:sz w:val="24"/>
              </w:rPr>
              <w:t>0.53</w:t>
            </w:r>
          </w:p>
        </w:tc>
      </w:tr>
      <w:tr w14:paraId="5DEA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left w:val="nil"/>
              <w:right w:val="nil"/>
            </w:tcBorders>
          </w:tcPr>
          <w:p w14:paraId="00238850">
            <w:pPr>
              <w:spacing w:line="360" w:lineRule="auto"/>
              <w:jc w:val="center"/>
              <w:rPr>
                <w:sz w:val="24"/>
              </w:rPr>
            </w:pPr>
          </w:p>
        </w:tc>
        <w:tc>
          <w:tcPr>
            <w:tcW w:w="1667" w:type="pct"/>
            <w:tcBorders>
              <w:top w:val="nil"/>
              <w:left w:val="nil"/>
              <w:bottom w:val="nil"/>
              <w:right w:val="nil"/>
            </w:tcBorders>
          </w:tcPr>
          <w:p w14:paraId="6E31043B">
            <w:pPr>
              <w:spacing w:line="360" w:lineRule="auto"/>
              <w:jc w:val="center"/>
              <w:rPr>
                <w:sz w:val="24"/>
              </w:rPr>
            </w:pPr>
            <w:r>
              <w:rPr>
                <w:sz w:val="24"/>
              </w:rPr>
              <w:t>Li 1s</w:t>
            </w:r>
          </w:p>
        </w:tc>
        <w:tc>
          <w:tcPr>
            <w:tcW w:w="1667" w:type="pct"/>
            <w:tcBorders>
              <w:top w:val="nil"/>
              <w:left w:val="nil"/>
              <w:bottom w:val="nil"/>
              <w:right w:val="nil"/>
            </w:tcBorders>
          </w:tcPr>
          <w:p w14:paraId="697C3ADA">
            <w:pPr>
              <w:spacing w:line="360" w:lineRule="auto"/>
              <w:jc w:val="center"/>
              <w:rPr>
                <w:sz w:val="24"/>
              </w:rPr>
            </w:pPr>
            <w:r>
              <w:rPr>
                <w:rFonts w:hint="eastAsia"/>
                <w:sz w:val="24"/>
              </w:rPr>
              <w:t>20.03</w:t>
            </w:r>
          </w:p>
        </w:tc>
      </w:tr>
      <w:tr w14:paraId="3E8B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left w:val="nil"/>
              <w:right w:val="nil"/>
            </w:tcBorders>
          </w:tcPr>
          <w:p w14:paraId="0E6E6664">
            <w:pPr>
              <w:spacing w:line="360" w:lineRule="auto"/>
              <w:jc w:val="center"/>
              <w:rPr>
                <w:sz w:val="24"/>
              </w:rPr>
            </w:pPr>
          </w:p>
        </w:tc>
        <w:tc>
          <w:tcPr>
            <w:tcW w:w="1667" w:type="pct"/>
            <w:tcBorders>
              <w:top w:val="nil"/>
              <w:left w:val="nil"/>
              <w:bottom w:val="nil"/>
              <w:right w:val="nil"/>
            </w:tcBorders>
          </w:tcPr>
          <w:p w14:paraId="3C5AB543">
            <w:pPr>
              <w:spacing w:line="360" w:lineRule="auto"/>
              <w:jc w:val="center"/>
              <w:rPr>
                <w:sz w:val="24"/>
              </w:rPr>
            </w:pPr>
            <w:r>
              <w:rPr>
                <w:sz w:val="24"/>
              </w:rPr>
              <w:t>Mn 2p</w:t>
            </w:r>
          </w:p>
        </w:tc>
        <w:tc>
          <w:tcPr>
            <w:tcW w:w="1667" w:type="pct"/>
            <w:tcBorders>
              <w:top w:val="nil"/>
              <w:left w:val="nil"/>
              <w:bottom w:val="nil"/>
              <w:right w:val="nil"/>
            </w:tcBorders>
          </w:tcPr>
          <w:p w14:paraId="7EE8A83F">
            <w:pPr>
              <w:spacing w:line="360" w:lineRule="auto"/>
              <w:jc w:val="center"/>
              <w:rPr>
                <w:sz w:val="24"/>
              </w:rPr>
            </w:pPr>
            <w:r>
              <w:rPr>
                <w:rFonts w:hint="eastAsia"/>
                <w:sz w:val="24"/>
              </w:rPr>
              <w:t>18.35</w:t>
            </w:r>
          </w:p>
        </w:tc>
      </w:tr>
      <w:tr w14:paraId="42FB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vMerge w:val="continue"/>
            <w:tcBorders>
              <w:left w:val="nil"/>
              <w:bottom w:val="single" w:color="000000" w:sz="12" w:space="0"/>
              <w:right w:val="nil"/>
            </w:tcBorders>
          </w:tcPr>
          <w:p w14:paraId="090A2996">
            <w:pPr>
              <w:spacing w:line="360" w:lineRule="auto"/>
              <w:jc w:val="center"/>
              <w:rPr>
                <w:sz w:val="24"/>
              </w:rPr>
            </w:pPr>
          </w:p>
        </w:tc>
        <w:tc>
          <w:tcPr>
            <w:tcW w:w="1667" w:type="pct"/>
            <w:tcBorders>
              <w:top w:val="nil"/>
              <w:left w:val="nil"/>
              <w:bottom w:val="single" w:color="auto" w:sz="12" w:space="0"/>
              <w:right w:val="nil"/>
            </w:tcBorders>
          </w:tcPr>
          <w:p w14:paraId="65EA1DAE">
            <w:pPr>
              <w:spacing w:line="360" w:lineRule="auto"/>
              <w:jc w:val="center"/>
              <w:rPr>
                <w:sz w:val="24"/>
              </w:rPr>
            </w:pPr>
            <w:r>
              <w:rPr>
                <w:sz w:val="24"/>
              </w:rPr>
              <w:t>O 1s</w:t>
            </w:r>
          </w:p>
        </w:tc>
        <w:tc>
          <w:tcPr>
            <w:tcW w:w="1667" w:type="pct"/>
            <w:tcBorders>
              <w:top w:val="nil"/>
              <w:left w:val="nil"/>
              <w:bottom w:val="single" w:color="auto" w:sz="12" w:space="0"/>
              <w:right w:val="nil"/>
            </w:tcBorders>
          </w:tcPr>
          <w:p w14:paraId="61819345">
            <w:pPr>
              <w:spacing w:line="360" w:lineRule="auto"/>
              <w:jc w:val="center"/>
              <w:rPr>
                <w:sz w:val="24"/>
              </w:rPr>
            </w:pPr>
            <w:r>
              <w:rPr>
                <w:rFonts w:hint="eastAsia"/>
                <w:sz w:val="24"/>
              </w:rPr>
              <w:t>61.09</w:t>
            </w:r>
          </w:p>
        </w:tc>
      </w:tr>
    </w:tbl>
    <w:p w14:paraId="4C9A2770">
      <w:pPr>
        <w:spacing w:before="240" w:after="240" w:line="360" w:lineRule="auto"/>
        <w:jc w:val="center"/>
        <w:rPr>
          <w:sz w:val="24"/>
        </w:rPr>
      </w:pPr>
      <w:r>
        <w:rPr>
          <w:b/>
          <w:bCs/>
          <w:sz w:val="24"/>
        </w:rPr>
        <w:t>Table S</w:t>
      </w:r>
      <w:r>
        <w:rPr>
          <w:rFonts w:hint="eastAsia"/>
          <w:b/>
          <w:bCs/>
          <w:sz w:val="24"/>
        </w:rPr>
        <w:t>5.</w:t>
      </w:r>
      <w:r>
        <w:rPr>
          <w:sz w:val="24"/>
        </w:rPr>
        <w:t xml:space="preserve"> Binding energ</w:t>
      </w:r>
      <w:r>
        <w:rPr>
          <w:rFonts w:hint="eastAsia" w:eastAsia="MS Mincho"/>
          <w:sz w:val="24"/>
          <w:lang w:eastAsia="ja-JP"/>
        </w:rPr>
        <w:t>ies</w:t>
      </w:r>
      <w:r>
        <w:rPr>
          <w:sz w:val="24"/>
        </w:rPr>
        <w:t xml:space="preserve"> of LMO and L</w:t>
      </w:r>
      <w:r>
        <w:rPr>
          <w:rFonts w:hint="eastAsia"/>
          <w:sz w:val="24"/>
        </w:rPr>
        <w:t>Z</w:t>
      </w:r>
      <w:r>
        <w:rPr>
          <w:sz w:val="24"/>
        </w:rPr>
        <w:t>MO-0.0</w:t>
      </w:r>
      <w:r>
        <w:rPr>
          <w:rFonts w:hint="eastAsia"/>
          <w:sz w:val="24"/>
        </w:rPr>
        <w:t>3 in XPS.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1"/>
        <w:gridCol w:w="1377"/>
        <w:gridCol w:w="1507"/>
        <w:gridCol w:w="1507"/>
        <w:gridCol w:w="1424"/>
      </w:tblGrid>
      <w:tr w14:paraId="371C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tcBorders>
              <w:top w:val="single" w:color="auto" w:sz="12" w:space="0"/>
              <w:left w:val="nil"/>
              <w:bottom w:val="single" w:color="auto" w:sz="12" w:space="0"/>
              <w:right w:val="nil"/>
            </w:tcBorders>
          </w:tcPr>
          <w:p w14:paraId="50E7E0EF">
            <w:pPr>
              <w:spacing w:line="360" w:lineRule="auto"/>
              <w:jc w:val="center"/>
              <w:rPr>
                <w:rFonts w:eastAsia="MS Mincho"/>
                <w:b/>
                <w:bCs/>
                <w:sz w:val="24"/>
                <w:lang w:eastAsia="ja-JP"/>
              </w:rPr>
            </w:pPr>
            <w:r>
              <w:rPr>
                <w:b/>
                <w:bCs/>
                <w:sz w:val="24"/>
              </w:rPr>
              <w:t>Material</w:t>
            </w:r>
          </w:p>
        </w:tc>
        <w:tc>
          <w:tcPr>
            <w:tcW w:w="1418" w:type="dxa"/>
            <w:tcBorders>
              <w:top w:val="single" w:color="auto" w:sz="12" w:space="0"/>
              <w:left w:val="nil"/>
              <w:bottom w:val="single" w:color="auto" w:sz="12" w:space="0"/>
              <w:right w:val="nil"/>
            </w:tcBorders>
          </w:tcPr>
          <w:p w14:paraId="6AAD0438">
            <w:pPr>
              <w:spacing w:line="360" w:lineRule="auto"/>
              <w:jc w:val="center"/>
              <w:rPr>
                <w:b/>
                <w:bCs/>
                <w:sz w:val="24"/>
              </w:rPr>
            </w:pPr>
            <w:r>
              <w:rPr>
                <w:b/>
                <w:bCs/>
                <w:sz w:val="24"/>
              </w:rPr>
              <w:t>Mn 2p</w:t>
            </w:r>
            <w:r>
              <w:rPr>
                <w:b/>
                <w:bCs/>
                <w:sz w:val="24"/>
                <w:vertAlign w:val="subscript"/>
              </w:rPr>
              <w:t>1/2</w:t>
            </w:r>
          </w:p>
        </w:tc>
        <w:tc>
          <w:tcPr>
            <w:tcW w:w="1559" w:type="dxa"/>
            <w:tcBorders>
              <w:top w:val="single" w:color="auto" w:sz="12" w:space="0"/>
              <w:left w:val="nil"/>
              <w:bottom w:val="single" w:color="auto" w:sz="12" w:space="0"/>
              <w:right w:val="nil"/>
            </w:tcBorders>
          </w:tcPr>
          <w:p w14:paraId="0A87B88E">
            <w:pPr>
              <w:spacing w:line="360" w:lineRule="auto"/>
              <w:jc w:val="center"/>
              <w:rPr>
                <w:b/>
                <w:bCs/>
                <w:sz w:val="24"/>
              </w:rPr>
            </w:pPr>
            <w:r>
              <w:rPr>
                <w:b/>
                <w:bCs/>
                <w:sz w:val="24"/>
              </w:rPr>
              <w:t>Mn 2p</w:t>
            </w:r>
            <w:r>
              <w:rPr>
                <w:b/>
                <w:bCs/>
                <w:sz w:val="24"/>
                <w:vertAlign w:val="subscript"/>
              </w:rPr>
              <w:t>1/2</w:t>
            </w:r>
          </w:p>
        </w:tc>
        <w:tc>
          <w:tcPr>
            <w:tcW w:w="1559" w:type="dxa"/>
            <w:tcBorders>
              <w:top w:val="single" w:color="auto" w:sz="12" w:space="0"/>
              <w:left w:val="nil"/>
              <w:bottom w:val="single" w:color="auto" w:sz="12" w:space="0"/>
              <w:right w:val="nil"/>
            </w:tcBorders>
          </w:tcPr>
          <w:p w14:paraId="13BFDBC2">
            <w:pPr>
              <w:spacing w:line="360" w:lineRule="auto"/>
              <w:jc w:val="center"/>
              <w:rPr>
                <w:b/>
                <w:bCs/>
                <w:sz w:val="24"/>
              </w:rPr>
            </w:pPr>
            <w:r>
              <w:rPr>
                <w:b/>
                <w:bCs/>
                <w:sz w:val="24"/>
              </w:rPr>
              <w:t>Mn 2p</w:t>
            </w:r>
            <w:r>
              <w:rPr>
                <w:b/>
                <w:bCs/>
                <w:sz w:val="24"/>
                <w:vertAlign w:val="subscript"/>
              </w:rPr>
              <w:t>3/2</w:t>
            </w:r>
          </w:p>
        </w:tc>
        <w:tc>
          <w:tcPr>
            <w:tcW w:w="1468" w:type="dxa"/>
            <w:tcBorders>
              <w:top w:val="single" w:color="auto" w:sz="12" w:space="0"/>
              <w:left w:val="nil"/>
              <w:bottom w:val="single" w:color="auto" w:sz="12" w:space="0"/>
              <w:right w:val="nil"/>
            </w:tcBorders>
          </w:tcPr>
          <w:p w14:paraId="425E4F7C">
            <w:pPr>
              <w:spacing w:line="360" w:lineRule="auto"/>
              <w:jc w:val="center"/>
              <w:rPr>
                <w:b/>
                <w:bCs/>
                <w:sz w:val="24"/>
              </w:rPr>
            </w:pPr>
            <w:r>
              <w:rPr>
                <w:b/>
                <w:bCs/>
                <w:sz w:val="24"/>
              </w:rPr>
              <w:t>Mn 2p</w:t>
            </w:r>
            <w:r>
              <w:rPr>
                <w:b/>
                <w:bCs/>
                <w:sz w:val="24"/>
                <w:vertAlign w:val="subscript"/>
              </w:rPr>
              <w:t>3/2</w:t>
            </w:r>
          </w:p>
        </w:tc>
      </w:tr>
      <w:tr w14:paraId="0E6C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tcBorders>
              <w:top w:val="single" w:color="auto" w:sz="12" w:space="0"/>
              <w:left w:val="nil"/>
              <w:bottom w:val="nil"/>
              <w:right w:val="nil"/>
            </w:tcBorders>
          </w:tcPr>
          <w:p w14:paraId="4A95326F">
            <w:pPr>
              <w:spacing w:line="360" w:lineRule="auto"/>
              <w:jc w:val="center"/>
              <w:rPr>
                <w:sz w:val="24"/>
              </w:rPr>
            </w:pPr>
            <w:r>
              <w:rPr>
                <w:sz w:val="24"/>
              </w:rPr>
              <w:t>LMO</w:t>
            </w:r>
            <w:r>
              <w:rPr>
                <w:rFonts w:hint="eastAsia"/>
                <w:sz w:val="24"/>
              </w:rPr>
              <w:t>-</w:t>
            </w:r>
            <w:r>
              <w:t xml:space="preserve"> </w:t>
            </w:r>
            <w:r>
              <w:rPr>
                <w:rFonts w:hint="eastAsia"/>
              </w:rPr>
              <w:t>I</w:t>
            </w:r>
            <w:r>
              <w:rPr>
                <w:sz w:val="24"/>
              </w:rPr>
              <w:t>nitial</w:t>
            </w:r>
          </w:p>
        </w:tc>
        <w:tc>
          <w:tcPr>
            <w:tcW w:w="1418" w:type="dxa"/>
            <w:tcBorders>
              <w:top w:val="single" w:color="auto" w:sz="12" w:space="0"/>
              <w:left w:val="nil"/>
              <w:bottom w:val="nil"/>
              <w:right w:val="nil"/>
            </w:tcBorders>
          </w:tcPr>
          <w:p w14:paraId="58BCA590">
            <w:pPr>
              <w:spacing w:line="360" w:lineRule="auto"/>
              <w:jc w:val="center"/>
              <w:rPr>
                <w:sz w:val="24"/>
              </w:rPr>
            </w:pPr>
            <w:r>
              <w:rPr>
                <w:sz w:val="24"/>
              </w:rPr>
              <w:t>65</w:t>
            </w:r>
            <w:r>
              <w:rPr>
                <w:rFonts w:hint="eastAsia"/>
                <w:sz w:val="24"/>
              </w:rPr>
              <w:t>4</w:t>
            </w:r>
            <w:r>
              <w:rPr>
                <w:sz w:val="24"/>
              </w:rPr>
              <w:t>.</w:t>
            </w:r>
            <w:r>
              <w:rPr>
                <w:rFonts w:hint="eastAsia"/>
                <w:sz w:val="24"/>
              </w:rPr>
              <w:t>13</w:t>
            </w:r>
          </w:p>
        </w:tc>
        <w:tc>
          <w:tcPr>
            <w:tcW w:w="1559" w:type="dxa"/>
            <w:tcBorders>
              <w:top w:val="single" w:color="auto" w:sz="12" w:space="0"/>
              <w:left w:val="nil"/>
              <w:bottom w:val="nil"/>
              <w:right w:val="nil"/>
            </w:tcBorders>
          </w:tcPr>
          <w:p w14:paraId="58286BF7">
            <w:pPr>
              <w:spacing w:line="360" w:lineRule="auto"/>
              <w:jc w:val="center"/>
              <w:rPr>
                <w:sz w:val="24"/>
              </w:rPr>
            </w:pPr>
            <w:r>
              <w:rPr>
                <w:sz w:val="24"/>
              </w:rPr>
              <w:t>652.</w:t>
            </w:r>
            <w:r>
              <w:rPr>
                <w:rFonts w:hint="eastAsia"/>
                <w:sz w:val="24"/>
              </w:rPr>
              <w:t>02</w:t>
            </w:r>
          </w:p>
        </w:tc>
        <w:tc>
          <w:tcPr>
            <w:tcW w:w="1559" w:type="dxa"/>
            <w:tcBorders>
              <w:top w:val="single" w:color="auto" w:sz="12" w:space="0"/>
              <w:left w:val="nil"/>
              <w:bottom w:val="nil"/>
              <w:right w:val="nil"/>
            </w:tcBorders>
          </w:tcPr>
          <w:p w14:paraId="21C2B6BA">
            <w:pPr>
              <w:spacing w:line="360" w:lineRule="auto"/>
              <w:jc w:val="center"/>
              <w:rPr>
                <w:sz w:val="24"/>
              </w:rPr>
            </w:pPr>
            <w:r>
              <w:rPr>
                <w:sz w:val="24"/>
              </w:rPr>
              <w:t>642.41</w:t>
            </w:r>
          </w:p>
        </w:tc>
        <w:tc>
          <w:tcPr>
            <w:tcW w:w="1468" w:type="dxa"/>
            <w:tcBorders>
              <w:top w:val="single" w:color="auto" w:sz="12" w:space="0"/>
              <w:left w:val="nil"/>
              <w:bottom w:val="nil"/>
              <w:right w:val="nil"/>
            </w:tcBorders>
          </w:tcPr>
          <w:p w14:paraId="45E8C8CC">
            <w:pPr>
              <w:spacing w:line="360" w:lineRule="auto"/>
              <w:jc w:val="center"/>
              <w:rPr>
                <w:sz w:val="24"/>
              </w:rPr>
            </w:pPr>
            <w:r>
              <w:rPr>
                <w:sz w:val="24"/>
              </w:rPr>
              <w:t>641.</w:t>
            </w:r>
            <w:r>
              <w:rPr>
                <w:rFonts w:hint="eastAsia"/>
                <w:sz w:val="24"/>
              </w:rPr>
              <w:t>30</w:t>
            </w:r>
          </w:p>
        </w:tc>
      </w:tr>
      <w:tr w14:paraId="4912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tcBorders>
              <w:top w:val="nil"/>
              <w:left w:val="nil"/>
              <w:bottom w:val="nil"/>
              <w:right w:val="nil"/>
            </w:tcBorders>
          </w:tcPr>
          <w:p w14:paraId="65628AA2">
            <w:pPr>
              <w:spacing w:line="360" w:lineRule="auto"/>
              <w:jc w:val="center"/>
              <w:rPr>
                <w:sz w:val="24"/>
              </w:rPr>
            </w:pPr>
            <w:r>
              <w:rPr>
                <w:sz w:val="24"/>
              </w:rPr>
              <w:t>LMO</w:t>
            </w:r>
            <w:r>
              <w:rPr>
                <w:rFonts w:hint="eastAsia"/>
                <w:sz w:val="24"/>
              </w:rPr>
              <w:t>-after</w:t>
            </w:r>
          </w:p>
        </w:tc>
        <w:tc>
          <w:tcPr>
            <w:tcW w:w="1418" w:type="dxa"/>
            <w:tcBorders>
              <w:top w:val="nil"/>
              <w:left w:val="nil"/>
              <w:bottom w:val="nil"/>
              <w:right w:val="nil"/>
            </w:tcBorders>
          </w:tcPr>
          <w:p w14:paraId="106D611D">
            <w:pPr>
              <w:spacing w:line="360" w:lineRule="auto"/>
              <w:jc w:val="center"/>
              <w:rPr>
                <w:sz w:val="24"/>
              </w:rPr>
            </w:pPr>
            <w:r>
              <w:rPr>
                <w:rFonts w:hint="eastAsia"/>
                <w:sz w:val="24"/>
              </w:rPr>
              <w:t>654.24</w:t>
            </w:r>
          </w:p>
        </w:tc>
        <w:tc>
          <w:tcPr>
            <w:tcW w:w="1559" w:type="dxa"/>
            <w:tcBorders>
              <w:top w:val="nil"/>
              <w:left w:val="nil"/>
              <w:bottom w:val="nil"/>
              <w:right w:val="nil"/>
            </w:tcBorders>
          </w:tcPr>
          <w:p w14:paraId="4F335D77">
            <w:pPr>
              <w:spacing w:line="360" w:lineRule="auto"/>
              <w:jc w:val="center"/>
              <w:rPr>
                <w:sz w:val="24"/>
              </w:rPr>
            </w:pPr>
            <w:r>
              <w:rPr>
                <w:rFonts w:hint="eastAsia"/>
                <w:sz w:val="24"/>
              </w:rPr>
              <w:t>652.88</w:t>
            </w:r>
          </w:p>
        </w:tc>
        <w:tc>
          <w:tcPr>
            <w:tcW w:w="1559" w:type="dxa"/>
            <w:tcBorders>
              <w:top w:val="nil"/>
              <w:left w:val="nil"/>
              <w:bottom w:val="nil"/>
              <w:right w:val="nil"/>
            </w:tcBorders>
          </w:tcPr>
          <w:p w14:paraId="00958676">
            <w:pPr>
              <w:spacing w:line="360" w:lineRule="auto"/>
              <w:jc w:val="center"/>
              <w:rPr>
                <w:sz w:val="24"/>
              </w:rPr>
            </w:pPr>
            <w:r>
              <w:rPr>
                <w:rFonts w:hint="eastAsia"/>
                <w:sz w:val="24"/>
              </w:rPr>
              <w:t>642.38</w:t>
            </w:r>
          </w:p>
        </w:tc>
        <w:tc>
          <w:tcPr>
            <w:tcW w:w="1468" w:type="dxa"/>
            <w:tcBorders>
              <w:top w:val="nil"/>
              <w:left w:val="nil"/>
              <w:bottom w:val="nil"/>
              <w:right w:val="nil"/>
            </w:tcBorders>
          </w:tcPr>
          <w:p w14:paraId="03540362">
            <w:pPr>
              <w:spacing w:line="360" w:lineRule="auto"/>
              <w:jc w:val="center"/>
              <w:rPr>
                <w:sz w:val="24"/>
              </w:rPr>
            </w:pPr>
            <w:r>
              <w:rPr>
                <w:rFonts w:hint="eastAsia"/>
                <w:sz w:val="24"/>
              </w:rPr>
              <w:t>641.05</w:t>
            </w:r>
          </w:p>
        </w:tc>
      </w:tr>
      <w:tr w14:paraId="034E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tcBorders>
              <w:top w:val="nil"/>
              <w:left w:val="nil"/>
              <w:bottom w:val="nil"/>
              <w:right w:val="nil"/>
            </w:tcBorders>
          </w:tcPr>
          <w:p w14:paraId="66F8D661">
            <w:pPr>
              <w:spacing w:line="360" w:lineRule="auto"/>
              <w:jc w:val="center"/>
              <w:rPr>
                <w:sz w:val="24"/>
              </w:rPr>
            </w:pPr>
            <w:r>
              <w:rPr>
                <w:sz w:val="24"/>
              </w:rPr>
              <w:t>L</w:t>
            </w:r>
            <w:r>
              <w:rPr>
                <w:rFonts w:hint="eastAsia"/>
                <w:sz w:val="24"/>
              </w:rPr>
              <w:t>Z</w:t>
            </w:r>
            <w:r>
              <w:rPr>
                <w:sz w:val="24"/>
              </w:rPr>
              <w:t>MO</w:t>
            </w:r>
            <w:r>
              <w:rPr>
                <w:rFonts w:hint="eastAsia"/>
                <w:sz w:val="24"/>
              </w:rPr>
              <w:t>-0.03-i</w:t>
            </w:r>
            <w:r>
              <w:rPr>
                <w:sz w:val="24"/>
              </w:rPr>
              <w:t>nitial</w:t>
            </w:r>
          </w:p>
        </w:tc>
        <w:tc>
          <w:tcPr>
            <w:tcW w:w="1418" w:type="dxa"/>
            <w:tcBorders>
              <w:top w:val="nil"/>
              <w:left w:val="nil"/>
              <w:bottom w:val="nil"/>
              <w:right w:val="nil"/>
            </w:tcBorders>
          </w:tcPr>
          <w:p w14:paraId="73453F6C">
            <w:pPr>
              <w:spacing w:line="360" w:lineRule="auto"/>
              <w:jc w:val="center"/>
              <w:rPr>
                <w:sz w:val="24"/>
              </w:rPr>
            </w:pPr>
            <w:r>
              <w:rPr>
                <w:rFonts w:hint="eastAsia"/>
                <w:sz w:val="24"/>
              </w:rPr>
              <w:t>654.61</w:t>
            </w:r>
          </w:p>
        </w:tc>
        <w:tc>
          <w:tcPr>
            <w:tcW w:w="1559" w:type="dxa"/>
            <w:tcBorders>
              <w:top w:val="nil"/>
              <w:left w:val="nil"/>
              <w:bottom w:val="nil"/>
              <w:right w:val="nil"/>
            </w:tcBorders>
          </w:tcPr>
          <w:p w14:paraId="429EF990">
            <w:pPr>
              <w:spacing w:line="360" w:lineRule="auto"/>
              <w:jc w:val="center"/>
              <w:rPr>
                <w:sz w:val="24"/>
              </w:rPr>
            </w:pPr>
            <w:r>
              <w:rPr>
                <w:rFonts w:hint="eastAsia"/>
                <w:sz w:val="24"/>
              </w:rPr>
              <w:t>652.99</w:t>
            </w:r>
          </w:p>
        </w:tc>
        <w:tc>
          <w:tcPr>
            <w:tcW w:w="1559" w:type="dxa"/>
            <w:tcBorders>
              <w:top w:val="nil"/>
              <w:left w:val="nil"/>
              <w:bottom w:val="nil"/>
              <w:right w:val="nil"/>
            </w:tcBorders>
          </w:tcPr>
          <w:p w14:paraId="67D8CF5E">
            <w:pPr>
              <w:spacing w:line="360" w:lineRule="auto"/>
              <w:jc w:val="center"/>
              <w:rPr>
                <w:sz w:val="24"/>
              </w:rPr>
            </w:pPr>
            <w:r>
              <w:rPr>
                <w:rFonts w:hint="eastAsia"/>
                <w:sz w:val="24"/>
              </w:rPr>
              <w:t>642.10</w:t>
            </w:r>
          </w:p>
        </w:tc>
        <w:tc>
          <w:tcPr>
            <w:tcW w:w="1468" w:type="dxa"/>
            <w:tcBorders>
              <w:top w:val="nil"/>
              <w:left w:val="nil"/>
              <w:bottom w:val="nil"/>
              <w:right w:val="nil"/>
            </w:tcBorders>
          </w:tcPr>
          <w:p w14:paraId="039842FC">
            <w:pPr>
              <w:spacing w:line="360" w:lineRule="auto"/>
              <w:jc w:val="center"/>
              <w:rPr>
                <w:sz w:val="24"/>
              </w:rPr>
            </w:pPr>
            <w:r>
              <w:rPr>
                <w:rFonts w:hint="eastAsia"/>
                <w:sz w:val="24"/>
              </w:rPr>
              <w:t>641.65</w:t>
            </w:r>
          </w:p>
        </w:tc>
      </w:tr>
      <w:tr w14:paraId="31A7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tcBorders>
              <w:top w:val="nil"/>
              <w:left w:val="nil"/>
              <w:bottom w:val="single" w:color="auto" w:sz="12" w:space="0"/>
              <w:right w:val="nil"/>
            </w:tcBorders>
          </w:tcPr>
          <w:p w14:paraId="75526DD4">
            <w:pPr>
              <w:spacing w:line="360" w:lineRule="auto"/>
              <w:jc w:val="center"/>
              <w:rPr>
                <w:sz w:val="24"/>
              </w:rPr>
            </w:pPr>
            <w:r>
              <w:rPr>
                <w:sz w:val="24"/>
              </w:rPr>
              <w:t>L</w:t>
            </w:r>
            <w:r>
              <w:rPr>
                <w:rFonts w:hint="eastAsia"/>
                <w:sz w:val="24"/>
              </w:rPr>
              <w:t>Z</w:t>
            </w:r>
            <w:r>
              <w:rPr>
                <w:sz w:val="24"/>
              </w:rPr>
              <w:t>MO</w:t>
            </w:r>
            <w:r>
              <w:rPr>
                <w:rFonts w:hint="eastAsia"/>
                <w:sz w:val="24"/>
              </w:rPr>
              <w:t>-0.03-after</w:t>
            </w:r>
          </w:p>
        </w:tc>
        <w:tc>
          <w:tcPr>
            <w:tcW w:w="1418" w:type="dxa"/>
            <w:tcBorders>
              <w:top w:val="nil"/>
              <w:left w:val="nil"/>
              <w:bottom w:val="single" w:color="auto" w:sz="12" w:space="0"/>
              <w:right w:val="nil"/>
            </w:tcBorders>
          </w:tcPr>
          <w:p w14:paraId="764C591F">
            <w:pPr>
              <w:spacing w:line="360" w:lineRule="auto"/>
              <w:jc w:val="center"/>
              <w:rPr>
                <w:sz w:val="24"/>
              </w:rPr>
            </w:pPr>
            <w:r>
              <w:rPr>
                <w:rFonts w:hint="eastAsia"/>
                <w:sz w:val="24"/>
              </w:rPr>
              <w:t>654.38</w:t>
            </w:r>
          </w:p>
        </w:tc>
        <w:tc>
          <w:tcPr>
            <w:tcW w:w="1559" w:type="dxa"/>
            <w:tcBorders>
              <w:top w:val="nil"/>
              <w:left w:val="nil"/>
              <w:bottom w:val="single" w:color="auto" w:sz="12" w:space="0"/>
              <w:right w:val="nil"/>
            </w:tcBorders>
          </w:tcPr>
          <w:p w14:paraId="6A03FBCF">
            <w:pPr>
              <w:spacing w:line="360" w:lineRule="auto"/>
              <w:jc w:val="center"/>
              <w:rPr>
                <w:sz w:val="24"/>
              </w:rPr>
            </w:pPr>
            <w:r>
              <w:rPr>
                <w:rFonts w:hint="eastAsia"/>
                <w:sz w:val="24"/>
              </w:rPr>
              <w:t>652.94</w:t>
            </w:r>
          </w:p>
        </w:tc>
        <w:tc>
          <w:tcPr>
            <w:tcW w:w="1559" w:type="dxa"/>
            <w:tcBorders>
              <w:top w:val="nil"/>
              <w:left w:val="nil"/>
              <w:bottom w:val="single" w:color="auto" w:sz="12" w:space="0"/>
              <w:right w:val="nil"/>
            </w:tcBorders>
          </w:tcPr>
          <w:p w14:paraId="35E036A6">
            <w:pPr>
              <w:spacing w:line="360" w:lineRule="auto"/>
              <w:jc w:val="center"/>
              <w:rPr>
                <w:sz w:val="24"/>
              </w:rPr>
            </w:pPr>
            <w:r>
              <w:rPr>
                <w:rFonts w:hint="eastAsia"/>
                <w:sz w:val="24"/>
              </w:rPr>
              <w:t>642.73</w:t>
            </w:r>
          </w:p>
        </w:tc>
        <w:tc>
          <w:tcPr>
            <w:tcW w:w="1468" w:type="dxa"/>
            <w:tcBorders>
              <w:top w:val="nil"/>
              <w:left w:val="nil"/>
              <w:bottom w:val="single" w:color="auto" w:sz="12" w:space="0"/>
              <w:right w:val="nil"/>
            </w:tcBorders>
          </w:tcPr>
          <w:p w14:paraId="759D6135">
            <w:pPr>
              <w:spacing w:line="360" w:lineRule="auto"/>
              <w:jc w:val="center"/>
              <w:rPr>
                <w:sz w:val="24"/>
              </w:rPr>
            </w:pPr>
            <w:r>
              <w:rPr>
                <w:rFonts w:hint="eastAsia"/>
                <w:sz w:val="24"/>
              </w:rPr>
              <w:t>641.27</w:t>
            </w:r>
          </w:p>
        </w:tc>
      </w:tr>
    </w:tbl>
    <w:p w14:paraId="74551FC4">
      <w:pPr>
        <w:widowControl/>
        <w:spacing w:line="360" w:lineRule="auto"/>
        <w:jc w:val="left"/>
        <w:rPr>
          <w:b/>
          <w:bCs/>
          <w:sz w:val="24"/>
        </w:rPr>
      </w:pPr>
      <w:r>
        <w:rPr>
          <w:b/>
          <w:bCs/>
          <w:sz w:val="24"/>
        </w:rPr>
        <w:br w:type="page"/>
      </w:r>
    </w:p>
    <w:p w14:paraId="00B0A4BB">
      <w:pPr>
        <w:spacing w:before="240" w:after="240" w:line="360" w:lineRule="auto"/>
        <w:ind w:left="720" w:firstLine="241" w:firstLineChars="100"/>
        <w:rPr>
          <w:b/>
          <w:bCs/>
          <w:sz w:val="24"/>
        </w:rPr>
      </w:pPr>
      <w:r>
        <w:rPr>
          <w:b/>
          <w:bCs/>
          <w:sz w:val="24"/>
        </w:rPr>
        <w:t>Table S</w:t>
      </w:r>
      <w:r>
        <w:rPr>
          <w:rFonts w:hint="eastAsia"/>
          <w:b/>
          <w:bCs/>
          <w:sz w:val="24"/>
        </w:rPr>
        <w:t>6.</w:t>
      </w:r>
      <w:r>
        <w:rPr>
          <w:rFonts w:ascii="Segoe UI" w:hAnsi="Segoe UI" w:cs="Segoe UI"/>
          <w:b/>
          <w:bCs/>
          <w:kern w:val="0"/>
          <w:sz w:val="24"/>
        </w:rPr>
        <w:t xml:space="preserve"> </w:t>
      </w:r>
      <w:r>
        <w:rPr>
          <w:sz w:val="24"/>
        </w:rPr>
        <w:t>Comparison of EIS Parameters of LMO and L</w:t>
      </w:r>
      <w:r>
        <w:rPr>
          <w:rFonts w:hint="eastAsia"/>
          <w:sz w:val="24"/>
        </w:rPr>
        <w:t>Z</w:t>
      </w:r>
      <w:r>
        <w:rPr>
          <w:sz w:val="24"/>
        </w:rPr>
        <w:t>MO-0.0</w:t>
      </w:r>
      <w:r>
        <w:rPr>
          <w:rFonts w:hint="eastAsia"/>
          <w:sz w:val="24"/>
        </w:rPr>
        <w:t>3</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0"/>
        <w:gridCol w:w="2826"/>
        <w:gridCol w:w="2680"/>
      </w:tblGrid>
      <w:tr w14:paraId="58AC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3" w:type="dxa"/>
            <w:tcBorders>
              <w:top w:val="single" w:color="auto" w:sz="12" w:space="0"/>
              <w:left w:val="nil"/>
              <w:bottom w:val="single" w:color="auto" w:sz="12" w:space="0"/>
              <w:right w:val="nil"/>
            </w:tcBorders>
          </w:tcPr>
          <w:p w14:paraId="13AC5D99">
            <w:pPr>
              <w:spacing w:line="360" w:lineRule="auto"/>
              <w:jc w:val="center"/>
              <w:rPr>
                <w:rFonts w:eastAsia="MS Mincho"/>
                <w:b/>
                <w:bCs/>
                <w:sz w:val="24"/>
                <w:lang w:eastAsia="ja-JP"/>
              </w:rPr>
            </w:pPr>
            <w:r>
              <w:rPr>
                <w:b/>
                <w:bCs/>
                <w:sz w:val="24"/>
              </w:rPr>
              <w:t>Material</w:t>
            </w:r>
          </w:p>
        </w:tc>
        <w:tc>
          <w:tcPr>
            <w:tcW w:w="2830" w:type="dxa"/>
            <w:tcBorders>
              <w:top w:val="single" w:color="auto" w:sz="12" w:space="0"/>
              <w:left w:val="nil"/>
              <w:bottom w:val="single" w:color="auto" w:sz="12" w:space="0"/>
              <w:right w:val="nil"/>
            </w:tcBorders>
          </w:tcPr>
          <w:p w14:paraId="568F6AE2">
            <w:pPr>
              <w:spacing w:line="360" w:lineRule="auto"/>
              <w:jc w:val="center"/>
              <w:rPr>
                <w:b/>
                <w:bCs/>
                <w:sz w:val="24"/>
              </w:rPr>
            </w:pPr>
            <w:r>
              <w:rPr>
                <w:b/>
                <w:bCs/>
                <w:sz w:val="24"/>
              </w:rPr>
              <w:t>Rs</w:t>
            </w:r>
            <w:r>
              <w:rPr>
                <w:rFonts w:hint="eastAsia"/>
                <w:b/>
                <w:bCs/>
                <w:sz w:val="24"/>
              </w:rPr>
              <w:t>(</w:t>
            </w:r>
            <w:r>
              <w:rPr>
                <w:rFonts w:hint="eastAsia" w:ascii="宋体" w:hAnsi="宋体"/>
                <w:b/>
                <w:bCs/>
                <w:sz w:val="24"/>
              </w:rPr>
              <w:t>Ω</w:t>
            </w:r>
            <w:r>
              <w:rPr>
                <w:rFonts w:hint="eastAsia"/>
                <w:b/>
                <w:bCs/>
                <w:sz w:val="24"/>
              </w:rPr>
              <w:t>)</w:t>
            </w:r>
          </w:p>
        </w:tc>
        <w:tc>
          <w:tcPr>
            <w:tcW w:w="2683" w:type="dxa"/>
            <w:tcBorders>
              <w:top w:val="single" w:color="auto" w:sz="12" w:space="0"/>
              <w:left w:val="nil"/>
              <w:bottom w:val="single" w:color="auto" w:sz="12" w:space="0"/>
              <w:right w:val="nil"/>
            </w:tcBorders>
          </w:tcPr>
          <w:p w14:paraId="57043D33">
            <w:pPr>
              <w:spacing w:line="360" w:lineRule="auto"/>
              <w:jc w:val="center"/>
              <w:rPr>
                <w:b/>
                <w:bCs/>
                <w:sz w:val="24"/>
              </w:rPr>
            </w:pPr>
            <w:r>
              <w:rPr>
                <w:b/>
                <w:bCs/>
                <w:sz w:val="24"/>
              </w:rPr>
              <w:t>Rct</w:t>
            </w:r>
            <w:r>
              <w:rPr>
                <w:rFonts w:hint="eastAsia"/>
                <w:b/>
                <w:bCs/>
                <w:sz w:val="24"/>
              </w:rPr>
              <w:t>(Ω)</w:t>
            </w:r>
          </w:p>
        </w:tc>
      </w:tr>
      <w:tr w14:paraId="6A57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3" w:type="dxa"/>
            <w:tcBorders>
              <w:top w:val="single" w:color="auto" w:sz="12" w:space="0"/>
              <w:left w:val="nil"/>
              <w:bottom w:val="nil"/>
              <w:right w:val="nil"/>
            </w:tcBorders>
          </w:tcPr>
          <w:p w14:paraId="73B46646">
            <w:pPr>
              <w:spacing w:line="360" w:lineRule="auto"/>
              <w:jc w:val="center"/>
              <w:rPr>
                <w:sz w:val="24"/>
              </w:rPr>
            </w:pPr>
            <w:r>
              <w:rPr>
                <w:sz w:val="24"/>
              </w:rPr>
              <w:t>LMO</w:t>
            </w:r>
          </w:p>
        </w:tc>
        <w:tc>
          <w:tcPr>
            <w:tcW w:w="2830" w:type="dxa"/>
            <w:tcBorders>
              <w:top w:val="single" w:color="auto" w:sz="12" w:space="0"/>
              <w:left w:val="nil"/>
              <w:bottom w:val="nil"/>
              <w:right w:val="nil"/>
            </w:tcBorders>
          </w:tcPr>
          <w:p w14:paraId="6AC47B12">
            <w:pPr>
              <w:spacing w:line="360" w:lineRule="auto"/>
              <w:jc w:val="center"/>
              <w:rPr>
                <w:sz w:val="24"/>
              </w:rPr>
            </w:pPr>
            <w:r>
              <w:rPr>
                <w:sz w:val="24"/>
              </w:rPr>
              <w:t>24.76</w:t>
            </w:r>
          </w:p>
        </w:tc>
        <w:tc>
          <w:tcPr>
            <w:tcW w:w="2683" w:type="dxa"/>
            <w:tcBorders>
              <w:top w:val="single" w:color="auto" w:sz="12" w:space="0"/>
              <w:left w:val="nil"/>
              <w:bottom w:val="nil"/>
              <w:right w:val="nil"/>
            </w:tcBorders>
          </w:tcPr>
          <w:p w14:paraId="0EB25442">
            <w:pPr>
              <w:spacing w:line="360" w:lineRule="auto"/>
              <w:jc w:val="center"/>
              <w:rPr>
                <w:sz w:val="24"/>
              </w:rPr>
            </w:pPr>
            <w:r>
              <w:rPr>
                <w:rFonts w:hint="eastAsia"/>
                <w:sz w:val="24"/>
              </w:rPr>
              <w:t>43.25</w:t>
            </w:r>
          </w:p>
        </w:tc>
      </w:tr>
      <w:tr w14:paraId="4425C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3" w:type="dxa"/>
            <w:tcBorders>
              <w:top w:val="nil"/>
              <w:left w:val="nil"/>
              <w:bottom w:val="single" w:color="auto" w:sz="12" w:space="0"/>
              <w:right w:val="nil"/>
            </w:tcBorders>
          </w:tcPr>
          <w:p w14:paraId="2B4EFC9B">
            <w:pPr>
              <w:spacing w:line="360" w:lineRule="auto"/>
              <w:jc w:val="center"/>
              <w:rPr>
                <w:sz w:val="24"/>
              </w:rPr>
            </w:pPr>
            <w:r>
              <w:rPr>
                <w:sz w:val="24"/>
              </w:rPr>
              <w:t>L</w:t>
            </w:r>
            <w:r>
              <w:rPr>
                <w:rFonts w:hint="eastAsia"/>
                <w:sz w:val="24"/>
              </w:rPr>
              <w:t>Z</w:t>
            </w:r>
            <w:r>
              <w:rPr>
                <w:sz w:val="24"/>
              </w:rPr>
              <w:t>MO</w:t>
            </w:r>
            <w:r>
              <w:rPr>
                <w:rFonts w:hint="eastAsia"/>
                <w:sz w:val="24"/>
              </w:rPr>
              <w:t>-0.03</w:t>
            </w:r>
          </w:p>
        </w:tc>
        <w:tc>
          <w:tcPr>
            <w:tcW w:w="2830" w:type="dxa"/>
            <w:tcBorders>
              <w:top w:val="nil"/>
              <w:left w:val="nil"/>
              <w:bottom w:val="single" w:color="auto" w:sz="12" w:space="0"/>
              <w:right w:val="nil"/>
            </w:tcBorders>
          </w:tcPr>
          <w:p w14:paraId="103D99B5">
            <w:pPr>
              <w:spacing w:line="360" w:lineRule="auto"/>
              <w:jc w:val="center"/>
              <w:rPr>
                <w:sz w:val="24"/>
              </w:rPr>
            </w:pPr>
            <w:r>
              <w:rPr>
                <w:rFonts w:hint="eastAsia"/>
                <w:sz w:val="24"/>
              </w:rPr>
              <w:t>24.52</w:t>
            </w:r>
          </w:p>
        </w:tc>
        <w:tc>
          <w:tcPr>
            <w:tcW w:w="2683" w:type="dxa"/>
            <w:tcBorders>
              <w:top w:val="nil"/>
              <w:left w:val="nil"/>
              <w:bottom w:val="single" w:color="auto" w:sz="12" w:space="0"/>
              <w:right w:val="nil"/>
            </w:tcBorders>
          </w:tcPr>
          <w:p w14:paraId="263E6E9A">
            <w:pPr>
              <w:spacing w:line="360" w:lineRule="auto"/>
              <w:jc w:val="center"/>
              <w:rPr>
                <w:sz w:val="24"/>
              </w:rPr>
            </w:pPr>
            <w:r>
              <w:rPr>
                <w:rFonts w:hint="eastAsia"/>
                <w:sz w:val="24"/>
              </w:rPr>
              <w:t>34.07</w:t>
            </w:r>
          </w:p>
        </w:tc>
      </w:tr>
    </w:tbl>
    <w:p w14:paraId="782E1AE7">
      <w:pPr>
        <w:spacing w:before="240" w:after="240" w:line="360" w:lineRule="auto"/>
        <w:jc w:val="center"/>
        <w:rPr>
          <w:sz w:val="24"/>
        </w:rPr>
      </w:pPr>
      <w:r>
        <w:rPr>
          <w:b/>
          <w:bCs/>
          <w:sz w:val="24"/>
        </w:rPr>
        <w:t xml:space="preserve">Table </w:t>
      </w:r>
      <w:r>
        <w:rPr>
          <w:rFonts w:hint="eastAsia"/>
          <w:b/>
          <w:bCs/>
          <w:sz w:val="24"/>
        </w:rPr>
        <w:t>S7</w:t>
      </w:r>
      <w:r>
        <w:rPr>
          <w:b/>
          <w:bCs/>
          <w:sz w:val="24"/>
        </w:rPr>
        <w:t xml:space="preserve">. </w:t>
      </w:r>
      <w:r>
        <w:rPr>
          <w:sz w:val="24"/>
        </w:rPr>
        <w:t>The</w:t>
      </w:r>
      <w:r>
        <w:rPr>
          <w:rFonts w:hint="eastAsia"/>
          <w:sz w:val="24"/>
        </w:rPr>
        <w:t xml:space="preserve"> </w:t>
      </w:r>
      <w:r>
        <w:rPr>
          <w:sz w:val="24"/>
        </w:rPr>
        <w:t>average diffusion coefficients for Li</w:t>
      </w:r>
      <w:r>
        <w:rPr>
          <w:sz w:val="24"/>
          <w:vertAlign w:val="superscript"/>
        </w:rPr>
        <w:t>+</w:t>
      </w:r>
      <w:r>
        <w:rPr>
          <w:rFonts w:hint="eastAsia"/>
          <w:sz w:val="24"/>
        </w:rPr>
        <w:t xml:space="preserve"> </w:t>
      </w:r>
      <w:r>
        <w:rPr>
          <w:sz w:val="24"/>
        </w:rPr>
        <w:t xml:space="preserve">in </w:t>
      </w:r>
      <w:r>
        <w:rPr>
          <w:rFonts w:hint="eastAsia"/>
          <w:sz w:val="24"/>
        </w:rPr>
        <w:t xml:space="preserve">LMO and </w:t>
      </w:r>
      <w:r>
        <w:rPr>
          <w:sz w:val="24"/>
        </w:rPr>
        <w:t>LZMO-0.03</w:t>
      </w:r>
      <w:r>
        <w:rPr>
          <w:rFonts w:hint="eastAsia"/>
          <w:sz w:val="24"/>
        </w:rPr>
        <w:t>.</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8"/>
        <w:gridCol w:w="1379"/>
        <w:gridCol w:w="1414"/>
        <w:gridCol w:w="1302"/>
        <w:gridCol w:w="1302"/>
        <w:gridCol w:w="1301"/>
      </w:tblGrid>
      <w:tr w14:paraId="50EA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 w:type="pct"/>
            <w:tcBorders>
              <w:top w:val="single" w:color="auto" w:sz="12" w:space="0"/>
              <w:left w:val="nil"/>
              <w:bottom w:val="single" w:color="auto" w:sz="12" w:space="0"/>
              <w:right w:val="nil"/>
            </w:tcBorders>
          </w:tcPr>
          <w:p w14:paraId="1BCAFDFD">
            <w:pPr>
              <w:spacing w:line="360" w:lineRule="auto"/>
              <w:jc w:val="center"/>
              <w:rPr>
                <w:rFonts w:eastAsia="MS Mincho"/>
                <w:b/>
                <w:bCs/>
                <w:sz w:val="24"/>
                <w:lang w:eastAsia="ja-JP"/>
              </w:rPr>
            </w:pPr>
            <w:r>
              <w:rPr>
                <w:rFonts w:eastAsia="MS Mincho"/>
                <w:b/>
                <w:bCs/>
                <w:sz w:val="24"/>
                <w:lang w:eastAsia="ja-JP"/>
              </w:rPr>
              <w:t>D</w:t>
            </w:r>
            <w:r>
              <w:rPr>
                <w:rFonts w:eastAsia="MS Mincho"/>
                <w:b/>
                <w:bCs/>
                <w:sz w:val="24"/>
                <w:vertAlign w:val="subscript"/>
                <w:lang w:eastAsia="ja-JP"/>
              </w:rPr>
              <w:t>Li</w:t>
            </w:r>
            <w:r>
              <w:rPr>
                <w:rFonts w:eastAsia="MS Mincho"/>
                <w:b/>
                <w:bCs/>
                <w:sz w:val="24"/>
                <w:vertAlign w:val="superscript"/>
                <w:lang w:eastAsia="ja-JP"/>
              </w:rPr>
              <w:t>+</w:t>
            </w:r>
            <w:r>
              <w:rPr>
                <w:rFonts w:eastAsia="MS Mincho"/>
                <w:b/>
                <w:bCs/>
                <w:sz w:val="24"/>
                <w:lang w:eastAsia="ja-JP"/>
              </w:rPr>
              <w:t>(cm</w:t>
            </w:r>
            <w:r>
              <w:rPr>
                <w:rFonts w:eastAsia="MS Mincho"/>
                <w:b/>
                <w:bCs/>
                <w:sz w:val="24"/>
                <w:vertAlign w:val="superscript"/>
                <w:lang w:eastAsia="ja-JP"/>
              </w:rPr>
              <w:t>2</w:t>
            </w:r>
            <w:r>
              <w:rPr>
                <w:rFonts w:ascii="Cambria Math" w:hAnsi="Cambria Math" w:eastAsia="MS Mincho" w:cs="Cambria Math"/>
                <w:b/>
                <w:bCs/>
                <w:sz w:val="24"/>
                <w:lang w:eastAsia="ja-JP"/>
              </w:rPr>
              <w:t>⋅</w:t>
            </w:r>
            <w:r>
              <w:rPr>
                <w:rFonts w:eastAsia="MS Mincho"/>
                <w:b/>
                <w:bCs/>
                <w:sz w:val="24"/>
                <w:lang w:eastAsia="ja-JP"/>
              </w:rPr>
              <w:t>s</w:t>
            </w:r>
            <w:r>
              <w:rPr>
                <w:rFonts w:eastAsia="MS Mincho"/>
                <w:b/>
                <w:bCs/>
                <w:sz w:val="24"/>
                <w:vertAlign w:val="superscript"/>
                <w:lang w:eastAsia="ja-JP"/>
              </w:rPr>
              <w:t>−1</w:t>
            </w:r>
            <w:r>
              <w:rPr>
                <w:rFonts w:eastAsia="MS Mincho"/>
                <w:b/>
                <w:bCs/>
                <w:sz w:val="24"/>
                <w:lang w:eastAsia="ja-JP"/>
              </w:rPr>
              <w:t>)</w:t>
            </w:r>
          </w:p>
        </w:tc>
        <w:tc>
          <w:tcPr>
            <w:tcW w:w="831" w:type="pct"/>
            <w:tcBorders>
              <w:top w:val="single" w:color="auto" w:sz="12" w:space="0"/>
              <w:left w:val="nil"/>
              <w:bottom w:val="single" w:color="auto" w:sz="12" w:space="0"/>
              <w:right w:val="nil"/>
            </w:tcBorders>
          </w:tcPr>
          <w:p w14:paraId="557EA64E">
            <w:pPr>
              <w:spacing w:line="360" w:lineRule="auto"/>
              <w:jc w:val="center"/>
              <w:rPr>
                <w:rFonts w:eastAsia="MS Mincho"/>
                <w:b/>
                <w:bCs/>
                <w:sz w:val="24"/>
                <w:lang w:eastAsia="ja-JP"/>
              </w:rPr>
            </w:pPr>
            <w:r>
              <w:rPr>
                <w:rFonts w:eastAsia="MS Mincho"/>
                <w:b/>
                <w:bCs/>
                <w:sz w:val="24"/>
                <w:lang w:eastAsia="ja-JP"/>
              </w:rPr>
              <w:t>Ox</w:t>
            </w:r>
            <w:r>
              <w:rPr>
                <w:rFonts w:eastAsia="MS Mincho"/>
                <w:b/>
                <w:bCs/>
                <w:sz w:val="24"/>
                <w:vertAlign w:val="subscript"/>
                <w:lang w:eastAsia="ja-JP"/>
              </w:rPr>
              <w:t>1</w:t>
            </w:r>
          </w:p>
        </w:tc>
        <w:tc>
          <w:tcPr>
            <w:tcW w:w="852" w:type="pct"/>
            <w:tcBorders>
              <w:top w:val="single" w:color="auto" w:sz="12" w:space="0"/>
              <w:left w:val="nil"/>
              <w:bottom w:val="single" w:color="auto" w:sz="12" w:space="0"/>
              <w:right w:val="nil"/>
            </w:tcBorders>
            <w:vAlign w:val="center"/>
          </w:tcPr>
          <w:p w14:paraId="76BEDE8A">
            <w:pPr>
              <w:spacing w:after="100" w:afterAutospacing="1" w:line="360" w:lineRule="auto"/>
              <w:ind w:firstLine="160"/>
              <w:jc w:val="center"/>
              <w:rPr>
                <w:rFonts w:eastAsia="MS Mincho"/>
                <w:b/>
                <w:bCs/>
                <w:sz w:val="24"/>
                <w:lang w:eastAsia="ja-JP"/>
              </w:rPr>
            </w:pPr>
            <w:r>
              <w:rPr>
                <w:rFonts w:eastAsia="MS Mincho"/>
                <w:b/>
                <w:bCs/>
                <w:sz w:val="24"/>
                <w:lang w:eastAsia="ja-JP"/>
              </w:rPr>
              <w:t>Ox</w:t>
            </w:r>
            <w:r>
              <w:rPr>
                <w:rFonts w:eastAsia="MS Mincho"/>
                <w:b/>
                <w:bCs/>
                <w:sz w:val="24"/>
                <w:vertAlign w:val="subscript"/>
                <w:lang w:eastAsia="ja-JP"/>
              </w:rPr>
              <w:t>2</w:t>
            </w:r>
          </w:p>
        </w:tc>
        <w:tc>
          <w:tcPr>
            <w:tcW w:w="785" w:type="pct"/>
            <w:tcBorders>
              <w:top w:val="single" w:color="auto" w:sz="12" w:space="0"/>
              <w:left w:val="nil"/>
              <w:bottom w:val="single" w:color="auto" w:sz="12" w:space="0"/>
              <w:right w:val="nil"/>
            </w:tcBorders>
            <w:vAlign w:val="center"/>
          </w:tcPr>
          <w:p w14:paraId="136C5D08">
            <w:pPr>
              <w:spacing w:after="100" w:afterAutospacing="1" w:line="360" w:lineRule="auto"/>
              <w:ind w:firstLine="160"/>
              <w:jc w:val="center"/>
              <w:rPr>
                <w:rFonts w:eastAsia="MS Mincho"/>
                <w:b/>
                <w:bCs/>
                <w:sz w:val="24"/>
                <w:lang w:eastAsia="ja-JP"/>
              </w:rPr>
            </w:pPr>
            <w:r>
              <w:rPr>
                <w:rFonts w:eastAsia="MS Mincho"/>
                <w:b/>
                <w:bCs/>
                <w:sz w:val="24"/>
                <w:lang w:eastAsia="ja-JP"/>
              </w:rPr>
              <w:t>Red</w:t>
            </w:r>
            <w:r>
              <w:rPr>
                <w:rFonts w:eastAsia="MS Mincho"/>
                <w:b/>
                <w:bCs/>
                <w:sz w:val="24"/>
                <w:vertAlign w:val="subscript"/>
                <w:lang w:eastAsia="ja-JP"/>
              </w:rPr>
              <w:t>1</w:t>
            </w:r>
          </w:p>
        </w:tc>
        <w:tc>
          <w:tcPr>
            <w:tcW w:w="785" w:type="pct"/>
            <w:tcBorders>
              <w:top w:val="single" w:color="auto" w:sz="12" w:space="0"/>
              <w:left w:val="nil"/>
              <w:bottom w:val="single" w:color="auto" w:sz="12" w:space="0"/>
              <w:right w:val="nil"/>
            </w:tcBorders>
            <w:vAlign w:val="center"/>
          </w:tcPr>
          <w:p w14:paraId="3F39A9FD">
            <w:pPr>
              <w:spacing w:after="100" w:afterAutospacing="1" w:line="360" w:lineRule="auto"/>
              <w:ind w:firstLine="160"/>
              <w:jc w:val="center"/>
              <w:rPr>
                <w:rFonts w:eastAsia="MS Mincho"/>
                <w:b/>
                <w:bCs/>
                <w:sz w:val="24"/>
                <w:lang w:eastAsia="ja-JP"/>
              </w:rPr>
            </w:pPr>
            <w:r>
              <w:rPr>
                <w:rFonts w:eastAsia="MS Mincho"/>
                <w:b/>
                <w:bCs/>
                <w:sz w:val="24"/>
                <w:lang w:eastAsia="ja-JP"/>
              </w:rPr>
              <w:t>Red</w:t>
            </w:r>
            <w:r>
              <w:rPr>
                <w:rFonts w:eastAsia="MS Mincho"/>
                <w:b/>
                <w:bCs/>
                <w:sz w:val="24"/>
                <w:vertAlign w:val="subscript"/>
                <w:lang w:eastAsia="ja-JP"/>
              </w:rPr>
              <w:t>2</w:t>
            </w:r>
          </w:p>
        </w:tc>
        <w:tc>
          <w:tcPr>
            <w:tcW w:w="785" w:type="pct"/>
            <w:tcBorders>
              <w:top w:val="single" w:color="auto" w:sz="12" w:space="0"/>
              <w:left w:val="nil"/>
              <w:bottom w:val="single" w:color="auto" w:sz="12" w:space="0"/>
              <w:right w:val="nil"/>
            </w:tcBorders>
            <w:vAlign w:val="center"/>
          </w:tcPr>
          <w:p w14:paraId="223B1D96">
            <w:pPr>
              <w:spacing w:after="100" w:afterAutospacing="1" w:line="360" w:lineRule="auto"/>
              <w:ind w:firstLine="160"/>
              <w:jc w:val="center"/>
              <w:rPr>
                <w:rFonts w:eastAsia="MS Mincho"/>
                <w:b/>
                <w:bCs/>
                <w:sz w:val="24"/>
                <w:lang w:eastAsia="ja-JP"/>
              </w:rPr>
            </w:pPr>
            <w:r>
              <w:rPr>
                <w:rFonts w:eastAsia="MS Mincho"/>
                <w:b/>
                <w:bCs/>
                <w:sz w:val="24"/>
                <w:lang w:eastAsia="ja-JP"/>
              </w:rPr>
              <w:t>Average</w:t>
            </w:r>
          </w:p>
        </w:tc>
      </w:tr>
      <w:tr w14:paraId="0A96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963" w:type="pct"/>
            <w:tcBorders>
              <w:top w:val="single" w:color="auto" w:sz="12" w:space="0"/>
              <w:left w:val="nil"/>
              <w:bottom w:val="nil"/>
              <w:right w:val="nil"/>
            </w:tcBorders>
            <w:vAlign w:val="center"/>
          </w:tcPr>
          <w:p w14:paraId="5BA1A9EA">
            <w:pPr>
              <w:spacing w:after="100" w:afterAutospacing="1" w:line="360" w:lineRule="auto"/>
              <w:jc w:val="center"/>
              <w:rPr>
                <w:rFonts w:eastAsiaTheme="minorEastAsia"/>
                <w:sz w:val="22"/>
                <w:szCs w:val="22"/>
              </w:rPr>
            </w:pPr>
            <w:r>
              <w:rPr>
                <w:rFonts w:hint="eastAsia" w:eastAsiaTheme="minorEastAsia"/>
                <w:sz w:val="22"/>
                <w:szCs w:val="22"/>
              </w:rPr>
              <w:t>LMO</w:t>
            </w:r>
          </w:p>
        </w:tc>
        <w:tc>
          <w:tcPr>
            <w:tcW w:w="831" w:type="pct"/>
            <w:tcBorders>
              <w:top w:val="single" w:color="auto" w:sz="12" w:space="0"/>
              <w:left w:val="nil"/>
              <w:bottom w:val="nil"/>
              <w:right w:val="nil"/>
            </w:tcBorders>
            <w:vAlign w:val="center"/>
          </w:tcPr>
          <w:p w14:paraId="64005923">
            <w:pPr>
              <w:spacing w:after="100" w:afterAutospacing="1" w:line="360" w:lineRule="auto"/>
              <w:jc w:val="center"/>
              <w:rPr>
                <w:rFonts w:eastAsiaTheme="minorEastAsia"/>
                <w:sz w:val="22"/>
                <w:szCs w:val="22"/>
              </w:rPr>
            </w:pPr>
            <w:r>
              <w:rPr>
                <w:sz w:val="22"/>
                <w:szCs w:val="22"/>
              </w:rPr>
              <w:t>22.92 × 10</w:t>
            </w:r>
            <w:r>
              <w:rPr>
                <w:rFonts w:hint="eastAsia" w:eastAsiaTheme="minorEastAsia"/>
                <w:sz w:val="22"/>
                <w:szCs w:val="22"/>
                <w:vertAlign w:val="superscript"/>
              </w:rPr>
              <w:t>-11</w:t>
            </w:r>
          </w:p>
        </w:tc>
        <w:tc>
          <w:tcPr>
            <w:tcW w:w="852" w:type="pct"/>
            <w:tcBorders>
              <w:top w:val="single" w:color="auto" w:sz="12" w:space="0"/>
              <w:left w:val="nil"/>
              <w:bottom w:val="nil"/>
              <w:right w:val="nil"/>
            </w:tcBorders>
            <w:vAlign w:val="center"/>
          </w:tcPr>
          <w:p w14:paraId="7C687977">
            <w:pPr>
              <w:spacing w:after="100" w:afterAutospacing="1" w:line="360" w:lineRule="auto"/>
              <w:jc w:val="center"/>
              <w:rPr>
                <w:rFonts w:eastAsiaTheme="minorEastAsia"/>
                <w:sz w:val="22"/>
                <w:szCs w:val="22"/>
              </w:rPr>
            </w:pPr>
            <w:r>
              <w:rPr>
                <w:sz w:val="22"/>
                <w:szCs w:val="22"/>
              </w:rPr>
              <w:t>4.85 × 10</w:t>
            </w:r>
            <w:r>
              <w:rPr>
                <w:rFonts w:hint="eastAsia" w:eastAsiaTheme="minorEastAsia"/>
                <w:sz w:val="22"/>
                <w:szCs w:val="22"/>
                <w:vertAlign w:val="superscript"/>
              </w:rPr>
              <w:t>-12</w:t>
            </w:r>
          </w:p>
        </w:tc>
        <w:tc>
          <w:tcPr>
            <w:tcW w:w="785" w:type="pct"/>
            <w:tcBorders>
              <w:top w:val="single" w:color="auto" w:sz="12" w:space="0"/>
              <w:left w:val="nil"/>
              <w:bottom w:val="nil"/>
              <w:right w:val="nil"/>
            </w:tcBorders>
            <w:vAlign w:val="center"/>
          </w:tcPr>
          <w:p w14:paraId="4F08BDB2">
            <w:pPr>
              <w:spacing w:after="100" w:afterAutospacing="1" w:line="360" w:lineRule="auto"/>
              <w:jc w:val="center"/>
              <w:rPr>
                <w:rFonts w:eastAsiaTheme="minorEastAsia"/>
                <w:sz w:val="22"/>
                <w:szCs w:val="22"/>
              </w:rPr>
            </w:pPr>
            <w:r>
              <w:rPr>
                <w:sz w:val="22"/>
                <w:szCs w:val="22"/>
              </w:rPr>
              <w:t>1.1</w:t>
            </w:r>
            <w:r>
              <w:rPr>
                <w:rFonts w:hint="eastAsia" w:eastAsiaTheme="minorEastAsia"/>
                <w:sz w:val="22"/>
                <w:szCs w:val="22"/>
              </w:rPr>
              <w:t>6</w:t>
            </w:r>
            <w:r>
              <w:rPr>
                <w:sz w:val="22"/>
                <w:szCs w:val="22"/>
              </w:rPr>
              <w:t xml:space="preserve"> × 10</w:t>
            </w:r>
            <w:r>
              <w:rPr>
                <w:rFonts w:hint="eastAsia" w:eastAsiaTheme="minorEastAsia"/>
                <w:sz w:val="22"/>
                <w:szCs w:val="22"/>
                <w:vertAlign w:val="superscript"/>
              </w:rPr>
              <w:t>-12</w:t>
            </w:r>
          </w:p>
        </w:tc>
        <w:tc>
          <w:tcPr>
            <w:tcW w:w="785" w:type="pct"/>
            <w:tcBorders>
              <w:top w:val="single" w:color="auto" w:sz="12" w:space="0"/>
              <w:left w:val="nil"/>
              <w:bottom w:val="nil"/>
              <w:right w:val="nil"/>
            </w:tcBorders>
            <w:vAlign w:val="center"/>
          </w:tcPr>
          <w:p w14:paraId="1D622C0F">
            <w:pPr>
              <w:spacing w:after="100" w:afterAutospacing="1" w:line="360" w:lineRule="auto"/>
              <w:jc w:val="center"/>
              <w:rPr>
                <w:rFonts w:eastAsiaTheme="minorEastAsia"/>
                <w:sz w:val="22"/>
                <w:szCs w:val="22"/>
              </w:rPr>
            </w:pPr>
            <w:r>
              <w:rPr>
                <w:sz w:val="22"/>
                <w:szCs w:val="22"/>
              </w:rPr>
              <w:t>0.2</w:t>
            </w:r>
            <w:r>
              <w:rPr>
                <w:rFonts w:hint="eastAsia" w:eastAsiaTheme="minorEastAsia"/>
                <w:sz w:val="22"/>
                <w:szCs w:val="22"/>
              </w:rPr>
              <w:t>2</w:t>
            </w:r>
            <w:r>
              <w:rPr>
                <w:sz w:val="22"/>
                <w:szCs w:val="22"/>
              </w:rPr>
              <w:t>× 10</w:t>
            </w:r>
            <w:r>
              <w:rPr>
                <w:rFonts w:hint="eastAsia" w:eastAsiaTheme="minorEastAsia"/>
                <w:sz w:val="22"/>
                <w:szCs w:val="22"/>
                <w:vertAlign w:val="superscript"/>
              </w:rPr>
              <w:t>-12</w:t>
            </w:r>
          </w:p>
        </w:tc>
        <w:tc>
          <w:tcPr>
            <w:tcW w:w="785" w:type="pct"/>
            <w:tcBorders>
              <w:top w:val="single" w:color="auto" w:sz="12" w:space="0"/>
              <w:left w:val="nil"/>
              <w:bottom w:val="nil"/>
              <w:right w:val="nil"/>
            </w:tcBorders>
            <w:vAlign w:val="center"/>
          </w:tcPr>
          <w:p w14:paraId="5A40FF7C">
            <w:pPr>
              <w:spacing w:after="100" w:afterAutospacing="1" w:line="360" w:lineRule="auto"/>
              <w:jc w:val="center"/>
              <w:rPr>
                <w:sz w:val="22"/>
                <w:szCs w:val="22"/>
              </w:rPr>
            </w:pPr>
            <w:r>
              <w:rPr>
                <w:sz w:val="22"/>
                <w:szCs w:val="22"/>
              </w:rPr>
              <w:t>7.2</w:t>
            </w:r>
            <w:r>
              <w:rPr>
                <w:rFonts w:hint="eastAsia" w:eastAsiaTheme="minorEastAsia"/>
                <w:sz w:val="22"/>
                <w:szCs w:val="22"/>
              </w:rPr>
              <w:t>9</w:t>
            </w:r>
            <w:r>
              <w:rPr>
                <w:sz w:val="22"/>
                <w:szCs w:val="22"/>
              </w:rPr>
              <w:t>×10</w:t>
            </w:r>
            <w:r>
              <w:rPr>
                <w:sz w:val="22"/>
                <w:szCs w:val="22"/>
                <w:vertAlign w:val="superscript"/>
              </w:rPr>
              <w:t>−12</w:t>
            </w:r>
          </w:p>
        </w:tc>
      </w:tr>
      <w:tr w14:paraId="4610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963" w:type="pct"/>
            <w:tcBorders>
              <w:top w:val="nil"/>
              <w:left w:val="nil"/>
              <w:bottom w:val="single" w:color="auto" w:sz="12" w:space="0"/>
              <w:right w:val="nil"/>
            </w:tcBorders>
            <w:vAlign w:val="center"/>
          </w:tcPr>
          <w:p w14:paraId="39D187CB">
            <w:pPr>
              <w:spacing w:after="100" w:afterAutospacing="1" w:line="360" w:lineRule="auto"/>
              <w:jc w:val="center"/>
              <w:rPr>
                <w:sz w:val="22"/>
                <w:szCs w:val="22"/>
              </w:rPr>
            </w:pPr>
            <w:r>
              <w:rPr>
                <w:sz w:val="22"/>
                <w:szCs w:val="22"/>
              </w:rPr>
              <w:t>LZMO-0.03</w:t>
            </w:r>
          </w:p>
        </w:tc>
        <w:tc>
          <w:tcPr>
            <w:tcW w:w="831" w:type="pct"/>
            <w:tcBorders>
              <w:top w:val="nil"/>
              <w:left w:val="nil"/>
              <w:bottom w:val="single" w:color="auto" w:sz="12" w:space="0"/>
              <w:right w:val="nil"/>
            </w:tcBorders>
            <w:vAlign w:val="center"/>
          </w:tcPr>
          <w:p w14:paraId="36534B0B">
            <w:pPr>
              <w:spacing w:after="100" w:afterAutospacing="1" w:line="360" w:lineRule="auto"/>
              <w:jc w:val="center"/>
              <w:rPr>
                <w:sz w:val="22"/>
                <w:szCs w:val="22"/>
              </w:rPr>
            </w:pPr>
            <w:r>
              <w:rPr>
                <w:sz w:val="22"/>
                <w:szCs w:val="22"/>
              </w:rPr>
              <w:t>7.50</w:t>
            </w:r>
            <w:r>
              <w:rPr>
                <w:rFonts w:hint="eastAsia"/>
                <w:sz w:val="22"/>
                <w:szCs w:val="22"/>
              </w:rPr>
              <w:t xml:space="preserve"> </w:t>
            </w:r>
            <w:r>
              <w:rPr>
                <w:sz w:val="22"/>
                <w:szCs w:val="22"/>
              </w:rPr>
              <w:t>×</w:t>
            </w:r>
            <w:r>
              <w:rPr>
                <w:rFonts w:hint="eastAsia"/>
                <w:sz w:val="22"/>
                <w:szCs w:val="22"/>
              </w:rPr>
              <w:t xml:space="preserve"> </w:t>
            </w:r>
            <w:r>
              <w:rPr>
                <w:sz w:val="22"/>
                <w:szCs w:val="22"/>
              </w:rPr>
              <w:t>10</w:t>
            </w:r>
            <w:r>
              <w:rPr>
                <w:sz w:val="22"/>
                <w:szCs w:val="22"/>
                <w:vertAlign w:val="superscript"/>
              </w:rPr>
              <w:t>−11</w:t>
            </w:r>
          </w:p>
        </w:tc>
        <w:tc>
          <w:tcPr>
            <w:tcW w:w="852" w:type="pct"/>
            <w:tcBorders>
              <w:top w:val="nil"/>
              <w:left w:val="nil"/>
              <w:bottom w:val="single" w:color="auto" w:sz="12" w:space="0"/>
              <w:right w:val="nil"/>
            </w:tcBorders>
            <w:vAlign w:val="center"/>
          </w:tcPr>
          <w:p w14:paraId="3472A5BC">
            <w:pPr>
              <w:spacing w:after="100" w:afterAutospacing="1" w:line="360" w:lineRule="auto"/>
              <w:jc w:val="center"/>
              <w:rPr>
                <w:sz w:val="22"/>
                <w:szCs w:val="22"/>
              </w:rPr>
            </w:pPr>
            <w:r>
              <w:rPr>
                <w:sz w:val="22"/>
                <w:szCs w:val="22"/>
              </w:rPr>
              <w:t>10.3</w:t>
            </w:r>
            <w:r>
              <w:rPr>
                <w:rFonts w:hint="eastAsia" w:eastAsiaTheme="minorEastAsia"/>
                <w:sz w:val="22"/>
                <w:szCs w:val="22"/>
              </w:rPr>
              <w:t xml:space="preserve">0 </w:t>
            </w:r>
            <w:r>
              <w:rPr>
                <w:sz w:val="22"/>
                <w:szCs w:val="22"/>
              </w:rPr>
              <w:t>×</w:t>
            </w:r>
            <w:r>
              <w:rPr>
                <w:rFonts w:hint="eastAsia"/>
                <w:sz w:val="22"/>
                <w:szCs w:val="22"/>
              </w:rPr>
              <w:t xml:space="preserve"> </w:t>
            </w:r>
            <w:r>
              <w:rPr>
                <w:sz w:val="22"/>
                <w:szCs w:val="22"/>
              </w:rPr>
              <w:t>10</w:t>
            </w:r>
            <w:r>
              <w:rPr>
                <w:sz w:val="22"/>
                <w:szCs w:val="22"/>
                <w:vertAlign w:val="superscript"/>
              </w:rPr>
              <w:t>−11</w:t>
            </w:r>
          </w:p>
        </w:tc>
        <w:tc>
          <w:tcPr>
            <w:tcW w:w="785" w:type="pct"/>
            <w:tcBorders>
              <w:top w:val="nil"/>
              <w:left w:val="nil"/>
              <w:bottom w:val="single" w:color="auto" w:sz="12" w:space="0"/>
              <w:right w:val="nil"/>
            </w:tcBorders>
            <w:vAlign w:val="center"/>
          </w:tcPr>
          <w:p w14:paraId="2D4CF4BD">
            <w:pPr>
              <w:spacing w:after="100" w:afterAutospacing="1" w:line="360" w:lineRule="auto"/>
              <w:jc w:val="center"/>
              <w:rPr>
                <w:sz w:val="22"/>
                <w:szCs w:val="22"/>
              </w:rPr>
            </w:pPr>
            <w:r>
              <w:rPr>
                <w:sz w:val="22"/>
                <w:szCs w:val="22"/>
              </w:rPr>
              <w:t>8.03</w:t>
            </w:r>
            <w:r>
              <w:rPr>
                <w:rFonts w:hint="eastAsia"/>
                <w:sz w:val="22"/>
                <w:szCs w:val="22"/>
              </w:rPr>
              <w:t xml:space="preserve"> </w:t>
            </w:r>
            <w:r>
              <w:rPr>
                <w:sz w:val="22"/>
                <w:szCs w:val="22"/>
              </w:rPr>
              <w:t>×</w:t>
            </w:r>
            <w:r>
              <w:rPr>
                <w:rFonts w:hint="eastAsia"/>
                <w:sz w:val="22"/>
                <w:szCs w:val="22"/>
              </w:rPr>
              <w:t xml:space="preserve"> </w:t>
            </w:r>
            <w:r>
              <w:rPr>
                <w:sz w:val="22"/>
                <w:szCs w:val="22"/>
              </w:rPr>
              <w:t>10</w:t>
            </w:r>
            <w:r>
              <w:rPr>
                <w:sz w:val="22"/>
                <w:szCs w:val="22"/>
                <w:vertAlign w:val="superscript"/>
              </w:rPr>
              <w:t>−11</w:t>
            </w:r>
          </w:p>
        </w:tc>
        <w:tc>
          <w:tcPr>
            <w:tcW w:w="785" w:type="pct"/>
            <w:tcBorders>
              <w:top w:val="nil"/>
              <w:left w:val="nil"/>
              <w:bottom w:val="single" w:color="auto" w:sz="12" w:space="0"/>
              <w:right w:val="nil"/>
            </w:tcBorders>
            <w:vAlign w:val="center"/>
          </w:tcPr>
          <w:p w14:paraId="7C55CF86">
            <w:pPr>
              <w:spacing w:after="100" w:afterAutospacing="1" w:line="360" w:lineRule="auto"/>
              <w:jc w:val="center"/>
              <w:rPr>
                <w:sz w:val="22"/>
                <w:szCs w:val="22"/>
              </w:rPr>
            </w:pPr>
            <w:r>
              <w:rPr>
                <w:sz w:val="22"/>
                <w:szCs w:val="22"/>
              </w:rPr>
              <w:t>7.80</w:t>
            </w:r>
            <w:r>
              <w:rPr>
                <w:rFonts w:hint="eastAsia"/>
                <w:sz w:val="22"/>
                <w:szCs w:val="22"/>
              </w:rPr>
              <w:t xml:space="preserve"> </w:t>
            </w:r>
            <w:r>
              <w:rPr>
                <w:sz w:val="22"/>
                <w:szCs w:val="22"/>
              </w:rPr>
              <w:t>×</w:t>
            </w:r>
            <w:r>
              <w:rPr>
                <w:rFonts w:hint="eastAsia"/>
                <w:sz w:val="22"/>
                <w:szCs w:val="22"/>
              </w:rPr>
              <w:t xml:space="preserve"> </w:t>
            </w:r>
            <w:r>
              <w:rPr>
                <w:sz w:val="22"/>
                <w:szCs w:val="22"/>
              </w:rPr>
              <w:t>10</w:t>
            </w:r>
            <w:r>
              <w:rPr>
                <w:sz w:val="22"/>
                <w:szCs w:val="22"/>
                <w:vertAlign w:val="superscript"/>
              </w:rPr>
              <w:t>−11</w:t>
            </w:r>
          </w:p>
        </w:tc>
        <w:tc>
          <w:tcPr>
            <w:tcW w:w="785" w:type="pct"/>
            <w:tcBorders>
              <w:top w:val="nil"/>
              <w:left w:val="nil"/>
              <w:bottom w:val="single" w:color="auto" w:sz="12" w:space="0"/>
              <w:right w:val="nil"/>
            </w:tcBorders>
            <w:vAlign w:val="center"/>
          </w:tcPr>
          <w:p w14:paraId="030731DB">
            <w:pPr>
              <w:spacing w:after="100" w:afterAutospacing="1" w:line="360" w:lineRule="auto"/>
              <w:jc w:val="center"/>
              <w:rPr>
                <w:sz w:val="22"/>
                <w:szCs w:val="22"/>
              </w:rPr>
            </w:pPr>
            <w:r>
              <w:rPr>
                <w:sz w:val="22"/>
                <w:szCs w:val="22"/>
              </w:rPr>
              <w:t>8.41</w:t>
            </w:r>
            <w:r>
              <w:rPr>
                <w:rFonts w:hint="eastAsia"/>
                <w:sz w:val="22"/>
                <w:szCs w:val="22"/>
              </w:rPr>
              <w:t xml:space="preserve"> </w:t>
            </w:r>
            <w:r>
              <w:rPr>
                <w:sz w:val="22"/>
                <w:szCs w:val="22"/>
              </w:rPr>
              <w:t>×</w:t>
            </w:r>
            <w:r>
              <w:rPr>
                <w:rFonts w:hint="eastAsia"/>
                <w:sz w:val="22"/>
                <w:szCs w:val="22"/>
              </w:rPr>
              <w:t xml:space="preserve"> </w:t>
            </w:r>
            <w:r>
              <w:rPr>
                <w:sz w:val="22"/>
                <w:szCs w:val="22"/>
              </w:rPr>
              <w:t>10</w:t>
            </w:r>
            <w:r>
              <w:rPr>
                <w:sz w:val="22"/>
                <w:szCs w:val="22"/>
                <w:vertAlign w:val="superscript"/>
              </w:rPr>
              <w:t>−11</w:t>
            </w:r>
          </w:p>
        </w:tc>
      </w:tr>
    </w:tbl>
    <w:p w14:paraId="0E795E60">
      <w:pPr>
        <w:widowControl/>
        <w:spacing w:line="360" w:lineRule="auto"/>
        <w:jc w:val="left"/>
        <w:rPr>
          <w:b/>
          <w:bCs/>
          <w:sz w:val="24"/>
        </w:rPr>
      </w:pPr>
      <w:r>
        <w:rPr>
          <w:b/>
          <w:bCs/>
          <w:spacing w:val="-12"/>
          <w:sz w:val="24"/>
        </w:rPr>
        <w:br w:type="page"/>
      </w:r>
      <w:bookmarkStart w:id="49" w:name="OLE_LINK91"/>
      <w:r>
        <w:rPr>
          <w:b/>
          <w:bCs/>
          <w:sz w:val="24"/>
        </w:rPr>
        <w:t>Table</w:t>
      </w:r>
      <w:r>
        <w:rPr>
          <w:rFonts w:hint="eastAsia"/>
          <w:b/>
          <w:bCs/>
          <w:sz w:val="24"/>
        </w:rPr>
        <w:t xml:space="preserve"> S8</w:t>
      </w:r>
      <w:r>
        <w:rPr>
          <w:b/>
          <w:bCs/>
          <w:sz w:val="24"/>
        </w:rPr>
        <w:t>.</w:t>
      </w:r>
      <w:r>
        <w:rPr>
          <w:rFonts w:hint="eastAsia"/>
          <w:b/>
          <w:bCs/>
          <w:sz w:val="24"/>
        </w:rPr>
        <w:t xml:space="preserve"> </w:t>
      </w:r>
      <w:r>
        <w:rPr>
          <w:sz w:val="24"/>
        </w:rPr>
        <w:t>T</w:t>
      </w:r>
      <w:r>
        <w:rPr>
          <w:rFonts w:hint="eastAsia"/>
          <w:sz w:val="24"/>
        </w:rPr>
        <w:t>he</w:t>
      </w:r>
      <w:r>
        <w:rPr>
          <w:sz w:val="24"/>
        </w:rPr>
        <w:t xml:space="preserve"> manganese loss ratio of LMO and LZMO-0.03</w:t>
      </w:r>
      <w:r>
        <w:rPr>
          <w:rFonts w:hint="eastAsia"/>
          <w:sz w:val="24"/>
        </w:rPr>
        <w:t>.</w:t>
      </w:r>
    </w:p>
    <w:bookmarkEnd w:id="49"/>
    <w:tbl>
      <w:tblPr>
        <w:tblStyle w:val="11"/>
        <w:tblW w:w="5000" w:type="pct"/>
        <w:jc w:val="center"/>
        <w:tblLayout w:type="autofit"/>
        <w:tblCellMar>
          <w:top w:w="0" w:type="dxa"/>
          <w:left w:w="108" w:type="dxa"/>
          <w:bottom w:w="0" w:type="dxa"/>
          <w:right w:w="108" w:type="dxa"/>
        </w:tblCellMar>
      </w:tblPr>
      <w:tblGrid>
        <w:gridCol w:w="4261"/>
        <w:gridCol w:w="1887"/>
        <w:gridCol w:w="2158"/>
      </w:tblGrid>
      <w:tr w14:paraId="061B58F0">
        <w:tblPrEx>
          <w:tblCellMar>
            <w:top w:w="0" w:type="dxa"/>
            <w:left w:w="108" w:type="dxa"/>
            <w:bottom w:w="0" w:type="dxa"/>
            <w:right w:w="108" w:type="dxa"/>
          </w:tblCellMar>
        </w:tblPrEx>
        <w:trPr>
          <w:trHeight w:val="502" w:hRule="atLeast"/>
          <w:jc w:val="center"/>
        </w:trPr>
        <w:tc>
          <w:tcPr>
            <w:tcW w:w="2565" w:type="pct"/>
            <w:tcBorders>
              <w:top w:val="single" w:color="auto" w:sz="12" w:space="0"/>
              <w:bottom w:val="single" w:color="auto" w:sz="12" w:space="0"/>
            </w:tcBorders>
            <w:tcMar>
              <w:top w:w="0" w:type="dxa"/>
              <w:left w:w="108" w:type="dxa"/>
              <w:bottom w:w="0" w:type="dxa"/>
              <w:right w:w="108" w:type="dxa"/>
            </w:tcMar>
            <w:vAlign w:val="center"/>
          </w:tcPr>
          <w:p w14:paraId="61263648">
            <w:pPr>
              <w:spacing w:line="360" w:lineRule="auto"/>
              <w:jc w:val="center"/>
              <w:rPr>
                <w:b/>
                <w:bCs/>
                <w:sz w:val="24"/>
              </w:rPr>
            </w:pPr>
            <w:r>
              <w:rPr>
                <w:b/>
                <w:bCs/>
                <w:sz w:val="24"/>
              </w:rPr>
              <w:t>Cycle number</w:t>
            </w:r>
          </w:p>
        </w:tc>
        <w:tc>
          <w:tcPr>
            <w:tcW w:w="1136" w:type="pct"/>
            <w:tcBorders>
              <w:top w:val="single" w:color="auto" w:sz="12" w:space="0"/>
              <w:bottom w:val="single" w:color="auto" w:sz="12" w:space="0"/>
            </w:tcBorders>
            <w:tcMar>
              <w:top w:w="0" w:type="dxa"/>
              <w:left w:w="108" w:type="dxa"/>
              <w:bottom w:w="0" w:type="dxa"/>
              <w:right w:w="108" w:type="dxa"/>
            </w:tcMar>
            <w:vAlign w:val="center"/>
          </w:tcPr>
          <w:p w14:paraId="11FD44D8">
            <w:pPr>
              <w:spacing w:line="360" w:lineRule="auto"/>
              <w:jc w:val="center"/>
              <w:rPr>
                <w:b/>
                <w:bCs/>
                <w:sz w:val="24"/>
              </w:rPr>
            </w:pPr>
            <w:r>
              <w:rPr>
                <w:b/>
                <w:bCs/>
                <w:sz w:val="24"/>
              </w:rPr>
              <w:t>LMO</w:t>
            </w:r>
          </w:p>
        </w:tc>
        <w:tc>
          <w:tcPr>
            <w:tcW w:w="1299" w:type="pct"/>
            <w:tcBorders>
              <w:top w:val="single" w:color="auto" w:sz="12" w:space="0"/>
              <w:bottom w:val="single" w:color="auto" w:sz="12" w:space="0"/>
            </w:tcBorders>
            <w:tcMar>
              <w:top w:w="0" w:type="dxa"/>
              <w:left w:w="108" w:type="dxa"/>
              <w:bottom w:w="0" w:type="dxa"/>
              <w:right w:w="108" w:type="dxa"/>
            </w:tcMar>
            <w:vAlign w:val="center"/>
          </w:tcPr>
          <w:p w14:paraId="3C46E065">
            <w:pPr>
              <w:spacing w:line="360" w:lineRule="auto"/>
              <w:jc w:val="center"/>
              <w:rPr>
                <w:b/>
                <w:bCs/>
                <w:sz w:val="24"/>
              </w:rPr>
            </w:pPr>
            <w:r>
              <w:rPr>
                <w:b/>
                <w:bCs/>
                <w:sz w:val="24"/>
              </w:rPr>
              <w:t>LZMO-0.03</w:t>
            </w:r>
          </w:p>
        </w:tc>
      </w:tr>
      <w:tr w14:paraId="75BD3004">
        <w:tblPrEx>
          <w:tblCellMar>
            <w:top w:w="0" w:type="dxa"/>
            <w:left w:w="108" w:type="dxa"/>
            <w:bottom w:w="0" w:type="dxa"/>
            <w:right w:w="108" w:type="dxa"/>
          </w:tblCellMar>
        </w:tblPrEx>
        <w:trPr>
          <w:trHeight w:val="417" w:hRule="atLeast"/>
          <w:jc w:val="center"/>
        </w:trPr>
        <w:tc>
          <w:tcPr>
            <w:tcW w:w="2565" w:type="pct"/>
            <w:tcBorders>
              <w:top w:val="single" w:color="auto" w:sz="12" w:space="0"/>
            </w:tcBorders>
            <w:tcMar>
              <w:top w:w="0" w:type="dxa"/>
              <w:left w:w="108" w:type="dxa"/>
              <w:bottom w:w="0" w:type="dxa"/>
              <w:right w:w="108" w:type="dxa"/>
            </w:tcMar>
            <w:vAlign w:val="center"/>
          </w:tcPr>
          <w:p w14:paraId="622FA549">
            <w:pPr>
              <w:spacing w:line="360" w:lineRule="auto"/>
              <w:jc w:val="center"/>
              <w:rPr>
                <w:sz w:val="24"/>
              </w:rPr>
            </w:pPr>
            <w:r>
              <w:rPr>
                <w:sz w:val="24"/>
              </w:rPr>
              <w:t>1</w:t>
            </w:r>
          </w:p>
        </w:tc>
        <w:tc>
          <w:tcPr>
            <w:tcW w:w="1136" w:type="pct"/>
            <w:tcBorders>
              <w:top w:val="single" w:color="auto" w:sz="12" w:space="0"/>
            </w:tcBorders>
            <w:tcMar>
              <w:top w:w="0" w:type="dxa"/>
              <w:left w:w="108" w:type="dxa"/>
              <w:bottom w:w="0" w:type="dxa"/>
              <w:right w:w="108" w:type="dxa"/>
            </w:tcMar>
            <w:vAlign w:val="center"/>
          </w:tcPr>
          <w:p w14:paraId="58E4C0E7">
            <w:pPr>
              <w:spacing w:line="360" w:lineRule="auto"/>
              <w:jc w:val="center"/>
              <w:rPr>
                <w:sz w:val="24"/>
              </w:rPr>
            </w:pPr>
            <w:r>
              <w:rPr>
                <w:sz w:val="24"/>
              </w:rPr>
              <w:t>0.12</w:t>
            </w:r>
          </w:p>
        </w:tc>
        <w:tc>
          <w:tcPr>
            <w:tcW w:w="1299" w:type="pct"/>
            <w:tcBorders>
              <w:top w:val="single" w:color="auto" w:sz="12" w:space="0"/>
            </w:tcBorders>
            <w:tcMar>
              <w:top w:w="0" w:type="dxa"/>
              <w:left w:w="108" w:type="dxa"/>
              <w:bottom w:w="0" w:type="dxa"/>
              <w:right w:w="108" w:type="dxa"/>
            </w:tcMar>
            <w:vAlign w:val="center"/>
          </w:tcPr>
          <w:p w14:paraId="5AC94086">
            <w:pPr>
              <w:spacing w:line="360" w:lineRule="auto"/>
              <w:jc w:val="center"/>
              <w:rPr>
                <w:sz w:val="24"/>
              </w:rPr>
            </w:pPr>
            <w:r>
              <w:rPr>
                <w:sz w:val="24"/>
              </w:rPr>
              <w:t>0.03</w:t>
            </w:r>
          </w:p>
        </w:tc>
      </w:tr>
      <w:tr w14:paraId="49BF5350">
        <w:tblPrEx>
          <w:tblCellMar>
            <w:top w:w="0" w:type="dxa"/>
            <w:left w:w="108" w:type="dxa"/>
            <w:bottom w:w="0" w:type="dxa"/>
            <w:right w:w="108" w:type="dxa"/>
          </w:tblCellMar>
        </w:tblPrEx>
        <w:trPr>
          <w:trHeight w:val="462" w:hRule="atLeast"/>
          <w:jc w:val="center"/>
        </w:trPr>
        <w:tc>
          <w:tcPr>
            <w:tcW w:w="2565" w:type="pct"/>
            <w:tcMar>
              <w:top w:w="0" w:type="dxa"/>
              <w:left w:w="108" w:type="dxa"/>
              <w:bottom w:w="0" w:type="dxa"/>
              <w:right w:w="108" w:type="dxa"/>
            </w:tcMar>
            <w:vAlign w:val="center"/>
          </w:tcPr>
          <w:p w14:paraId="75E7F366">
            <w:pPr>
              <w:spacing w:line="360" w:lineRule="auto"/>
              <w:jc w:val="center"/>
              <w:rPr>
                <w:sz w:val="24"/>
              </w:rPr>
            </w:pPr>
            <w:r>
              <w:rPr>
                <w:rFonts w:hint="eastAsia"/>
                <w:sz w:val="24"/>
              </w:rPr>
              <w:t>10</w:t>
            </w:r>
          </w:p>
        </w:tc>
        <w:tc>
          <w:tcPr>
            <w:tcW w:w="1136" w:type="pct"/>
            <w:tcMar>
              <w:top w:w="0" w:type="dxa"/>
              <w:left w:w="108" w:type="dxa"/>
              <w:bottom w:w="0" w:type="dxa"/>
              <w:right w:w="108" w:type="dxa"/>
            </w:tcMar>
            <w:vAlign w:val="center"/>
          </w:tcPr>
          <w:p w14:paraId="5E718A43">
            <w:pPr>
              <w:spacing w:line="360" w:lineRule="auto"/>
              <w:jc w:val="center"/>
              <w:rPr>
                <w:sz w:val="24"/>
              </w:rPr>
            </w:pPr>
            <w:r>
              <w:rPr>
                <w:sz w:val="24"/>
              </w:rPr>
              <w:t>0.</w:t>
            </w:r>
            <w:r>
              <w:rPr>
                <w:rFonts w:hint="eastAsia"/>
                <w:sz w:val="24"/>
              </w:rPr>
              <w:t>5</w:t>
            </w:r>
            <w:r>
              <w:rPr>
                <w:sz w:val="24"/>
              </w:rPr>
              <w:t>5</w:t>
            </w:r>
          </w:p>
        </w:tc>
        <w:tc>
          <w:tcPr>
            <w:tcW w:w="1299" w:type="pct"/>
            <w:tcMar>
              <w:top w:w="0" w:type="dxa"/>
              <w:left w:w="108" w:type="dxa"/>
              <w:bottom w:w="0" w:type="dxa"/>
              <w:right w:w="108" w:type="dxa"/>
            </w:tcMar>
            <w:vAlign w:val="center"/>
          </w:tcPr>
          <w:p w14:paraId="44D21012">
            <w:pPr>
              <w:spacing w:line="360" w:lineRule="auto"/>
              <w:jc w:val="center"/>
              <w:rPr>
                <w:sz w:val="24"/>
              </w:rPr>
            </w:pPr>
            <w:r>
              <w:rPr>
                <w:sz w:val="24"/>
              </w:rPr>
              <w:t>0.</w:t>
            </w:r>
            <w:r>
              <w:rPr>
                <w:rFonts w:hint="eastAsia"/>
                <w:sz w:val="24"/>
              </w:rPr>
              <w:t>32</w:t>
            </w:r>
          </w:p>
        </w:tc>
      </w:tr>
      <w:tr w14:paraId="0653F53F">
        <w:tblPrEx>
          <w:tblCellMar>
            <w:top w:w="0" w:type="dxa"/>
            <w:left w:w="108" w:type="dxa"/>
            <w:bottom w:w="0" w:type="dxa"/>
            <w:right w:w="108" w:type="dxa"/>
          </w:tblCellMar>
        </w:tblPrEx>
        <w:trPr>
          <w:trHeight w:val="421" w:hRule="atLeast"/>
          <w:jc w:val="center"/>
        </w:trPr>
        <w:tc>
          <w:tcPr>
            <w:tcW w:w="2565" w:type="pct"/>
            <w:tcBorders>
              <w:bottom w:val="single" w:color="auto" w:sz="12" w:space="0"/>
            </w:tcBorders>
            <w:tcMar>
              <w:top w:w="0" w:type="dxa"/>
              <w:left w:w="108" w:type="dxa"/>
              <w:bottom w:w="0" w:type="dxa"/>
              <w:right w:w="108" w:type="dxa"/>
            </w:tcMar>
            <w:vAlign w:val="center"/>
          </w:tcPr>
          <w:p w14:paraId="4BEBF68F">
            <w:pPr>
              <w:spacing w:line="360" w:lineRule="auto"/>
              <w:jc w:val="center"/>
              <w:rPr>
                <w:sz w:val="24"/>
              </w:rPr>
            </w:pPr>
            <w:r>
              <w:rPr>
                <w:rFonts w:hint="eastAsia"/>
                <w:sz w:val="24"/>
              </w:rPr>
              <w:t>20</w:t>
            </w:r>
          </w:p>
        </w:tc>
        <w:tc>
          <w:tcPr>
            <w:tcW w:w="1136" w:type="pct"/>
            <w:tcBorders>
              <w:bottom w:val="single" w:color="auto" w:sz="12" w:space="0"/>
            </w:tcBorders>
            <w:tcMar>
              <w:top w:w="0" w:type="dxa"/>
              <w:left w:w="108" w:type="dxa"/>
              <w:bottom w:w="0" w:type="dxa"/>
              <w:right w:w="108" w:type="dxa"/>
            </w:tcMar>
            <w:vAlign w:val="center"/>
          </w:tcPr>
          <w:p w14:paraId="365EA544">
            <w:pPr>
              <w:spacing w:line="360" w:lineRule="auto"/>
              <w:jc w:val="center"/>
              <w:rPr>
                <w:sz w:val="24"/>
              </w:rPr>
            </w:pPr>
            <w:r>
              <w:rPr>
                <w:sz w:val="24"/>
              </w:rPr>
              <w:t>0.</w:t>
            </w:r>
            <w:r>
              <w:rPr>
                <w:rFonts w:hint="eastAsia"/>
                <w:sz w:val="24"/>
              </w:rPr>
              <w:t>8</w:t>
            </w:r>
            <w:r>
              <w:rPr>
                <w:sz w:val="24"/>
              </w:rPr>
              <w:t>5</w:t>
            </w:r>
          </w:p>
        </w:tc>
        <w:tc>
          <w:tcPr>
            <w:tcW w:w="1299" w:type="pct"/>
            <w:tcBorders>
              <w:bottom w:val="single" w:color="auto" w:sz="12" w:space="0"/>
            </w:tcBorders>
            <w:tcMar>
              <w:top w:w="0" w:type="dxa"/>
              <w:left w:w="108" w:type="dxa"/>
              <w:bottom w:w="0" w:type="dxa"/>
              <w:right w:w="108" w:type="dxa"/>
            </w:tcMar>
            <w:vAlign w:val="center"/>
          </w:tcPr>
          <w:p w14:paraId="67F6E8F5">
            <w:pPr>
              <w:spacing w:line="360" w:lineRule="auto"/>
              <w:jc w:val="center"/>
              <w:rPr>
                <w:sz w:val="24"/>
              </w:rPr>
            </w:pPr>
            <w:r>
              <w:rPr>
                <w:sz w:val="24"/>
              </w:rPr>
              <w:t>0.</w:t>
            </w:r>
            <w:r>
              <w:rPr>
                <w:rFonts w:hint="eastAsia"/>
                <w:sz w:val="24"/>
              </w:rPr>
              <w:t>45</w:t>
            </w:r>
          </w:p>
        </w:tc>
      </w:tr>
    </w:tbl>
    <w:p w14:paraId="78280B07">
      <w:pPr>
        <w:spacing w:before="240" w:after="240" w:line="360" w:lineRule="auto"/>
        <w:jc w:val="center"/>
        <w:rPr>
          <w:sz w:val="24"/>
        </w:rPr>
      </w:pPr>
      <w:r>
        <w:rPr>
          <w:b/>
          <w:bCs/>
          <w:sz w:val="24"/>
        </w:rPr>
        <w:t xml:space="preserve">Table </w:t>
      </w:r>
      <w:r>
        <w:rPr>
          <w:rFonts w:hint="eastAsia"/>
          <w:b/>
          <w:bCs/>
          <w:sz w:val="24"/>
        </w:rPr>
        <w:t xml:space="preserve">S9. </w:t>
      </w:r>
      <w:r>
        <w:rPr>
          <w:sz w:val="24"/>
        </w:rPr>
        <w:t>Comparison of this work with modified-LMO materials in Simulated brine.</w:t>
      </w:r>
    </w:p>
    <w:tbl>
      <w:tblPr>
        <w:tblStyle w:val="11"/>
        <w:tblW w:w="0" w:type="auto"/>
        <w:tblInd w:w="108" w:type="dxa"/>
        <w:tblLayout w:type="autofit"/>
        <w:tblCellMar>
          <w:top w:w="0" w:type="dxa"/>
          <w:left w:w="108" w:type="dxa"/>
          <w:bottom w:w="0" w:type="dxa"/>
          <w:right w:w="108" w:type="dxa"/>
        </w:tblCellMar>
      </w:tblPr>
      <w:tblGrid>
        <w:gridCol w:w="1465"/>
        <w:gridCol w:w="1933"/>
        <w:gridCol w:w="1803"/>
        <w:gridCol w:w="1925"/>
        <w:gridCol w:w="1072"/>
      </w:tblGrid>
      <w:tr w14:paraId="4A2D89A7">
        <w:tblPrEx>
          <w:tblCellMar>
            <w:top w:w="0" w:type="dxa"/>
            <w:left w:w="108" w:type="dxa"/>
            <w:bottom w:w="0" w:type="dxa"/>
            <w:right w:w="108" w:type="dxa"/>
          </w:tblCellMar>
        </w:tblPrEx>
        <w:trPr>
          <w:trHeight w:val="762" w:hRule="atLeast"/>
        </w:trPr>
        <w:tc>
          <w:tcPr>
            <w:tcW w:w="1465" w:type="dxa"/>
            <w:tcBorders>
              <w:top w:val="single" w:color="auto" w:sz="12" w:space="0"/>
              <w:bottom w:val="single" w:color="auto" w:sz="12" w:space="0"/>
            </w:tcBorders>
            <w:tcMar>
              <w:top w:w="0" w:type="dxa"/>
              <w:left w:w="108" w:type="dxa"/>
              <w:bottom w:w="0" w:type="dxa"/>
              <w:right w:w="108" w:type="dxa"/>
            </w:tcMar>
            <w:vAlign w:val="center"/>
          </w:tcPr>
          <w:p w14:paraId="333BF4AB">
            <w:pPr>
              <w:spacing w:line="360" w:lineRule="auto"/>
              <w:jc w:val="center"/>
              <w:rPr>
                <w:b/>
                <w:bCs/>
                <w:sz w:val="24"/>
              </w:rPr>
            </w:pPr>
            <w:r>
              <w:rPr>
                <w:b/>
                <w:bCs/>
                <w:sz w:val="24"/>
              </w:rPr>
              <w:t>Working</w:t>
            </w:r>
          </w:p>
          <w:p w14:paraId="1E2617F8">
            <w:pPr>
              <w:spacing w:line="360" w:lineRule="auto"/>
              <w:jc w:val="center"/>
              <w:rPr>
                <w:sz w:val="24"/>
              </w:rPr>
            </w:pPr>
            <w:r>
              <w:rPr>
                <w:b/>
                <w:bCs/>
                <w:sz w:val="24"/>
              </w:rPr>
              <w:t>electrode</w:t>
            </w:r>
          </w:p>
        </w:tc>
        <w:tc>
          <w:tcPr>
            <w:tcW w:w="1933" w:type="dxa"/>
            <w:tcBorders>
              <w:top w:val="single" w:color="auto" w:sz="12" w:space="0"/>
              <w:bottom w:val="single" w:color="auto" w:sz="12" w:space="0"/>
            </w:tcBorders>
            <w:tcMar>
              <w:top w:w="0" w:type="dxa"/>
              <w:left w:w="108" w:type="dxa"/>
              <w:bottom w:w="0" w:type="dxa"/>
              <w:right w:w="108" w:type="dxa"/>
            </w:tcMar>
            <w:vAlign w:val="center"/>
          </w:tcPr>
          <w:p w14:paraId="36724263">
            <w:pPr>
              <w:pStyle w:val="20"/>
              <w:spacing w:line="360" w:lineRule="auto"/>
              <w:jc w:val="center"/>
              <w:rPr>
                <w:b/>
                <w:bCs/>
                <w:sz w:val="24"/>
                <w:szCs w:val="24"/>
              </w:rPr>
            </w:pPr>
            <w:r>
              <w:rPr>
                <w:b/>
                <w:bCs/>
                <w:sz w:val="24"/>
                <w:szCs w:val="24"/>
              </w:rPr>
              <w:t>Li</w:t>
            </w:r>
            <w:r>
              <w:rPr>
                <w:b/>
                <w:bCs/>
                <w:sz w:val="24"/>
                <w:szCs w:val="24"/>
                <w:vertAlign w:val="superscript"/>
                <w:lang w:eastAsia="zh-CN"/>
              </w:rPr>
              <w:t>+</w:t>
            </w:r>
            <w:r>
              <w:rPr>
                <w:b/>
                <w:bCs/>
                <w:sz w:val="24"/>
                <w:szCs w:val="24"/>
              </w:rPr>
              <w:t xml:space="preserve"> Capacity</w:t>
            </w:r>
          </w:p>
          <w:p w14:paraId="586999C5">
            <w:pPr>
              <w:pStyle w:val="20"/>
              <w:spacing w:line="360" w:lineRule="auto"/>
              <w:jc w:val="center"/>
              <w:rPr>
                <w:b/>
                <w:bCs/>
                <w:sz w:val="24"/>
                <w:szCs w:val="24"/>
              </w:rPr>
            </w:pPr>
            <w:r>
              <w:rPr>
                <w:rFonts w:hint="eastAsia"/>
                <w:b/>
                <w:bCs/>
                <w:sz w:val="24"/>
                <w:szCs w:val="24"/>
                <w:lang w:eastAsia="zh-CN"/>
              </w:rPr>
              <w:t>(</w:t>
            </w:r>
            <w:r>
              <w:rPr>
                <w:b/>
                <w:bCs/>
                <w:sz w:val="24"/>
                <w:szCs w:val="24"/>
              </w:rPr>
              <w:t>mg</w:t>
            </w:r>
            <w:r>
              <w:rPr>
                <w:rFonts w:ascii="Cambria Math" w:hAnsi="Cambria Math" w:cs="Cambria Math"/>
                <w:b/>
                <w:bCs/>
                <w:sz w:val="24"/>
                <w:szCs w:val="24"/>
              </w:rPr>
              <w:t>⋅</w:t>
            </w:r>
            <w:r>
              <w:rPr>
                <w:b/>
                <w:bCs/>
                <w:sz w:val="24"/>
                <w:szCs w:val="24"/>
              </w:rPr>
              <w:t>g</w:t>
            </w:r>
            <w:r>
              <w:rPr>
                <w:b/>
                <w:bCs/>
                <w:sz w:val="24"/>
                <w:szCs w:val="24"/>
                <w:vertAlign w:val="superscript"/>
                <w:lang w:eastAsia="zh-CN"/>
              </w:rPr>
              <w:t>-1</w:t>
            </w:r>
            <w:r>
              <w:rPr>
                <w:rFonts w:hint="eastAsia"/>
                <w:b/>
                <w:bCs/>
                <w:sz w:val="24"/>
                <w:szCs w:val="24"/>
                <w:lang w:eastAsia="zh-CN"/>
              </w:rPr>
              <w:t>)</w:t>
            </w:r>
          </w:p>
        </w:tc>
        <w:tc>
          <w:tcPr>
            <w:tcW w:w="1803" w:type="dxa"/>
            <w:tcBorders>
              <w:top w:val="single" w:color="auto" w:sz="12" w:space="0"/>
              <w:bottom w:val="single" w:color="auto" w:sz="12" w:space="0"/>
            </w:tcBorders>
            <w:tcMar>
              <w:top w:w="0" w:type="dxa"/>
              <w:left w:w="108" w:type="dxa"/>
              <w:bottom w:w="0" w:type="dxa"/>
              <w:right w:w="108" w:type="dxa"/>
            </w:tcMar>
            <w:vAlign w:val="center"/>
          </w:tcPr>
          <w:p w14:paraId="663CF12E">
            <w:pPr>
              <w:pStyle w:val="20"/>
              <w:spacing w:line="360" w:lineRule="auto"/>
              <w:jc w:val="center"/>
              <w:rPr>
                <w:b/>
                <w:bCs/>
                <w:sz w:val="24"/>
                <w:szCs w:val="24"/>
              </w:rPr>
            </w:pPr>
            <w:r>
              <w:rPr>
                <w:b/>
                <w:bCs/>
                <w:sz w:val="24"/>
                <w:szCs w:val="24"/>
              </w:rPr>
              <w:t>Feed</w:t>
            </w:r>
          </w:p>
          <w:p w14:paraId="4AFD7104">
            <w:pPr>
              <w:pStyle w:val="20"/>
              <w:spacing w:line="360" w:lineRule="auto"/>
              <w:jc w:val="center"/>
              <w:rPr>
                <w:b/>
                <w:bCs/>
                <w:sz w:val="24"/>
                <w:szCs w:val="24"/>
              </w:rPr>
            </w:pPr>
            <w:r>
              <w:rPr>
                <w:b/>
                <w:bCs/>
                <w:sz w:val="24"/>
                <w:szCs w:val="24"/>
              </w:rPr>
              <w:t>solution</w:t>
            </w:r>
          </w:p>
        </w:tc>
        <w:tc>
          <w:tcPr>
            <w:tcW w:w="1925" w:type="dxa"/>
            <w:tcBorders>
              <w:top w:val="single" w:color="auto" w:sz="12" w:space="0"/>
              <w:bottom w:val="single" w:color="auto" w:sz="12" w:space="0"/>
            </w:tcBorders>
            <w:tcMar>
              <w:top w:w="0" w:type="dxa"/>
              <w:left w:w="108" w:type="dxa"/>
              <w:bottom w:w="0" w:type="dxa"/>
              <w:right w:w="108" w:type="dxa"/>
            </w:tcMar>
            <w:vAlign w:val="center"/>
          </w:tcPr>
          <w:p w14:paraId="77E5713A">
            <w:pPr>
              <w:pStyle w:val="20"/>
              <w:spacing w:line="360" w:lineRule="auto"/>
              <w:jc w:val="center"/>
              <w:rPr>
                <w:b/>
                <w:bCs/>
                <w:sz w:val="24"/>
                <w:szCs w:val="24"/>
              </w:rPr>
            </w:pPr>
            <w:r>
              <w:rPr>
                <w:b/>
                <w:bCs/>
                <w:sz w:val="24"/>
                <w:szCs w:val="24"/>
              </w:rPr>
              <w:t>Energy</w:t>
            </w:r>
          </w:p>
          <w:p w14:paraId="3835C8EA">
            <w:pPr>
              <w:pStyle w:val="20"/>
              <w:spacing w:line="360" w:lineRule="auto"/>
              <w:jc w:val="center"/>
              <w:rPr>
                <w:b/>
                <w:bCs/>
                <w:sz w:val="24"/>
                <w:szCs w:val="24"/>
              </w:rPr>
            </w:pPr>
            <w:r>
              <w:rPr>
                <w:b/>
                <w:bCs/>
                <w:sz w:val="24"/>
                <w:szCs w:val="24"/>
              </w:rPr>
              <w:t>consumption</w:t>
            </w:r>
          </w:p>
          <w:p w14:paraId="026982D1">
            <w:pPr>
              <w:pStyle w:val="20"/>
              <w:spacing w:line="360" w:lineRule="auto"/>
              <w:jc w:val="center"/>
              <w:rPr>
                <w:b/>
                <w:bCs/>
                <w:sz w:val="24"/>
                <w:szCs w:val="24"/>
                <w:lang w:eastAsia="zh-CN"/>
              </w:rPr>
            </w:pPr>
            <w:r>
              <w:rPr>
                <w:rFonts w:hint="eastAsia"/>
                <w:b/>
                <w:bCs/>
                <w:sz w:val="24"/>
                <w:szCs w:val="24"/>
                <w:lang w:eastAsia="zh-CN"/>
              </w:rPr>
              <w:t>(</w:t>
            </w:r>
            <w:r>
              <w:rPr>
                <w:b/>
                <w:bCs/>
                <w:sz w:val="24"/>
                <w:szCs w:val="24"/>
              </w:rPr>
              <w:t>Wh</w:t>
            </w:r>
            <m:oMath>
              <m:r>
                <m:rPr>
                  <m:sty m:val="bi"/>
                </m:rPr>
                <w:rPr>
                  <w:rFonts w:hint="eastAsia" w:ascii="Cambria Math" w:hAnsi="Cambria Math"/>
                </w:rPr>
                <m:t>·</m:t>
              </m:r>
            </m:oMath>
            <w:r>
              <w:rPr>
                <w:b/>
                <w:bCs/>
                <w:sz w:val="24"/>
                <w:szCs w:val="24"/>
              </w:rPr>
              <w:t>mol</w:t>
            </w:r>
            <w:r>
              <w:rPr>
                <w:b/>
                <w:bCs/>
                <w:sz w:val="24"/>
                <w:szCs w:val="24"/>
                <w:vertAlign w:val="superscript"/>
                <w:lang w:eastAsia="zh-CN"/>
              </w:rPr>
              <w:t>-1</w:t>
            </w:r>
            <w:r>
              <w:rPr>
                <w:rFonts w:hint="eastAsia"/>
                <w:b/>
                <w:bCs/>
                <w:sz w:val="24"/>
                <w:szCs w:val="24"/>
                <w:lang w:eastAsia="zh-CN"/>
              </w:rPr>
              <w:t>)</w:t>
            </w:r>
          </w:p>
        </w:tc>
        <w:tc>
          <w:tcPr>
            <w:tcW w:w="1072" w:type="dxa"/>
            <w:tcBorders>
              <w:top w:val="single" w:color="auto" w:sz="12" w:space="0"/>
              <w:bottom w:val="single" w:color="auto" w:sz="12" w:space="0"/>
            </w:tcBorders>
            <w:tcMar>
              <w:top w:w="0" w:type="dxa"/>
              <w:left w:w="108" w:type="dxa"/>
              <w:bottom w:w="0" w:type="dxa"/>
              <w:right w:w="108" w:type="dxa"/>
            </w:tcMar>
            <w:vAlign w:val="center"/>
          </w:tcPr>
          <w:p w14:paraId="24CC3C2E">
            <w:pPr>
              <w:pStyle w:val="20"/>
              <w:spacing w:line="360" w:lineRule="auto"/>
              <w:jc w:val="center"/>
              <w:rPr>
                <w:b/>
                <w:bCs/>
                <w:sz w:val="24"/>
                <w:szCs w:val="24"/>
              </w:rPr>
            </w:pPr>
            <w:r>
              <w:rPr>
                <w:b/>
                <w:bCs/>
                <w:sz w:val="24"/>
                <w:szCs w:val="24"/>
              </w:rPr>
              <w:t>Ref.</w:t>
            </w:r>
          </w:p>
        </w:tc>
      </w:tr>
      <w:tr w14:paraId="4FC25A83">
        <w:tblPrEx>
          <w:tblCellMar>
            <w:top w:w="0" w:type="dxa"/>
            <w:left w:w="108" w:type="dxa"/>
            <w:bottom w:w="0" w:type="dxa"/>
            <w:right w:w="108" w:type="dxa"/>
          </w:tblCellMar>
        </w:tblPrEx>
        <w:tc>
          <w:tcPr>
            <w:tcW w:w="1465" w:type="dxa"/>
            <w:tcBorders>
              <w:top w:val="single" w:color="auto" w:sz="12" w:space="0"/>
            </w:tcBorders>
            <w:tcMar>
              <w:top w:w="0" w:type="dxa"/>
              <w:left w:w="108" w:type="dxa"/>
              <w:bottom w:w="0" w:type="dxa"/>
              <w:right w:w="108" w:type="dxa"/>
            </w:tcMar>
            <w:vAlign w:val="center"/>
          </w:tcPr>
          <w:p w14:paraId="5006AD73">
            <w:pPr>
              <w:pStyle w:val="20"/>
              <w:spacing w:line="360" w:lineRule="auto"/>
              <w:jc w:val="center"/>
              <w:rPr>
                <w:sz w:val="24"/>
                <w:szCs w:val="24"/>
              </w:rPr>
            </w:pPr>
            <w:r>
              <w:rPr>
                <w:sz w:val="24"/>
                <w:szCs w:val="24"/>
              </w:rPr>
              <w:t>LMO</w:t>
            </w:r>
          </w:p>
        </w:tc>
        <w:tc>
          <w:tcPr>
            <w:tcW w:w="1933" w:type="dxa"/>
            <w:tcBorders>
              <w:top w:val="single" w:color="auto" w:sz="12" w:space="0"/>
            </w:tcBorders>
            <w:tcMar>
              <w:top w:w="0" w:type="dxa"/>
              <w:left w:w="108" w:type="dxa"/>
              <w:bottom w:w="0" w:type="dxa"/>
              <w:right w:w="108" w:type="dxa"/>
            </w:tcMar>
            <w:vAlign w:val="center"/>
          </w:tcPr>
          <w:p w14:paraId="2B38F031">
            <w:pPr>
              <w:pStyle w:val="20"/>
              <w:spacing w:line="360" w:lineRule="auto"/>
              <w:jc w:val="center"/>
              <w:rPr>
                <w:sz w:val="24"/>
                <w:szCs w:val="24"/>
              </w:rPr>
            </w:pPr>
            <w:r>
              <w:rPr>
                <w:sz w:val="24"/>
                <w:szCs w:val="24"/>
              </w:rPr>
              <w:t>15 mg/g</w:t>
            </w:r>
          </w:p>
        </w:tc>
        <w:tc>
          <w:tcPr>
            <w:tcW w:w="1803" w:type="dxa"/>
            <w:tcBorders>
              <w:top w:val="single" w:color="auto" w:sz="12" w:space="0"/>
            </w:tcBorders>
            <w:tcMar>
              <w:top w:w="0" w:type="dxa"/>
              <w:left w:w="108" w:type="dxa"/>
              <w:bottom w:w="0" w:type="dxa"/>
              <w:right w:w="108" w:type="dxa"/>
            </w:tcMar>
            <w:vAlign w:val="center"/>
          </w:tcPr>
          <w:p w14:paraId="4263525B">
            <w:pPr>
              <w:pStyle w:val="20"/>
              <w:spacing w:line="360" w:lineRule="auto"/>
              <w:jc w:val="center"/>
              <w:rPr>
                <w:sz w:val="24"/>
                <w:szCs w:val="24"/>
              </w:rPr>
            </w:pPr>
            <w:r>
              <w:rPr>
                <w:sz w:val="24"/>
                <w:szCs w:val="24"/>
              </w:rPr>
              <w:t>West Taijinar,</w:t>
            </w:r>
          </w:p>
        </w:tc>
        <w:tc>
          <w:tcPr>
            <w:tcW w:w="1925" w:type="dxa"/>
            <w:tcBorders>
              <w:top w:val="single" w:color="auto" w:sz="12" w:space="0"/>
            </w:tcBorders>
            <w:tcMar>
              <w:top w:w="0" w:type="dxa"/>
              <w:left w:w="108" w:type="dxa"/>
              <w:bottom w:w="0" w:type="dxa"/>
              <w:right w:w="108" w:type="dxa"/>
            </w:tcMar>
            <w:vAlign w:val="center"/>
          </w:tcPr>
          <w:p w14:paraId="775B3CA1">
            <w:pPr>
              <w:pStyle w:val="20"/>
              <w:spacing w:line="360" w:lineRule="auto"/>
              <w:jc w:val="center"/>
              <w:rPr>
                <w:sz w:val="24"/>
                <w:szCs w:val="24"/>
              </w:rPr>
            </w:pPr>
            <w:r>
              <w:rPr>
                <w:sz w:val="24"/>
                <w:szCs w:val="24"/>
              </w:rPr>
              <w:t>7.42</w:t>
            </w:r>
            <w:r>
              <w:rPr>
                <w:sz w:val="24"/>
                <w:szCs w:val="24"/>
                <w:lang w:eastAsia="zh-CN"/>
              </w:rPr>
              <w:t xml:space="preserve"> </w:t>
            </w:r>
            <w:r>
              <w:rPr>
                <w:sz w:val="24"/>
                <w:szCs w:val="24"/>
              </w:rPr>
              <w:t>Wh/mol</w:t>
            </w:r>
          </w:p>
        </w:tc>
        <w:tc>
          <w:tcPr>
            <w:tcW w:w="1072" w:type="dxa"/>
            <w:tcBorders>
              <w:top w:val="single" w:color="auto" w:sz="12" w:space="0"/>
            </w:tcBorders>
            <w:tcMar>
              <w:top w:w="0" w:type="dxa"/>
              <w:left w:w="108" w:type="dxa"/>
              <w:bottom w:w="0" w:type="dxa"/>
              <w:right w:w="108" w:type="dxa"/>
            </w:tcMar>
            <w:vAlign w:val="center"/>
          </w:tcPr>
          <w:p w14:paraId="0231E8F3">
            <w:pPr>
              <w:pStyle w:val="20"/>
              <w:spacing w:line="360" w:lineRule="auto"/>
              <w:jc w:val="center"/>
              <w:rPr>
                <w:sz w:val="24"/>
                <w:szCs w:val="24"/>
                <w:lang w:eastAsia="zh-CN"/>
              </w:rPr>
            </w:pPr>
            <w:bookmarkStart w:id="50" w:name="OLE_LINK65"/>
            <w:r>
              <w:rPr>
                <w:rFonts w:hint="eastAsia"/>
                <w:sz w:val="24"/>
                <w:szCs w:val="24"/>
                <w:lang w:eastAsia="zh-CN"/>
              </w:rPr>
              <w:t>[2]</w:t>
            </w:r>
            <w:bookmarkEnd w:id="50"/>
          </w:p>
        </w:tc>
      </w:tr>
      <w:tr w14:paraId="6D13179D">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6E17422F">
            <w:pPr>
              <w:pStyle w:val="20"/>
              <w:spacing w:line="360" w:lineRule="auto"/>
              <w:jc w:val="center"/>
              <w:rPr>
                <w:sz w:val="24"/>
                <w:szCs w:val="24"/>
              </w:rPr>
            </w:pPr>
            <w:r>
              <w:rPr>
                <w:sz w:val="24"/>
                <w:szCs w:val="24"/>
              </w:rPr>
              <w:t>Cr-LMO</w:t>
            </w:r>
          </w:p>
        </w:tc>
        <w:tc>
          <w:tcPr>
            <w:tcW w:w="1933" w:type="dxa"/>
            <w:tcMar>
              <w:top w:w="0" w:type="dxa"/>
              <w:left w:w="108" w:type="dxa"/>
              <w:bottom w:w="0" w:type="dxa"/>
              <w:right w:w="108" w:type="dxa"/>
            </w:tcMar>
            <w:vAlign w:val="center"/>
          </w:tcPr>
          <w:p w14:paraId="0D52F9D1">
            <w:pPr>
              <w:pStyle w:val="20"/>
              <w:spacing w:line="360" w:lineRule="auto"/>
              <w:jc w:val="center"/>
              <w:rPr>
                <w:sz w:val="24"/>
                <w:szCs w:val="24"/>
              </w:rPr>
            </w:pPr>
            <w:r>
              <w:rPr>
                <w:sz w:val="24"/>
                <w:szCs w:val="24"/>
              </w:rPr>
              <w:t>21.8 mg</w:t>
            </w:r>
          </w:p>
        </w:tc>
        <w:tc>
          <w:tcPr>
            <w:tcW w:w="1803" w:type="dxa"/>
            <w:tcMar>
              <w:top w:w="0" w:type="dxa"/>
              <w:left w:w="108" w:type="dxa"/>
              <w:bottom w:w="0" w:type="dxa"/>
              <w:right w:w="108" w:type="dxa"/>
            </w:tcMar>
            <w:vAlign w:val="center"/>
          </w:tcPr>
          <w:p w14:paraId="43467A67">
            <w:pPr>
              <w:pStyle w:val="20"/>
              <w:spacing w:line="360" w:lineRule="auto"/>
              <w:jc w:val="center"/>
              <w:rPr>
                <w:sz w:val="24"/>
                <w:szCs w:val="24"/>
              </w:rPr>
            </w:pPr>
            <w:r>
              <w:rPr>
                <w:sz w:val="24"/>
                <w:szCs w:val="24"/>
              </w:rPr>
              <w:t>Jieze</w:t>
            </w:r>
            <w:r>
              <w:rPr>
                <w:sz w:val="24"/>
                <w:szCs w:val="24"/>
                <w:lang w:eastAsia="zh-CN"/>
              </w:rPr>
              <w:t xml:space="preserve"> </w:t>
            </w:r>
            <w:r>
              <w:rPr>
                <w:sz w:val="24"/>
                <w:szCs w:val="24"/>
              </w:rPr>
              <w:t>Chaka</w:t>
            </w:r>
          </w:p>
        </w:tc>
        <w:tc>
          <w:tcPr>
            <w:tcW w:w="1925" w:type="dxa"/>
            <w:tcMar>
              <w:top w:w="0" w:type="dxa"/>
              <w:left w:w="108" w:type="dxa"/>
              <w:bottom w:w="0" w:type="dxa"/>
              <w:right w:w="108" w:type="dxa"/>
            </w:tcMar>
            <w:vAlign w:val="center"/>
          </w:tcPr>
          <w:p w14:paraId="01D29318">
            <w:pPr>
              <w:pStyle w:val="20"/>
              <w:spacing w:line="360" w:lineRule="auto"/>
              <w:jc w:val="center"/>
              <w:rPr>
                <w:sz w:val="24"/>
                <w:szCs w:val="24"/>
              </w:rPr>
            </w:pPr>
            <w:r>
              <w:rPr>
                <w:sz w:val="24"/>
                <w:szCs w:val="24"/>
              </w:rPr>
              <w:t>4.68</w:t>
            </w:r>
            <w:r>
              <w:rPr>
                <w:rFonts w:hint="eastAsia"/>
                <w:sz w:val="24"/>
                <w:szCs w:val="24"/>
                <w:lang w:eastAsia="zh-CN"/>
              </w:rPr>
              <w:t xml:space="preserve"> </w:t>
            </w:r>
            <w:r>
              <w:rPr>
                <w:sz w:val="24"/>
                <w:szCs w:val="24"/>
              </w:rPr>
              <w:t>Wh/mol</w:t>
            </w:r>
          </w:p>
        </w:tc>
        <w:tc>
          <w:tcPr>
            <w:tcW w:w="1072" w:type="dxa"/>
            <w:tcMar>
              <w:top w:w="0" w:type="dxa"/>
              <w:left w:w="108" w:type="dxa"/>
              <w:bottom w:w="0" w:type="dxa"/>
              <w:right w:w="108" w:type="dxa"/>
            </w:tcMar>
            <w:vAlign w:val="center"/>
          </w:tcPr>
          <w:p w14:paraId="0661B2C0">
            <w:pPr>
              <w:pStyle w:val="20"/>
              <w:spacing w:line="360" w:lineRule="auto"/>
              <w:jc w:val="center"/>
              <w:rPr>
                <w:sz w:val="24"/>
                <w:szCs w:val="24"/>
              </w:rPr>
            </w:pPr>
            <w:r>
              <w:rPr>
                <w:rFonts w:hint="eastAsia"/>
                <w:sz w:val="24"/>
                <w:szCs w:val="24"/>
                <w:lang w:eastAsia="zh-CN"/>
              </w:rPr>
              <w:t>[3]</w:t>
            </w:r>
          </w:p>
        </w:tc>
      </w:tr>
      <w:tr w14:paraId="733D12DB">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107DC4C9">
            <w:pPr>
              <w:pStyle w:val="20"/>
              <w:spacing w:line="360" w:lineRule="auto"/>
              <w:jc w:val="center"/>
              <w:rPr>
                <w:sz w:val="24"/>
                <w:szCs w:val="24"/>
              </w:rPr>
            </w:pPr>
            <w:r>
              <w:rPr>
                <w:sz w:val="24"/>
                <w:szCs w:val="24"/>
              </w:rPr>
              <w:t>Ce-LMO</w:t>
            </w:r>
          </w:p>
        </w:tc>
        <w:tc>
          <w:tcPr>
            <w:tcW w:w="1933" w:type="dxa"/>
            <w:tcMar>
              <w:top w:w="0" w:type="dxa"/>
              <w:left w:w="108" w:type="dxa"/>
              <w:bottom w:w="0" w:type="dxa"/>
              <w:right w:w="108" w:type="dxa"/>
            </w:tcMar>
            <w:vAlign w:val="center"/>
          </w:tcPr>
          <w:p w14:paraId="43F306CC">
            <w:pPr>
              <w:pStyle w:val="20"/>
              <w:spacing w:line="360" w:lineRule="auto"/>
              <w:jc w:val="center"/>
              <w:rPr>
                <w:sz w:val="24"/>
                <w:szCs w:val="24"/>
              </w:rPr>
            </w:pPr>
            <w:r>
              <w:rPr>
                <w:sz w:val="24"/>
                <w:szCs w:val="24"/>
              </w:rPr>
              <w:t>17.11 mg/g</w:t>
            </w:r>
          </w:p>
        </w:tc>
        <w:tc>
          <w:tcPr>
            <w:tcW w:w="1803" w:type="dxa"/>
            <w:tcMar>
              <w:top w:w="0" w:type="dxa"/>
              <w:left w:w="108" w:type="dxa"/>
              <w:bottom w:w="0" w:type="dxa"/>
              <w:right w:w="108" w:type="dxa"/>
            </w:tcMar>
            <w:vAlign w:val="center"/>
          </w:tcPr>
          <w:p w14:paraId="5D58874A">
            <w:pPr>
              <w:pStyle w:val="20"/>
              <w:spacing w:line="360" w:lineRule="auto"/>
              <w:jc w:val="center"/>
              <w:rPr>
                <w:sz w:val="24"/>
                <w:szCs w:val="24"/>
              </w:rPr>
            </w:pPr>
            <w:r>
              <w:rPr>
                <w:sz w:val="24"/>
                <w:szCs w:val="24"/>
              </w:rPr>
              <w:t xml:space="preserve">simulated brine </w:t>
            </w:r>
          </w:p>
        </w:tc>
        <w:tc>
          <w:tcPr>
            <w:tcW w:w="1925" w:type="dxa"/>
            <w:tcMar>
              <w:top w:w="0" w:type="dxa"/>
              <w:left w:w="108" w:type="dxa"/>
              <w:bottom w:w="0" w:type="dxa"/>
              <w:right w:w="108" w:type="dxa"/>
            </w:tcMar>
            <w:vAlign w:val="center"/>
          </w:tcPr>
          <w:p w14:paraId="284B1127">
            <w:pPr>
              <w:pStyle w:val="20"/>
              <w:spacing w:line="360" w:lineRule="auto"/>
              <w:jc w:val="center"/>
              <w:rPr>
                <w:sz w:val="24"/>
                <w:szCs w:val="24"/>
              </w:rPr>
            </w:pPr>
            <w:r>
              <w:rPr>
                <w:sz w:val="24"/>
                <w:szCs w:val="24"/>
              </w:rPr>
              <w:t>10.1 Wh/mol</w:t>
            </w:r>
          </w:p>
        </w:tc>
        <w:tc>
          <w:tcPr>
            <w:tcW w:w="1072" w:type="dxa"/>
            <w:tcMar>
              <w:top w:w="0" w:type="dxa"/>
              <w:left w:w="108" w:type="dxa"/>
              <w:bottom w:w="0" w:type="dxa"/>
              <w:right w:w="108" w:type="dxa"/>
            </w:tcMar>
            <w:vAlign w:val="center"/>
          </w:tcPr>
          <w:p w14:paraId="62DDD4E4">
            <w:pPr>
              <w:pStyle w:val="20"/>
              <w:spacing w:line="360" w:lineRule="auto"/>
              <w:jc w:val="center"/>
              <w:rPr>
                <w:sz w:val="24"/>
                <w:szCs w:val="24"/>
              </w:rPr>
            </w:pPr>
            <w:r>
              <w:rPr>
                <w:rFonts w:hint="eastAsia"/>
                <w:sz w:val="24"/>
                <w:szCs w:val="24"/>
                <w:lang w:eastAsia="zh-CN"/>
              </w:rPr>
              <w:t>[4]</w:t>
            </w:r>
          </w:p>
        </w:tc>
      </w:tr>
      <w:tr w14:paraId="38F294B1">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09094835">
            <w:pPr>
              <w:pStyle w:val="20"/>
              <w:spacing w:line="360" w:lineRule="auto"/>
              <w:jc w:val="center"/>
              <w:rPr>
                <w:sz w:val="24"/>
                <w:szCs w:val="24"/>
              </w:rPr>
            </w:pPr>
            <w:r>
              <w:rPr>
                <w:sz w:val="24"/>
                <w:szCs w:val="24"/>
              </w:rPr>
              <w:t>In-LMO</w:t>
            </w:r>
          </w:p>
        </w:tc>
        <w:tc>
          <w:tcPr>
            <w:tcW w:w="1933" w:type="dxa"/>
            <w:tcMar>
              <w:top w:w="0" w:type="dxa"/>
              <w:left w:w="108" w:type="dxa"/>
              <w:bottom w:w="0" w:type="dxa"/>
              <w:right w:w="108" w:type="dxa"/>
            </w:tcMar>
            <w:vAlign w:val="center"/>
          </w:tcPr>
          <w:p w14:paraId="4423DB6A">
            <w:pPr>
              <w:pStyle w:val="20"/>
              <w:spacing w:line="360" w:lineRule="auto"/>
              <w:jc w:val="center"/>
              <w:rPr>
                <w:sz w:val="24"/>
                <w:szCs w:val="24"/>
              </w:rPr>
            </w:pPr>
            <w:r>
              <w:rPr>
                <w:sz w:val="24"/>
                <w:szCs w:val="24"/>
              </w:rPr>
              <w:t>20.18 mg/g</w:t>
            </w:r>
          </w:p>
        </w:tc>
        <w:tc>
          <w:tcPr>
            <w:tcW w:w="1803" w:type="dxa"/>
            <w:tcMar>
              <w:top w:w="0" w:type="dxa"/>
              <w:left w:w="108" w:type="dxa"/>
              <w:bottom w:w="0" w:type="dxa"/>
              <w:right w:w="108" w:type="dxa"/>
            </w:tcMar>
            <w:vAlign w:val="center"/>
          </w:tcPr>
          <w:p w14:paraId="2EA55A42">
            <w:pPr>
              <w:pStyle w:val="20"/>
              <w:spacing w:line="360" w:lineRule="auto"/>
              <w:jc w:val="center"/>
              <w:rPr>
                <w:sz w:val="24"/>
                <w:szCs w:val="24"/>
              </w:rPr>
            </w:pPr>
            <w:r>
              <w:rPr>
                <w:sz w:val="24"/>
                <w:szCs w:val="24"/>
              </w:rPr>
              <w:t>simulated brine</w:t>
            </w:r>
          </w:p>
        </w:tc>
        <w:tc>
          <w:tcPr>
            <w:tcW w:w="1925" w:type="dxa"/>
            <w:tcMar>
              <w:top w:w="0" w:type="dxa"/>
              <w:left w:w="108" w:type="dxa"/>
              <w:bottom w:w="0" w:type="dxa"/>
              <w:right w:w="108" w:type="dxa"/>
            </w:tcMar>
            <w:vAlign w:val="center"/>
          </w:tcPr>
          <w:p w14:paraId="18846D45">
            <w:pPr>
              <w:pStyle w:val="20"/>
              <w:spacing w:line="360" w:lineRule="auto"/>
              <w:jc w:val="center"/>
              <w:rPr>
                <w:sz w:val="24"/>
                <w:szCs w:val="24"/>
              </w:rPr>
            </w:pPr>
            <w:r>
              <w:rPr>
                <w:sz w:val="24"/>
                <w:szCs w:val="24"/>
              </w:rPr>
              <w:t>5.39 Wh/mol</w:t>
            </w:r>
          </w:p>
        </w:tc>
        <w:tc>
          <w:tcPr>
            <w:tcW w:w="1072" w:type="dxa"/>
            <w:tcMar>
              <w:top w:w="0" w:type="dxa"/>
              <w:left w:w="108" w:type="dxa"/>
              <w:bottom w:w="0" w:type="dxa"/>
              <w:right w:w="108" w:type="dxa"/>
            </w:tcMar>
            <w:vAlign w:val="center"/>
          </w:tcPr>
          <w:p w14:paraId="2B60BAFF">
            <w:pPr>
              <w:pStyle w:val="20"/>
              <w:spacing w:line="360" w:lineRule="auto"/>
              <w:jc w:val="center"/>
              <w:rPr>
                <w:sz w:val="24"/>
                <w:szCs w:val="24"/>
              </w:rPr>
            </w:pPr>
            <w:r>
              <w:rPr>
                <w:sz w:val="24"/>
                <w:szCs w:val="24"/>
              </w:rPr>
              <w:t>[</w:t>
            </w:r>
            <w:r>
              <w:rPr>
                <w:rFonts w:hint="eastAsia"/>
                <w:sz w:val="24"/>
                <w:szCs w:val="24"/>
                <w:lang w:eastAsia="zh-CN"/>
              </w:rPr>
              <w:t>5</w:t>
            </w:r>
            <w:r>
              <w:rPr>
                <w:sz w:val="24"/>
                <w:szCs w:val="24"/>
              </w:rPr>
              <w:t>]</w:t>
            </w:r>
          </w:p>
        </w:tc>
      </w:tr>
      <w:tr w14:paraId="09FFE9E5">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4D3F0BCA">
            <w:pPr>
              <w:pStyle w:val="20"/>
              <w:spacing w:line="360" w:lineRule="auto"/>
              <w:jc w:val="center"/>
              <w:rPr>
                <w:sz w:val="24"/>
                <w:szCs w:val="24"/>
                <w:lang w:eastAsia="zh-CN"/>
              </w:rPr>
            </w:pPr>
            <w:r>
              <w:rPr>
                <w:rFonts w:hint="eastAsia"/>
                <w:sz w:val="24"/>
                <w:szCs w:val="24"/>
                <w:lang w:eastAsia="zh-CN"/>
              </w:rPr>
              <w:t>CoV-LMO</w:t>
            </w:r>
          </w:p>
        </w:tc>
        <w:tc>
          <w:tcPr>
            <w:tcW w:w="1933" w:type="dxa"/>
            <w:tcMar>
              <w:top w:w="0" w:type="dxa"/>
              <w:left w:w="108" w:type="dxa"/>
              <w:bottom w:w="0" w:type="dxa"/>
              <w:right w:w="108" w:type="dxa"/>
            </w:tcMar>
            <w:vAlign w:val="center"/>
          </w:tcPr>
          <w:p w14:paraId="06B414C9">
            <w:pPr>
              <w:pStyle w:val="20"/>
              <w:spacing w:line="360" w:lineRule="auto"/>
              <w:jc w:val="center"/>
              <w:rPr>
                <w:sz w:val="24"/>
                <w:szCs w:val="24"/>
                <w:lang w:eastAsia="zh-CN"/>
              </w:rPr>
            </w:pPr>
            <w:r>
              <w:rPr>
                <w:rFonts w:hint="eastAsia"/>
                <w:sz w:val="24"/>
                <w:szCs w:val="24"/>
                <w:lang w:eastAsia="zh-CN"/>
              </w:rPr>
              <w:t xml:space="preserve">18.7 </w:t>
            </w:r>
            <w:r>
              <w:rPr>
                <w:sz w:val="24"/>
                <w:szCs w:val="24"/>
              </w:rPr>
              <w:t>mg/g</w:t>
            </w:r>
          </w:p>
        </w:tc>
        <w:tc>
          <w:tcPr>
            <w:tcW w:w="1803" w:type="dxa"/>
            <w:tcMar>
              <w:top w:w="0" w:type="dxa"/>
              <w:left w:w="108" w:type="dxa"/>
              <w:bottom w:w="0" w:type="dxa"/>
              <w:right w:w="108" w:type="dxa"/>
            </w:tcMar>
            <w:vAlign w:val="center"/>
          </w:tcPr>
          <w:p w14:paraId="458E12AD">
            <w:pPr>
              <w:pStyle w:val="20"/>
              <w:spacing w:line="360" w:lineRule="auto"/>
              <w:jc w:val="center"/>
              <w:rPr>
                <w:sz w:val="24"/>
                <w:szCs w:val="24"/>
                <w:lang w:eastAsia="zh-CN"/>
              </w:rPr>
            </w:pPr>
            <w:r>
              <w:rPr>
                <w:sz w:val="24"/>
                <w:szCs w:val="24"/>
              </w:rPr>
              <w:t>simulated brine</w:t>
            </w:r>
            <w:r>
              <w:rPr>
                <w:rFonts w:hint="eastAsia"/>
                <w:sz w:val="24"/>
                <w:szCs w:val="24"/>
                <w:lang w:eastAsia="zh-CN"/>
              </w:rPr>
              <w:t xml:space="preserve"> </w:t>
            </w:r>
          </w:p>
        </w:tc>
        <w:tc>
          <w:tcPr>
            <w:tcW w:w="1925" w:type="dxa"/>
            <w:tcMar>
              <w:top w:w="0" w:type="dxa"/>
              <w:left w:w="108" w:type="dxa"/>
              <w:bottom w:w="0" w:type="dxa"/>
              <w:right w:w="108" w:type="dxa"/>
            </w:tcMar>
            <w:vAlign w:val="center"/>
          </w:tcPr>
          <w:p w14:paraId="766F3E67">
            <w:pPr>
              <w:pStyle w:val="20"/>
              <w:spacing w:line="360" w:lineRule="auto"/>
              <w:jc w:val="center"/>
              <w:rPr>
                <w:sz w:val="24"/>
                <w:szCs w:val="24"/>
                <w:lang w:eastAsia="zh-CN"/>
              </w:rPr>
            </w:pPr>
            <w:r>
              <w:rPr>
                <w:rFonts w:hint="eastAsia"/>
                <w:sz w:val="24"/>
                <w:szCs w:val="24"/>
                <w:lang w:eastAsia="zh-CN"/>
              </w:rPr>
              <w:t xml:space="preserve">8.51 </w:t>
            </w:r>
            <w:r>
              <w:rPr>
                <w:sz w:val="24"/>
                <w:szCs w:val="24"/>
              </w:rPr>
              <w:t>Wh/mol</w:t>
            </w:r>
          </w:p>
        </w:tc>
        <w:tc>
          <w:tcPr>
            <w:tcW w:w="1072" w:type="dxa"/>
            <w:tcMar>
              <w:top w:w="0" w:type="dxa"/>
              <w:left w:w="108" w:type="dxa"/>
              <w:bottom w:w="0" w:type="dxa"/>
              <w:right w:w="108" w:type="dxa"/>
            </w:tcMar>
            <w:vAlign w:val="center"/>
          </w:tcPr>
          <w:p w14:paraId="24B9E12B">
            <w:pPr>
              <w:pStyle w:val="20"/>
              <w:spacing w:line="360" w:lineRule="auto"/>
              <w:jc w:val="center"/>
              <w:rPr>
                <w:sz w:val="24"/>
                <w:szCs w:val="24"/>
              </w:rPr>
            </w:pPr>
            <w:r>
              <w:rPr>
                <w:sz w:val="24"/>
                <w:szCs w:val="24"/>
              </w:rPr>
              <w:t>[</w:t>
            </w:r>
            <w:r>
              <w:rPr>
                <w:rFonts w:hint="eastAsia"/>
                <w:sz w:val="24"/>
                <w:szCs w:val="24"/>
                <w:lang w:eastAsia="zh-CN"/>
              </w:rPr>
              <w:t>6</w:t>
            </w:r>
            <w:r>
              <w:rPr>
                <w:sz w:val="24"/>
                <w:szCs w:val="24"/>
              </w:rPr>
              <w:t>]</w:t>
            </w:r>
          </w:p>
        </w:tc>
      </w:tr>
      <w:tr w14:paraId="70EF7CBF">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39BC9D4E">
            <w:pPr>
              <w:pStyle w:val="20"/>
              <w:spacing w:line="360" w:lineRule="auto"/>
              <w:jc w:val="center"/>
              <w:rPr>
                <w:sz w:val="24"/>
                <w:szCs w:val="24"/>
                <w:lang w:eastAsia="zh-CN"/>
              </w:rPr>
            </w:pPr>
            <w:r>
              <w:rPr>
                <w:rFonts w:hint="eastAsia"/>
                <w:sz w:val="24"/>
                <w:szCs w:val="24"/>
                <w:lang w:eastAsia="zh-CN"/>
              </w:rPr>
              <w:t>NiCo-LMO</w:t>
            </w:r>
          </w:p>
        </w:tc>
        <w:tc>
          <w:tcPr>
            <w:tcW w:w="1933" w:type="dxa"/>
            <w:tcMar>
              <w:top w:w="0" w:type="dxa"/>
              <w:left w:w="108" w:type="dxa"/>
              <w:bottom w:w="0" w:type="dxa"/>
              <w:right w:w="108" w:type="dxa"/>
            </w:tcMar>
            <w:vAlign w:val="center"/>
          </w:tcPr>
          <w:p w14:paraId="13EB8C22">
            <w:pPr>
              <w:pStyle w:val="20"/>
              <w:spacing w:line="360" w:lineRule="auto"/>
              <w:jc w:val="center"/>
              <w:rPr>
                <w:sz w:val="24"/>
                <w:szCs w:val="24"/>
                <w:lang w:eastAsia="zh-CN"/>
              </w:rPr>
            </w:pPr>
            <w:r>
              <w:rPr>
                <w:rFonts w:hint="eastAsia"/>
                <w:sz w:val="24"/>
                <w:szCs w:val="24"/>
                <w:lang w:eastAsia="zh-CN"/>
              </w:rPr>
              <w:t xml:space="preserve">12.91 </w:t>
            </w:r>
            <w:r>
              <w:rPr>
                <w:sz w:val="24"/>
                <w:szCs w:val="24"/>
              </w:rPr>
              <w:t>mg/g</w:t>
            </w:r>
          </w:p>
        </w:tc>
        <w:tc>
          <w:tcPr>
            <w:tcW w:w="1803" w:type="dxa"/>
            <w:tcMar>
              <w:top w:w="0" w:type="dxa"/>
              <w:left w:w="108" w:type="dxa"/>
              <w:bottom w:w="0" w:type="dxa"/>
              <w:right w:w="108" w:type="dxa"/>
            </w:tcMar>
            <w:vAlign w:val="center"/>
          </w:tcPr>
          <w:p w14:paraId="4E6BC32D">
            <w:pPr>
              <w:pStyle w:val="20"/>
              <w:spacing w:line="360" w:lineRule="auto"/>
              <w:jc w:val="center"/>
              <w:rPr>
                <w:sz w:val="24"/>
                <w:szCs w:val="24"/>
              </w:rPr>
            </w:pPr>
            <w:r>
              <w:rPr>
                <w:rFonts w:hint="eastAsia"/>
                <w:sz w:val="24"/>
                <w:szCs w:val="24"/>
              </w:rPr>
              <w:t xml:space="preserve">30 mM LiCl </w:t>
            </w:r>
          </w:p>
        </w:tc>
        <w:tc>
          <w:tcPr>
            <w:tcW w:w="1925" w:type="dxa"/>
            <w:tcMar>
              <w:top w:w="0" w:type="dxa"/>
              <w:left w:w="108" w:type="dxa"/>
              <w:bottom w:w="0" w:type="dxa"/>
              <w:right w:w="108" w:type="dxa"/>
            </w:tcMar>
            <w:vAlign w:val="center"/>
          </w:tcPr>
          <w:p w14:paraId="172B727D">
            <w:pPr>
              <w:pStyle w:val="20"/>
              <w:spacing w:line="360" w:lineRule="auto"/>
              <w:jc w:val="center"/>
              <w:rPr>
                <w:sz w:val="24"/>
                <w:szCs w:val="24"/>
                <w:lang w:eastAsia="zh-CN"/>
              </w:rPr>
            </w:pPr>
            <w:r>
              <w:rPr>
                <w:rFonts w:hint="eastAsia"/>
                <w:sz w:val="24"/>
                <w:szCs w:val="24"/>
                <w:lang w:eastAsia="zh-CN"/>
              </w:rPr>
              <w:t xml:space="preserve">3.97 </w:t>
            </w:r>
            <w:r>
              <w:rPr>
                <w:sz w:val="24"/>
                <w:szCs w:val="24"/>
              </w:rPr>
              <w:t>Wh/mol</w:t>
            </w:r>
          </w:p>
        </w:tc>
        <w:tc>
          <w:tcPr>
            <w:tcW w:w="1072" w:type="dxa"/>
            <w:tcMar>
              <w:top w:w="0" w:type="dxa"/>
              <w:left w:w="108" w:type="dxa"/>
              <w:bottom w:w="0" w:type="dxa"/>
              <w:right w:w="108" w:type="dxa"/>
            </w:tcMar>
            <w:vAlign w:val="center"/>
          </w:tcPr>
          <w:p w14:paraId="78D3D06A">
            <w:pPr>
              <w:pStyle w:val="20"/>
              <w:spacing w:line="360" w:lineRule="auto"/>
              <w:jc w:val="center"/>
              <w:rPr>
                <w:sz w:val="24"/>
                <w:szCs w:val="24"/>
              </w:rPr>
            </w:pPr>
            <w:r>
              <w:rPr>
                <w:sz w:val="24"/>
                <w:szCs w:val="24"/>
              </w:rPr>
              <w:t>[</w:t>
            </w:r>
            <w:r>
              <w:rPr>
                <w:rFonts w:hint="eastAsia"/>
                <w:sz w:val="24"/>
                <w:szCs w:val="24"/>
                <w:lang w:eastAsia="zh-CN"/>
              </w:rPr>
              <w:t>7</w:t>
            </w:r>
            <w:r>
              <w:rPr>
                <w:sz w:val="24"/>
                <w:szCs w:val="24"/>
              </w:rPr>
              <w:t>]</w:t>
            </w:r>
          </w:p>
        </w:tc>
      </w:tr>
      <w:tr w14:paraId="1CDACAFF">
        <w:tblPrEx>
          <w:tblCellMar>
            <w:top w:w="0" w:type="dxa"/>
            <w:left w:w="108" w:type="dxa"/>
            <w:bottom w:w="0" w:type="dxa"/>
            <w:right w:w="108" w:type="dxa"/>
          </w:tblCellMar>
        </w:tblPrEx>
        <w:tc>
          <w:tcPr>
            <w:tcW w:w="1465" w:type="dxa"/>
            <w:tcMar>
              <w:top w:w="0" w:type="dxa"/>
              <w:left w:w="108" w:type="dxa"/>
              <w:bottom w:w="0" w:type="dxa"/>
              <w:right w:w="108" w:type="dxa"/>
            </w:tcMar>
            <w:vAlign w:val="center"/>
          </w:tcPr>
          <w:p w14:paraId="2E91B089">
            <w:pPr>
              <w:pStyle w:val="20"/>
              <w:spacing w:line="360" w:lineRule="auto"/>
              <w:jc w:val="center"/>
              <w:rPr>
                <w:sz w:val="24"/>
                <w:szCs w:val="24"/>
                <w:lang w:eastAsia="zh-CN"/>
              </w:rPr>
            </w:pPr>
            <w:r>
              <w:rPr>
                <w:rFonts w:hint="eastAsia"/>
                <w:sz w:val="24"/>
                <w:szCs w:val="24"/>
                <w:lang w:eastAsia="zh-CN"/>
              </w:rPr>
              <w:t>Al-LMO</w:t>
            </w:r>
          </w:p>
        </w:tc>
        <w:tc>
          <w:tcPr>
            <w:tcW w:w="1933" w:type="dxa"/>
            <w:tcMar>
              <w:top w:w="0" w:type="dxa"/>
              <w:left w:w="108" w:type="dxa"/>
              <w:bottom w:w="0" w:type="dxa"/>
              <w:right w:w="108" w:type="dxa"/>
            </w:tcMar>
            <w:vAlign w:val="center"/>
          </w:tcPr>
          <w:p w14:paraId="262E4912">
            <w:pPr>
              <w:pStyle w:val="20"/>
              <w:spacing w:line="360" w:lineRule="auto"/>
              <w:jc w:val="center"/>
              <w:rPr>
                <w:sz w:val="24"/>
                <w:szCs w:val="24"/>
                <w:lang w:eastAsia="zh-CN"/>
              </w:rPr>
            </w:pPr>
            <w:r>
              <w:rPr>
                <w:rFonts w:hint="eastAsia"/>
                <w:sz w:val="24"/>
                <w:szCs w:val="24"/>
                <w:lang w:eastAsia="zh-CN"/>
              </w:rPr>
              <w:t xml:space="preserve">21.7 </w:t>
            </w:r>
            <w:r>
              <w:rPr>
                <w:sz w:val="24"/>
                <w:szCs w:val="24"/>
              </w:rPr>
              <w:t>mg/g</w:t>
            </w:r>
          </w:p>
        </w:tc>
        <w:tc>
          <w:tcPr>
            <w:tcW w:w="1803" w:type="dxa"/>
            <w:tcMar>
              <w:top w:w="0" w:type="dxa"/>
              <w:left w:w="108" w:type="dxa"/>
              <w:bottom w:w="0" w:type="dxa"/>
              <w:right w:w="108" w:type="dxa"/>
            </w:tcMar>
            <w:vAlign w:val="center"/>
          </w:tcPr>
          <w:p w14:paraId="58B5EE16">
            <w:pPr>
              <w:pStyle w:val="20"/>
              <w:spacing w:line="360" w:lineRule="auto"/>
              <w:jc w:val="center"/>
              <w:rPr>
                <w:sz w:val="24"/>
                <w:szCs w:val="24"/>
              </w:rPr>
            </w:pPr>
            <w:r>
              <w:rPr>
                <w:sz w:val="24"/>
                <w:szCs w:val="24"/>
              </w:rPr>
              <w:t>simulated brine</w:t>
            </w:r>
          </w:p>
        </w:tc>
        <w:tc>
          <w:tcPr>
            <w:tcW w:w="1925" w:type="dxa"/>
            <w:tcMar>
              <w:top w:w="0" w:type="dxa"/>
              <w:left w:w="108" w:type="dxa"/>
              <w:bottom w:w="0" w:type="dxa"/>
              <w:right w:w="108" w:type="dxa"/>
            </w:tcMar>
            <w:vAlign w:val="center"/>
          </w:tcPr>
          <w:p w14:paraId="567BA4D2">
            <w:pPr>
              <w:pStyle w:val="20"/>
              <w:spacing w:line="360" w:lineRule="auto"/>
              <w:jc w:val="center"/>
              <w:rPr>
                <w:sz w:val="24"/>
                <w:szCs w:val="24"/>
                <w:lang w:eastAsia="zh-CN"/>
              </w:rPr>
            </w:pPr>
            <w:r>
              <w:rPr>
                <w:rFonts w:hint="eastAsia"/>
                <w:sz w:val="24"/>
                <w:szCs w:val="24"/>
                <w:lang w:eastAsia="zh-CN"/>
              </w:rPr>
              <w:t xml:space="preserve">2.6 </w:t>
            </w:r>
            <w:r>
              <w:rPr>
                <w:sz w:val="24"/>
                <w:szCs w:val="24"/>
              </w:rPr>
              <w:t>Wh/mol</w:t>
            </w:r>
          </w:p>
        </w:tc>
        <w:tc>
          <w:tcPr>
            <w:tcW w:w="1072" w:type="dxa"/>
            <w:tcMar>
              <w:top w:w="0" w:type="dxa"/>
              <w:left w:w="108" w:type="dxa"/>
              <w:bottom w:w="0" w:type="dxa"/>
              <w:right w:w="108" w:type="dxa"/>
            </w:tcMar>
            <w:vAlign w:val="center"/>
          </w:tcPr>
          <w:p w14:paraId="606EFC88">
            <w:pPr>
              <w:pStyle w:val="20"/>
              <w:spacing w:line="360" w:lineRule="auto"/>
              <w:jc w:val="center"/>
              <w:rPr>
                <w:sz w:val="24"/>
                <w:szCs w:val="24"/>
              </w:rPr>
            </w:pPr>
            <w:r>
              <w:rPr>
                <w:sz w:val="24"/>
                <w:szCs w:val="24"/>
              </w:rPr>
              <w:t>[</w:t>
            </w:r>
            <w:r>
              <w:rPr>
                <w:rFonts w:hint="eastAsia"/>
                <w:sz w:val="24"/>
                <w:szCs w:val="24"/>
                <w:lang w:eastAsia="zh-CN"/>
              </w:rPr>
              <w:t>8</w:t>
            </w:r>
            <w:r>
              <w:rPr>
                <w:sz w:val="24"/>
                <w:szCs w:val="24"/>
              </w:rPr>
              <w:t>]</w:t>
            </w:r>
          </w:p>
        </w:tc>
      </w:tr>
      <w:tr w14:paraId="218D1CE1">
        <w:tblPrEx>
          <w:tblCellMar>
            <w:top w:w="0" w:type="dxa"/>
            <w:left w:w="108" w:type="dxa"/>
            <w:bottom w:w="0" w:type="dxa"/>
            <w:right w:w="108" w:type="dxa"/>
          </w:tblCellMar>
        </w:tblPrEx>
        <w:trPr>
          <w:trHeight w:val="324" w:hRule="atLeast"/>
        </w:trPr>
        <w:tc>
          <w:tcPr>
            <w:tcW w:w="1465" w:type="dxa"/>
            <w:tcBorders>
              <w:bottom w:val="single" w:color="auto" w:sz="12" w:space="0"/>
            </w:tcBorders>
            <w:tcMar>
              <w:top w:w="0" w:type="dxa"/>
              <w:left w:w="108" w:type="dxa"/>
              <w:bottom w:w="0" w:type="dxa"/>
              <w:right w:w="108" w:type="dxa"/>
            </w:tcMar>
            <w:vAlign w:val="center"/>
          </w:tcPr>
          <w:p w14:paraId="10AA4718">
            <w:pPr>
              <w:pStyle w:val="20"/>
              <w:spacing w:line="360" w:lineRule="auto"/>
              <w:jc w:val="center"/>
              <w:rPr>
                <w:sz w:val="24"/>
                <w:szCs w:val="24"/>
              </w:rPr>
            </w:pPr>
            <w:r>
              <w:rPr>
                <w:sz w:val="24"/>
                <w:szCs w:val="24"/>
              </w:rPr>
              <w:t>LZMO</w:t>
            </w:r>
          </w:p>
        </w:tc>
        <w:tc>
          <w:tcPr>
            <w:tcW w:w="1933" w:type="dxa"/>
            <w:tcBorders>
              <w:bottom w:val="single" w:color="auto" w:sz="12" w:space="0"/>
            </w:tcBorders>
            <w:tcMar>
              <w:top w:w="0" w:type="dxa"/>
              <w:left w:w="108" w:type="dxa"/>
              <w:bottom w:w="0" w:type="dxa"/>
              <w:right w:w="108" w:type="dxa"/>
            </w:tcMar>
            <w:vAlign w:val="center"/>
          </w:tcPr>
          <w:p w14:paraId="6F762EDF">
            <w:pPr>
              <w:pStyle w:val="20"/>
              <w:spacing w:line="360" w:lineRule="auto"/>
              <w:jc w:val="center"/>
              <w:rPr>
                <w:sz w:val="24"/>
                <w:szCs w:val="24"/>
              </w:rPr>
            </w:pPr>
            <w:r>
              <w:rPr>
                <w:sz w:val="24"/>
                <w:szCs w:val="24"/>
              </w:rPr>
              <w:t>2</w:t>
            </w:r>
            <w:r>
              <w:rPr>
                <w:rFonts w:hint="eastAsia"/>
                <w:sz w:val="24"/>
                <w:szCs w:val="24"/>
                <w:lang w:eastAsia="zh-CN"/>
              </w:rPr>
              <w:t>2.16</w:t>
            </w:r>
            <w:r>
              <w:rPr>
                <w:sz w:val="24"/>
                <w:szCs w:val="24"/>
              </w:rPr>
              <w:t xml:space="preserve"> mg/g</w:t>
            </w:r>
          </w:p>
        </w:tc>
        <w:tc>
          <w:tcPr>
            <w:tcW w:w="1803" w:type="dxa"/>
            <w:tcBorders>
              <w:bottom w:val="single" w:color="auto" w:sz="12" w:space="0"/>
            </w:tcBorders>
            <w:tcMar>
              <w:top w:w="0" w:type="dxa"/>
              <w:left w:w="108" w:type="dxa"/>
              <w:bottom w:w="0" w:type="dxa"/>
              <w:right w:w="108" w:type="dxa"/>
            </w:tcMar>
            <w:vAlign w:val="center"/>
          </w:tcPr>
          <w:p w14:paraId="23F101F9">
            <w:pPr>
              <w:pStyle w:val="20"/>
              <w:spacing w:line="360" w:lineRule="auto"/>
              <w:jc w:val="center"/>
              <w:rPr>
                <w:sz w:val="24"/>
                <w:szCs w:val="24"/>
              </w:rPr>
            </w:pPr>
            <w:r>
              <w:rPr>
                <w:rFonts w:hint="eastAsia"/>
                <w:sz w:val="24"/>
                <w:szCs w:val="24"/>
                <w:lang w:eastAsia="zh-CN"/>
              </w:rPr>
              <w:t xml:space="preserve">real </w:t>
            </w:r>
            <w:r>
              <w:rPr>
                <w:sz w:val="24"/>
                <w:szCs w:val="24"/>
              </w:rPr>
              <w:t>brine</w:t>
            </w:r>
          </w:p>
        </w:tc>
        <w:tc>
          <w:tcPr>
            <w:tcW w:w="1925" w:type="dxa"/>
            <w:tcBorders>
              <w:bottom w:val="single" w:color="auto" w:sz="12" w:space="0"/>
            </w:tcBorders>
            <w:tcMar>
              <w:top w:w="0" w:type="dxa"/>
              <w:left w:w="108" w:type="dxa"/>
              <w:bottom w:w="0" w:type="dxa"/>
              <w:right w:w="108" w:type="dxa"/>
            </w:tcMar>
            <w:vAlign w:val="center"/>
          </w:tcPr>
          <w:p w14:paraId="6FE562BA">
            <w:pPr>
              <w:pStyle w:val="20"/>
              <w:spacing w:line="360" w:lineRule="auto"/>
              <w:jc w:val="center"/>
              <w:rPr>
                <w:sz w:val="24"/>
                <w:szCs w:val="24"/>
              </w:rPr>
            </w:pPr>
            <w:r>
              <w:rPr>
                <w:sz w:val="24"/>
                <w:szCs w:val="24"/>
              </w:rPr>
              <w:t>3.</w:t>
            </w:r>
            <w:r>
              <w:rPr>
                <w:rFonts w:hint="eastAsia"/>
                <w:sz w:val="24"/>
                <w:szCs w:val="24"/>
                <w:lang w:eastAsia="zh-CN"/>
              </w:rPr>
              <w:t xml:space="preserve">61 </w:t>
            </w:r>
            <w:r>
              <w:rPr>
                <w:sz w:val="24"/>
                <w:szCs w:val="24"/>
              </w:rPr>
              <w:t>Wh/mol</w:t>
            </w:r>
          </w:p>
        </w:tc>
        <w:tc>
          <w:tcPr>
            <w:tcW w:w="1072" w:type="dxa"/>
            <w:tcBorders>
              <w:bottom w:val="single" w:color="auto" w:sz="12" w:space="0"/>
            </w:tcBorders>
            <w:tcMar>
              <w:top w:w="0" w:type="dxa"/>
              <w:left w:w="108" w:type="dxa"/>
              <w:bottom w:w="0" w:type="dxa"/>
              <w:right w:w="108" w:type="dxa"/>
            </w:tcMar>
            <w:vAlign w:val="center"/>
          </w:tcPr>
          <w:p w14:paraId="4E097F64">
            <w:pPr>
              <w:pStyle w:val="20"/>
              <w:spacing w:line="360" w:lineRule="auto"/>
              <w:jc w:val="center"/>
              <w:rPr>
                <w:sz w:val="24"/>
                <w:szCs w:val="24"/>
              </w:rPr>
            </w:pPr>
            <w:r>
              <w:rPr>
                <w:sz w:val="24"/>
                <w:szCs w:val="24"/>
              </w:rPr>
              <w:t>This</w:t>
            </w:r>
          </w:p>
          <w:p w14:paraId="5D69090D">
            <w:pPr>
              <w:pStyle w:val="20"/>
              <w:spacing w:line="360" w:lineRule="auto"/>
              <w:jc w:val="center"/>
              <w:rPr>
                <w:sz w:val="24"/>
                <w:szCs w:val="24"/>
              </w:rPr>
            </w:pPr>
            <w:r>
              <w:rPr>
                <w:sz w:val="24"/>
                <w:szCs w:val="24"/>
              </w:rPr>
              <w:t>paper</w:t>
            </w:r>
          </w:p>
        </w:tc>
      </w:tr>
    </w:tbl>
    <w:p w14:paraId="3D999F75">
      <w:pPr>
        <w:pStyle w:val="21"/>
        <w:tabs>
          <w:tab w:val="left" w:pos="1980"/>
        </w:tabs>
        <w:spacing w:line="360" w:lineRule="auto"/>
        <w:ind w:left="357" w:hanging="357"/>
        <w:jc w:val="both"/>
        <w:rPr>
          <w:rFonts w:ascii="Times New Roman" w:hAnsi="Times New Roman" w:eastAsiaTheme="minorEastAsia"/>
          <w:b/>
          <w:bCs/>
          <w:sz w:val="28"/>
          <w:szCs w:val="28"/>
          <w:lang w:eastAsia="zh-CN"/>
        </w:rPr>
      </w:pPr>
      <w:r>
        <w:rPr>
          <w:rFonts w:hint="eastAsia" w:ascii="Times New Roman" w:hAnsi="Times New Roman" w:eastAsiaTheme="minorEastAsia"/>
          <w:b/>
          <w:bCs/>
          <w:sz w:val="28"/>
          <w:szCs w:val="28"/>
          <w:lang w:eastAsia="zh-CN"/>
        </w:rPr>
        <w:t>References:</w:t>
      </w:r>
    </w:p>
    <w:p w14:paraId="05AC125B">
      <w:pPr>
        <w:pStyle w:val="23"/>
        <w:numPr>
          <w:ilvl w:val="0"/>
          <w:numId w:val="1"/>
        </w:numPr>
        <w:spacing w:line="360" w:lineRule="auto"/>
        <w:ind w:firstLineChars="0"/>
        <w:contextualSpacing/>
        <w:rPr>
          <w:rFonts w:eastAsiaTheme="minorEastAsia"/>
          <w:bCs/>
          <w:sz w:val="24"/>
          <w:szCs w:val="32"/>
        </w:rPr>
      </w:pPr>
      <w:bookmarkStart w:id="51" w:name="_Hlk233043166"/>
      <w:bookmarkStart w:id="52" w:name="_Ref227433141"/>
      <w:r>
        <w:rPr>
          <w:sz w:val="24"/>
          <w:szCs w:val="32"/>
        </w:rPr>
        <w:t>Yan G, Wang M, Hill GT, Zou S, Liu C. Defining the challenges of Li extraction</w:t>
      </w:r>
      <w:r>
        <w:rPr>
          <w:rFonts w:hint="eastAsia"/>
          <w:sz w:val="24"/>
          <w:szCs w:val="32"/>
        </w:rPr>
        <w:t xml:space="preserve"> </w:t>
      </w:r>
      <w:r>
        <w:rPr>
          <w:sz w:val="24"/>
          <w:szCs w:val="32"/>
        </w:rPr>
        <w:t xml:space="preserve">with olivine host: the roles of competitor and spectator ions, PNAS 119 (31) (2022)2200751119, </w:t>
      </w:r>
      <w:r>
        <w:fldChar w:fldCharType="begin"/>
      </w:r>
      <w:r>
        <w:instrText xml:space="preserve"> HYPERLINK "https://doi.org/10.1073/pnas.2200751119" </w:instrText>
      </w:r>
      <w:r>
        <w:fldChar w:fldCharType="separate"/>
      </w:r>
      <w:r>
        <w:rPr>
          <w:rStyle w:val="14"/>
          <w:color w:val="auto"/>
          <w:sz w:val="24"/>
          <w:szCs w:val="32"/>
          <w:u w:val="none"/>
        </w:rPr>
        <w:t>https://doi.org/10.1073/pnas.2200751119</w:t>
      </w:r>
      <w:r>
        <w:rPr>
          <w:rStyle w:val="14"/>
          <w:color w:val="auto"/>
          <w:sz w:val="24"/>
          <w:szCs w:val="32"/>
          <w:u w:val="none"/>
        </w:rPr>
        <w:fldChar w:fldCharType="end"/>
      </w:r>
      <w:bookmarkEnd w:id="51"/>
    </w:p>
    <w:p w14:paraId="49871C6D">
      <w:pPr>
        <w:pStyle w:val="23"/>
        <w:widowControl/>
        <w:numPr>
          <w:ilvl w:val="0"/>
          <w:numId w:val="1"/>
        </w:numPr>
        <w:wordWrap w:val="0"/>
        <w:spacing w:before="50" w:after="50" w:line="360" w:lineRule="auto"/>
        <w:ind w:left="442" w:hanging="442" w:firstLineChars="0"/>
      </w:pPr>
      <w:r>
        <w:t xml:space="preserve">Xu W, He L, Zhao Z. Lithium extraction from high Mg/Li brine via electrochemical intercalation/de-intercalation system using </w:t>
      </w:r>
      <w:bookmarkStart w:id="53" w:name="OLE_LINK139"/>
      <w:r>
        <w:t>LiMn</w:t>
      </w:r>
      <w:r>
        <w:rPr>
          <w:rFonts w:hint="eastAsia"/>
          <w:vertAlign w:val="subscript"/>
        </w:rPr>
        <w:t>2</w:t>
      </w:r>
      <w:r>
        <w:t>O</w:t>
      </w:r>
      <w:r>
        <w:rPr>
          <w:rFonts w:hint="eastAsia"/>
          <w:vertAlign w:val="subscript"/>
        </w:rPr>
        <w:t>4</w:t>
      </w:r>
      <w:bookmarkEnd w:id="53"/>
      <w:r>
        <w:t xml:space="preserve"> materials. Desalination, 2021, 503: 114935. </w:t>
      </w:r>
      <w:r>
        <w:fldChar w:fldCharType="begin"/>
      </w:r>
      <w:r>
        <w:instrText xml:space="preserve"> HYPERLINK "https://doi.org/10.1016/j.desal.2021.114935" \t "_blank" </w:instrText>
      </w:r>
      <w:r>
        <w:fldChar w:fldCharType="separate"/>
      </w:r>
      <w:r>
        <w:t>https://doi.org/10.1016/j.desal.2021.114935</w:t>
      </w:r>
      <w:r>
        <w:fldChar w:fldCharType="end"/>
      </w:r>
      <w:bookmarkEnd w:id="52"/>
    </w:p>
    <w:p w14:paraId="5F5A6207">
      <w:pPr>
        <w:pStyle w:val="23"/>
        <w:widowControl/>
        <w:numPr>
          <w:ilvl w:val="0"/>
          <w:numId w:val="1"/>
        </w:numPr>
        <w:wordWrap w:val="0"/>
        <w:spacing w:before="50" w:after="50" w:line="360" w:lineRule="auto"/>
        <w:ind w:left="442" w:hanging="442" w:firstLineChars="0"/>
      </w:pPr>
      <w:r>
        <w:rPr>
          <w:rFonts w:hint="eastAsia"/>
        </w:rPr>
        <w:t xml:space="preserve"> </w:t>
      </w:r>
      <w:bookmarkStart w:id="54" w:name="_Ref227544770"/>
      <w:r>
        <w:t xml:space="preserve">Tian G, Gao J, Wang M, Wen X, Liu Y, Xiang J, Zhang L, Cheng P, Zhang J, Tang N. Structural stabilization of Cr-doped spinel </w:t>
      </w:r>
      <w:bookmarkStart w:id="55" w:name="OLE_LINK140"/>
      <w:r>
        <w:t>LiMn</w:t>
      </w:r>
      <w:r>
        <w:rPr>
          <w:rFonts w:hint="eastAsia"/>
          <w:vertAlign w:val="subscript"/>
        </w:rPr>
        <w:t>2</w:t>
      </w:r>
      <w:r>
        <w:t>O</w:t>
      </w:r>
      <w:r>
        <w:rPr>
          <w:rFonts w:hint="eastAsia"/>
          <w:vertAlign w:val="subscript"/>
        </w:rPr>
        <w:t>4</w:t>
      </w:r>
      <w:bookmarkEnd w:id="55"/>
      <w:r>
        <w:t xml:space="preserve"> for long-term lithium extraction from high Mg/Li brine. Journal of Materials Chemistry A, 2023, 11: 143361. </w:t>
      </w:r>
      <w:r>
        <w:fldChar w:fldCharType="begin"/>
      </w:r>
      <w:r>
        <w:instrText xml:space="preserve"> HYPERLINK "https://doi.org/10.1039/D3TA01234A" \t "_blank" </w:instrText>
      </w:r>
      <w:r>
        <w:fldChar w:fldCharType="separate"/>
      </w:r>
      <w:r>
        <w:t>https://doi.org/10.1039/D3TA01234A</w:t>
      </w:r>
      <w:r>
        <w:fldChar w:fldCharType="end"/>
      </w:r>
      <w:bookmarkEnd w:id="54"/>
    </w:p>
    <w:p w14:paraId="296F9DFB">
      <w:pPr>
        <w:pStyle w:val="23"/>
        <w:widowControl/>
        <w:numPr>
          <w:ilvl w:val="0"/>
          <w:numId w:val="1"/>
        </w:numPr>
        <w:wordWrap w:val="0"/>
        <w:spacing w:before="50" w:after="50" w:line="360" w:lineRule="auto"/>
        <w:ind w:left="442" w:hanging="442" w:firstLineChars="0"/>
      </w:pPr>
      <w:r>
        <w:rPr>
          <w:rFonts w:hint="eastAsia"/>
        </w:rPr>
        <w:t xml:space="preserve"> </w:t>
      </w:r>
      <w:bookmarkStart w:id="56" w:name="_Ref227544771"/>
      <w:r>
        <w:t>Luo G, Li X, Chen L, Zhang Y, Gu J, Chao Y, Zhu W, Liu Z, Xu C. Island-like CeO</w:t>
      </w:r>
      <w:r>
        <w:rPr>
          <w:rFonts w:hint="eastAsia"/>
          <w:vertAlign w:val="subscript"/>
        </w:rPr>
        <w:t>2</w:t>
      </w:r>
      <w:r>
        <w:t xml:space="preserve"> decorated LiMn</w:t>
      </w:r>
      <w:r>
        <w:rPr>
          <w:rFonts w:hint="eastAsia"/>
          <w:vertAlign w:val="subscript"/>
        </w:rPr>
        <w:t>2</w:t>
      </w:r>
      <w:r>
        <w:t>O</w:t>
      </w:r>
      <w:r>
        <w:rPr>
          <w:rFonts w:hint="eastAsia"/>
          <w:vertAlign w:val="subscript"/>
        </w:rPr>
        <w:t>4</w:t>
      </w:r>
      <w:r>
        <w:t xml:space="preserve">: surface modification enhancing electrochemical lithium extraction and cycle performance. Chemical Engineering Journal, 2023, 455: 140928. </w:t>
      </w:r>
      <w:r>
        <w:fldChar w:fldCharType="begin"/>
      </w:r>
      <w:r>
        <w:instrText xml:space="preserve"> HYPERLINK "https://doi.org/10.1016/j.cej.2022.140928" \t "_blank" </w:instrText>
      </w:r>
      <w:r>
        <w:fldChar w:fldCharType="separate"/>
      </w:r>
      <w:r>
        <w:t>https://doi.org/10.1016/j.cej.2022.140928</w:t>
      </w:r>
      <w:r>
        <w:fldChar w:fldCharType="end"/>
      </w:r>
      <w:bookmarkEnd w:id="56"/>
    </w:p>
    <w:p w14:paraId="3A0C6E31">
      <w:pPr>
        <w:pStyle w:val="23"/>
        <w:widowControl/>
        <w:numPr>
          <w:ilvl w:val="0"/>
          <w:numId w:val="1"/>
        </w:numPr>
        <w:wordWrap w:val="0"/>
        <w:spacing w:before="50" w:after="50" w:line="360" w:lineRule="auto"/>
        <w:ind w:left="442" w:hanging="442" w:firstLineChars="0"/>
      </w:pPr>
      <w:r>
        <w:rPr>
          <w:rFonts w:hint="eastAsia"/>
        </w:rPr>
        <w:t xml:space="preserve"> </w:t>
      </w:r>
      <w:bookmarkStart w:id="57" w:name="_Ref227544773"/>
      <w:r>
        <w:t>Chen L, Fan L, Lan D, Gu J, Xiaojun C, Ji H, Chao Y, Wu P, Zhu W. In</w:t>
      </w:r>
      <w:r>
        <w:rPr>
          <w:rFonts w:hint="eastAsia"/>
          <w:vertAlign w:val="subscript"/>
        </w:rPr>
        <w:t>2</w:t>
      </w:r>
      <w:r>
        <w:t>O</w:t>
      </w:r>
      <w:r>
        <w:rPr>
          <w:rFonts w:hint="eastAsia"/>
          <w:vertAlign w:val="subscript"/>
        </w:rPr>
        <w:t>3</w:t>
      </w:r>
      <w:r>
        <w:t xml:space="preserve"> modification mitigates Jahn-Teller effect in </w:t>
      </w:r>
      <w:bookmarkStart w:id="58" w:name="OLE_LINK141"/>
      <w:r>
        <w:t>LiMn</w:t>
      </w:r>
      <w:r>
        <w:rPr>
          <w:rFonts w:hint="eastAsia"/>
          <w:vertAlign w:val="subscript"/>
        </w:rPr>
        <w:t>2</w:t>
      </w:r>
      <w:r>
        <w:t>O</w:t>
      </w:r>
      <w:r>
        <w:rPr>
          <w:rFonts w:hint="eastAsia"/>
          <w:vertAlign w:val="subscript"/>
        </w:rPr>
        <w:t>4</w:t>
      </w:r>
      <w:bookmarkEnd w:id="58"/>
      <w:r>
        <w:t xml:space="preserve"> enhancing lithium extraction efficiency and stability. Chemical Engineering Journal, 2025, 505: 159815. </w:t>
      </w:r>
      <w:r>
        <w:fldChar w:fldCharType="begin"/>
      </w:r>
      <w:r>
        <w:instrText xml:space="preserve"> HYPERLINK "https://doi.org/10.1016/j.cej.2025.159815" \t "_blank" </w:instrText>
      </w:r>
      <w:r>
        <w:fldChar w:fldCharType="separate"/>
      </w:r>
      <w:r>
        <w:t>https://doi.org/10.1016/j.cej.2025.159815</w:t>
      </w:r>
      <w:r>
        <w:fldChar w:fldCharType="end"/>
      </w:r>
      <w:bookmarkEnd w:id="57"/>
    </w:p>
    <w:p w14:paraId="09EC16A2">
      <w:pPr>
        <w:pStyle w:val="23"/>
        <w:widowControl/>
        <w:numPr>
          <w:ilvl w:val="0"/>
          <w:numId w:val="1"/>
        </w:numPr>
        <w:wordWrap w:val="0"/>
        <w:spacing w:before="50" w:after="50" w:line="360" w:lineRule="auto"/>
        <w:ind w:left="442" w:hanging="442" w:firstLineChars="0"/>
      </w:pPr>
      <w:bookmarkStart w:id="59" w:name="_Ref227544776"/>
      <w:r>
        <w:t>Mojtahedi B, Askari M, Dolati A, Shahcheraghi N, Ghorbanzadeh M. Enhanced Cycling Performance of LiMn</w:t>
      </w:r>
      <w:r>
        <w:rPr>
          <w:rFonts w:hint="eastAsia"/>
          <w:vertAlign w:val="subscript"/>
        </w:rPr>
        <w:t>2</w:t>
      </w:r>
      <w:r>
        <w:t>O</w:t>
      </w:r>
      <w:r>
        <w:rPr>
          <w:rFonts w:hint="eastAsia"/>
          <w:vertAlign w:val="subscript"/>
        </w:rPr>
        <w:t>4</w:t>
      </w:r>
      <w:r>
        <w:t xml:space="preserve"> Electrode Including Cobalt and Vanadium Codoping for Lithium Extraction from Brine. Energy &amp; Fuels, 2024, 38: 19878–19889. </w:t>
      </w:r>
      <w:r>
        <w:fldChar w:fldCharType="begin"/>
      </w:r>
      <w:r>
        <w:instrText xml:space="preserve"> HYPERLINK "https://doi.org/10.1021/acs.energyfuels.4c03409" \t "_blank" </w:instrText>
      </w:r>
      <w:r>
        <w:fldChar w:fldCharType="separate"/>
      </w:r>
      <w:r>
        <w:t>https://doi.org/10.1021/acs.energyfuels.4c03409</w:t>
      </w:r>
      <w:r>
        <w:fldChar w:fldCharType="end"/>
      </w:r>
      <w:bookmarkEnd w:id="59"/>
    </w:p>
    <w:p w14:paraId="412D0D9B">
      <w:pPr>
        <w:pStyle w:val="23"/>
        <w:widowControl/>
        <w:numPr>
          <w:ilvl w:val="0"/>
          <w:numId w:val="1"/>
        </w:numPr>
        <w:wordWrap w:val="0"/>
        <w:spacing w:before="50" w:after="50" w:line="360" w:lineRule="auto"/>
        <w:ind w:left="442" w:hanging="442" w:firstLineChars="0"/>
      </w:pPr>
      <w:bookmarkStart w:id="60" w:name="_Ref227544777"/>
      <w:r>
        <w:t xml:space="preserve">Wu Y, Shi P, Zhong Y, Cai R. Improved Performance of a Ni, Co-Doped </w:t>
      </w:r>
      <w:r>
        <w:rPr>
          <w:spacing w:val="-20"/>
        </w:rPr>
        <w:t>LiMn</w:t>
      </w:r>
      <w:r>
        <w:rPr>
          <w:spacing w:val="-20"/>
          <w:vertAlign w:val="subscript"/>
        </w:rPr>
        <w:t>2</w:t>
      </w:r>
      <w:r>
        <w:rPr>
          <w:spacing w:val="-20"/>
        </w:rPr>
        <w:t>O</w:t>
      </w:r>
      <w:r>
        <w:rPr>
          <w:spacing w:val="-20"/>
          <w:vertAlign w:val="subscript"/>
        </w:rPr>
        <w:t>4</w:t>
      </w:r>
      <w:r>
        <w:t xml:space="preserve"> Electrode for Lithium Extraction from Brine. Energy &amp; Fuels, 2023, 37: 4083–4093. </w:t>
      </w:r>
      <w:r>
        <w:fldChar w:fldCharType="begin"/>
      </w:r>
      <w:r>
        <w:instrText xml:space="preserve"> HYPERLINK "https://doi.org/10.1021/acs.energyfuels.2c04113" \t "_blank" </w:instrText>
      </w:r>
      <w:r>
        <w:fldChar w:fldCharType="separate"/>
      </w:r>
      <w:r>
        <w:t>https://doi.org/10.1021/acs.energyfuels.2c04113</w:t>
      </w:r>
      <w:r>
        <w:fldChar w:fldCharType="end"/>
      </w:r>
      <w:bookmarkEnd w:id="60"/>
    </w:p>
    <w:p w14:paraId="786FDB75">
      <w:pPr>
        <w:pStyle w:val="23"/>
        <w:widowControl/>
        <w:numPr>
          <w:ilvl w:val="0"/>
          <w:numId w:val="1"/>
        </w:numPr>
        <w:wordWrap w:val="0"/>
        <w:spacing w:before="50" w:after="50" w:line="360" w:lineRule="auto"/>
        <w:ind w:left="442" w:hanging="442" w:firstLineChars="0"/>
      </w:pPr>
      <w:r>
        <w:rPr>
          <w:rFonts w:hint="eastAsia"/>
        </w:rPr>
        <w:t xml:space="preserve"> </w:t>
      </w:r>
      <w:bookmarkStart w:id="61" w:name="_Ref227544774"/>
      <w:r>
        <w:t>Tan G, Wan S, Chen J, Yu H, Yu Y. Reduced Lattice Constant in Al-Doped LiMn</w:t>
      </w:r>
      <w:r>
        <w:rPr>
          <w:rFonts w:hint="eastAsia"/>
          <w:vertAlign w:val="subscript"/>
        </w:rPr>
        <w:t>2</w:t>
      </w:r>
      <w:r>
        <w:t>O</w:t>
      </w:r>
      <w:r>
        <w:rPr>
          <w:rFonts w:hint="eastAsia"/>
          <w:vertAlign w:val="subscript"/>
        </w:rPr>
        <w:t>4</w:t>
      </w:r>
      <w:r>
        <w:t xml:space="preserve"> Nanoparticles for Boosted Electrochemical Lithium Extraction. Advanced Materials, 2024, 36: 2310657. </w:t>
      </w:r>
      <w:r>
        <w:fldChar w:fldCharType="begin"/>
      </w:r>
      <w:r>
        <w:instrText xml:space="preserve"> HYPERLINK "https://doi.org/10.1002/adma.202310657" \t "_blank" </w:instrText>
      </w:r>
      <w:r>
        <w:fldChar w:fldCharType="separate"/>
      </w:r>
      <w:r>
        <w:t>https://doi.org/10.1002/adma.202310657</w:t>
      </w:r>
      <w:r>
        <w:fldChar w:fldCharType="end"/>
      </w:r>
      <w:bookmarkEnd w:id="61"/>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Yu Gothic UI">
    <w:panose1 w:val="020B0500000000000000"/>
    <w:charset w:val="80"/>
    <w:family w:val="auto"/>
    <w:pitch w:val="default"/>
    <w:sig w:usb0="E00002FF" w:usb1="2AC7FDFF" w:usb2="00000016" w:usb3="00000000" w:csb0="2002009F"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015D15"/>
    <w:multiLevelType w:val="multilevel"/>
    <w:tmpl w:val="37015D15"/>
    <w:lvl w:ilvl="0" w:tentative="0">
      <w:start w:val="1"/>
      <w:numFmt w:val="decimal"/>
      <w:lvlText w:val="[%1]"/>
      <w:lvlJc w:val="left"/>
      <w:pPr>
        <w:ind w:left="440" w:hanging="440"/>
      </w:pPr>
      <w:rPr>
        <w:rFonts w:hint="default" w:ascii="Times New Roman" w:hAnsi="Times New Roman" w:cs="Times New Roman"/>
        <w:b w:val="0"/>
        <w:bCs w:val="0"/>
      </w:rPr>
    </w:lvl>
    <w:lvl w:ilvl="1" w:tentative="0">
      <w:start w:val="1"/>
      <w:numFmt w:val="upperLetter"/>
      <w:lvlText w:val="%2."/>
      <w:lvlJc w:val="left"/>
      <w:pPr>
        <w:ind w:left="800" w:hanging="36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4B7"/>
    <w:rsid w:val="0000216E"/>
    <w:rsid w:val="000131F1"/>
    <w:rsid w:val="0003292C"/>
    <w:rsid w:val="00035707"/>
    <w:rsid w:val="00042220"/>
    <w:rsid w:val="00044D8B"/>
    <w:rsid w:val="00045052"/>
    <w:rsid w:val="0004757E"/>
    <w:rsid w:val="00052856"/>
    <w:rsid w:val="00056B12"/>
    <w:rsid w:val="0006151B"/>
    <w:rsid w:val="00070B67"/>
    <w:rsid w:val="0007103B"/>
    <w:rsid w:val="0007634C"/>
    <w:rsid w:val="00077679"/>
    <w:rsid w:val="0008053E"/>
    <w:rsid w:val="00082F4E"/>
    <w:rsid w:val="000948B9"/>
    <w:rsid w:val="000A202B"/>
    <w:rsid w:val="000B2585"/>
    <w:rsid w:val="000C370B"/>
    <w:rsid w:val="000C3A76"/>
    <w:rsid w:val="000C58EC"/>
    <w:rsid w:val="000D35AD"/>
    <w:rsid w:val="000F27AF"/>
    <w:rsid w:val="001075A6"/>
    <w:rsid w:val="001160BD"/>
    <w:rsid w:val="00125779"/>
    <w:rsid w:val="001269B0"/>
    <w:rsid w:val="00130B7F"/>
    <w:rsid w:val="0013252E"/>
    <w:rsid w:val="00141FA9"/>
    <w:rsid w:val="00147A59"/>
    <w:rsid w:val="001554FF"/>
    <w:rsid w:val="00162E30"/>
    <w:rsid w:val="00165CDC"/>
    <w:rsid w:val="001770EE"/>
    <w:rsid w:val="0019174D"/>
    <w:rsid w:val="001A225C"/>
    <w:rsid w:val="001A4E09"/>
    <w:rsid w:val="001B5693"/>
    <w:rsid w:val="001C786A"/>
    <w:rsid w:val="001E0619"/>
    <w:rsid w:val="001E0659"/>
    <w:rsid w:val="001E3303"/>
    <w:rsid w:val="001E3A59"/>
    <w:rsid w:val="001E5213"/>
    <w:rsid w:val="001F106B"/>
    <w:rsid w:val="001F108D"/>
    <w:rsid w:val="001F42F4"/>
    <w:rsid w:val="00200A60"/>
    <w:rsid w:val="00200DFA"/>
    <w:rsid w:val="002023A9"/>
    <w:rsid w:val="00205093"/>
    <w:rsid w:val="00207E27"/>
    <w:rsid w:val="002111F9"/>
    <w:rsid w:val="0021243B"/>
    <w:rsid w:val="00222391"/>
    <w:rsid w:val="00233D2E"/>
    <w:rsid w:val="00237008"/>
    <w:rsid w:val="00255588"/>
    <w:rsid w:val="00260B8A"/>
    <w:rsid w:val="00266740"/>
    <w:rsid w:val="00267453"/>
    <w:rsid w:val="00281735"/>
    <w:rsid w:val="002835ED"/>
    <w:rsid w:val="00285F4E"/>
    <w:rsid w:val="002A1540"/>
    <w:rsid w:val="002A6F85"/>
    <w:rsid w:val="002B7338"/>
    <w:rsid w:val="002C533D"/>
    <w:rsid w:val="002D0C97"/>
    <w:rsid w:val="002D5DA8"/>
    <w:rsid w:val="002F24C6"/>
    <w:rsid w:val="002F305F"/>
    <w:rsid w:val="002F4EC0"/>
    <w:rsid w:val="002F7C1B"/>
    <w:rsid w:val="003037C4"/>
    <w:rsid w:val="00306C4E"/>
    <w:rsid w:val="00312BC7"/>
    <w:rsid w:val="00312FE2"/>
    <w:rsid w:val="00317518"/>
    <w:rsid w:val="00320AE3"/>
    <w:rsid w:val="00320FCE"/>
    <w:rsid w:val="00327452"/>
    <w:rsid w:val="00334AA3"/>
    <w:rsid w:val="00341CF9"/>
    <w:rsid w:val="00344F78"/>
    <w:rsid w:val="003555A1"/>
    <w:rsid w:val="003649B5"/>
    <w:rsid w:val="0037089E"/>
    <w:rsid w:val="0038326F"/>
    <w:rsid w:val="00386DFC"/>
    <w:rsid w:val="00391BF3"/>
    <w:rsid w:val="00393508"/>
    <w:rsid w:val="003936C0"/>
    <w:rsid w:val="003A06D5"/>
    <w:rsid w:val="003B09C4"/>
    <w:rsid w:val="003B1D0C"/>
    <w:rsid w:val="003C426F"/>
    <w:rsid w:val="003D088A"/>
    <w:rsid w:val="003E63F6"/>
    <w:rsid w:val="003F4F55"/>
    <w:rsid w:val="0040251F"/>
    <w:rsid w:val="004104F5"/>
    <w:rsid w:val="00422102"/>
    <w:rsid w:val="00431E19"/>
    <w:rsid w:val="00433A6B"/>
    <w:rsid w:val="004349C1"/>
    <w:rsid w:val="00441CE1"/>
    <w:rsid w:val="0044510E"/>
    <w:rsid w:val="00447631"/>
    <w:rsid w:val="0046272F"/>
    <w:rsid w:val="00465B75"/>
    <w:rsid w:val="004741BD"/>
    <w:rsid w:val="00481D56"/>
    <w:rsid w:val="00487539"/>
    <w:rsid w:val="00494BF2"/>
    <w:rsid w:val="004A0A5E"/>
    <w:rsid w:val="004A1AAD"/>
    <w:rsid w:val="004A3EF4"/>
    <w:rsid w:val="004A5899"/>
    <w:rsid w:val="004B262A"/>
    <w:rsid w:val="004B3EB9"/>
    <w:rsid w:val="004B4540"/>
    <w:rsid w:val="004B7D19"/>
    <w:rsid w:val="004D0150"/>
    <w:rsid w:val="004D0D17"/>
    <w:rsid w:val="004E40A4"/>
    <w:rsid w:val="004E6300"/>
    <w:rsid w:val="004F487D"/>
    <w:rsid w:val="004F7DD1"/>
    <w:rsid w:val="00501218"/>
    <w:rsid w:val="00502A34"/>
    <w:rsid w:val="00507FF2"/>
    <w:rsid w:val="00514860"/>
    <w:rsid w:val="00516815"/>
    <w:rsid w:val="005208AF"/>
    <w:rsid w:val="005252B3"/>
    <w:rsid w:val="0052718A"/>
    <w:rsid w:val="0053190A"/>
    <w:rsid w:val="00556797"/>
    <w:rsid w:val="00556E59"/>
    <w:rsid w:val="00575CCE"/>
    <w:rsid w:val="005763F0"/>
    <w:rsid w:val="00576F40"/>
    <w:rsid w:val="00586E31"/>
    <w:rsid w:val="00590BBF"/>
    <w:rsid w:val="00597B32"/>
    <w:rsid w:val="005A64C2"/>
    <w:rsid w:val="005B4817"/>
    <w:rsid w:val="005D06CE"/>
    <w:rsid w:val="005D0D8A"/>
    <w:rsid w:val="005D3E72"/>
    <w:rsid w:val="005D4688"/>
    <w:rsid w:val="005E01EA"/>
    <w:rsid w:val="005E4820"/>
    <w:rsid w:val="005E7C1A"/>
    <w:rsid w:val="005F0533"/>
    <w:rsid w:val="005F7987"/>
    <w:rsid w:val="006044B7"/>
    <w:rsid w:val="00604FC0"/>
    <w:rsid w:val="00615760"/>
    <w:rsid w:val="006245B2"/>
    <w:rsid w:val="006271B3"/>
    <w:rsid w:val="006310CE"/>
    <w:rsid w:val="00640678"/>
    <w:rsid w:val="00651FA0"/>
    <w:rsid w:val="00663E77"/>
    <w:rsid w:val="00674B41"/>
    <w:rsid w:val="006775B3"/>
    <w:rsid w:val="00677EC3"/>
    <w:rsid w:val="006921CF"/>
    <w:rsid w:val="006A5E4C"/>
    <w:rsid w:val="006B0C1F"/>
    <w:rsid w:val="006B3D61"/>
    <w:rsid w:val="006B766D"/>
    <w:rsid w:val="006B795A"/>
    <w:rsid w:val="006C0D35"/>
    <w:rsid w:val="006C4406"/>
    <w:rsid w:val="006C4C4C"/>
    <w:rsid w:val="006C7101"/>
    <w:rsid w:val="006D2697"/>
    <w:rsid w:val="006F034F"/>
    <w:rsid w:val="006F4575"/>
    <w:rsid w:val="006F74F9"/>
    <w:rsid w:val="007025B9"/>
    <w:rsid w:val="00704B09"/>
    <w:rsid w:val="00711F19"/>
    <w:rsid w:val="00731572"/>
    <w:rsid w:val="00733AF2"/>
    <w:rsid w:val="00751500"/>
    <w:rsid w:val="007521B5"/>
    <w:rsid w:val="00762079"/>
    <w:rsid w:val="0077563E"/>
    <w:rsid w:val="00776982"/>
    <w:rsid w:val="00786503"/>
    <w:rsid w:val="00786657"/>
    <w:rsid w:val="00796F5B"/>
    <w:rsid w:val="007A3DBB"/>
    <w:rsid w:val="007A62FC"/>
    <w:rsid w:val="007B44A6"/>
    <w:rsid w:val="007B6CE6"/>
    <w:rsid w:val="007C2054"/>
    <w:rsid w:val="007C3A14"/>
    <w:rsid w:val="007C726B"/>
    <w:rsid w:val="007D3798"/>
    <w:rsid w:val="007E2752"/>
    <w:rsid w:val="007F2A6E"/>
    <w:rsid w:val="007F3C2A"/>
    <w:rsid w:val="008002A7"/>
    <w:rsid w:val="008028FE"/>
    <w:rsid w:val="00807F24"/>
    <w:rsid w:val="00812A37"/>
    <w:rsid w:val="00813C6A"/>
    <w:rsid w:val="008242EA"/>
    <w:rsid w:val="00826D86"/>
    <w:rsid w:val="00830E41"/>
    <w:rsid w:val="0084136A"/>
    <w:rsid w:val="00844575"/>
    <w:rsid w:val="00844BE1"/>
    <w:rsid w:val="008528AB"/>
    <w:rsid w:val="00852955"/>
    <w:rsid w:val="00856C01"/>
    <w:rsid w:val="00864057"/>
    <w:rsid w:val="008658B5"/>
    <w:rsid w:val="00866168"/>
    <w:rsid w:val="00867316"/>
    <w:rsid w:val="008800B7"/>
    <w:rsid w:val="0088392D"/>
    <w:rsid w:val="00884627"/>
    <w:rsid w:val="00890532"/>
    <w:rsid w:val="008A502E"/>
    <w:rsid w:val="008B09DF"/>
    <w:rsid w:val="008B3790"/>
    <w:rsid w:val="008B3C4F"/>
    <w:rsid w:val="008B4512"/>
    <w:rsid w:val="008B6171"/>
    <w:rsid w:val="008C14F2"/>
    <w:rsid w:val="008C364D"/>
    <w:rsid w:val="008C3A0C"/>
    <w:rsid w:val="008D067B"/>
    <w:rsid w:val="008D3B87"/>
    <w:rsid w:val="008E0B29"/>
    <w:rsid w:val="008E653D"/>
    <w:rsid w:val="008F18B0"/>
    <w:rsid w:val="008F38D6"/>
    <w:rsid w:val="00901664"/>
    <w:rsid w:val="00911EBF"/>
    <w:rsid w:val="00915A3A"/>
    <w:rsid w:val="00923698"/>
    <w:rsid w:val="00923B8B"/>
    <w:rsid w:val="00925748"/>
    <w:rsid w:val="00927DA8"/>
    <w:rsid w:val="009301F8"/>
    <w:rsid w:val="00941D1C"/>
    <w:rsid w:val="009423EB"/>
    <w:rsid w:val="00944348"/>
    <w:rsid w:val="00946EAB"/>
    <w:rsid w:val="00953AA7"/>
    <w:rsid w:val="00994449"/>
    <w:rsid w:val="009A3E93"/>
    <w:rsid w:val="009A79AB"/>
    <w:rsid w:val="009C5AFC"/>
    <w:rsid w:val="009C7780"/>
    <w:rsid w:val="009D0788"/>
    <w:rsid w:val="009D1E4F"/>
    <w:rsid w:val="009D34B5"/>
    <w:rsid w:val="009D60D0"/>
    <w:rsid w:val="009E23A0"/>
    <w:rsid w:val="009E45E6"/>
    <w:rsid w:val="009E579F"/>
    <w:rsid w:val="009E7A43"/>
    <w:rsid w:val="009F1594"/>
    <w:rsid w:val="009F231B"/>
    <w:rsid w:val="00A0197D"/>
    <w:rsid w:val="00A02834"/>
    <w:rsid w:val="00A06297"/>
    <w:rsid w:val="00A14151"/>
    <w:rsid w:val="00A173CB"/>
    <w:rsid w:val="00A21E08"/>
    <w:rsid w:val="00A23B83"/>
    <w:rsid w:val="00A25DDE"/>
    <w:rsid w:val="00A311F2"/>
    <w:rsid w:val="00A33E0D"/>
    <w:rsid w:val="00A45833"/>
    <w:rsid w:val="00A47B6A"/>
    <w:rsid w:val="00A502DB"/>
    <w:rsid w:val="00A62BE6"/>
    <w:rsid w:val="00A637F3"/>
    <w:rsid w:val="00A73627"/>
    <w:rsid w:val="00A76D57"/>
    <w:rsid w:val="00A83676"/>
    <w:rsid w:val="00A90B07"/>
    <w:rsid w:val="00A90F86"/>
    <w:rsid w:val="00AA45B4"/>
    <w:rsid w:val="00AA601C"/>
    <w:rsid w:val="00AB3982"/>
    <w:rsid w:val="00AB3E9E"/>
    <w:rsid w:val="00AB46A1"/>
    <w:rsid w:val="00AB5B47"/>
    <w:rsid w:val="00AC0E4F"/>
    <w:rsid w:val="00AC530E"/>
    <w:rsid w:val="00AD3972"/>
    <w:rsid w:val="00AD52FA"/>
    <w:rsid w:val="00AF44CF"/>
    <w:rsid w:val="00AF64B1"/>
    <w:rsid w:val="00B04057"/>
    <w:rsid w:val="00B040E6"/>
    <w:rsid w:val="00B0609B"/>
    <w:rsid w:val="00B074AB"/>
    <w:rsid w:val="00B12B37"/>
    <w:rsid w:val="00B273C7"/>
    <w:rsid w:val="00B34E85"/>
    <w:rsid w:val="00B3610A"/>
    <w:rsid w:val="00B36DD1"/>
    <w:rsid w:val="00B41BDE"/>
    <w:rsid w:val="00B461AD"/>
    <w:rsid w:val="00B4634D"/>
    <w:rsid w:val="00B56705"/>
    <w:rsid w:val="00B727F6"/>
    <w:rsid w:val="00B72DC5"/>
    <w:rsid w:val="00B76561"/>
    <w:rsid w:val="00B85FB1"/>
    <w:rsid w:val="00B901D5"/>
    <w:rsid w:val="00B9178D"/>
    <w:rsid w:val="00B921D6"/>
    <w:rsid w:val="00BA1CEF"/>
    <w:rsid w:val="00BB2971"/>
    <w:rsid w:val="00BB42D8"/>
    <w:rsid w:val="00BC033F"/>
    <w:rsid w:val="00BC5A10"/>
    <w:rsid w:val="00BE7642"/>
    <w:rsid w:val="00BF00D5"/>
    <w:rsid w:val="00C05332"/>
    <w:rsid w:val="00C10AA7"/>
    <w:rsid w:val="00C174D4"/>
    <w:rsid w:val="00C20949"/>
    <w:rsid w:val="00C2752F"/>
    <w:rsid w:val="00C322E4"/>
    <w:rsid w:val="00C35C53"/>
    <w:rsid w:val="00C429E2"/>
    <w:rsid w:val="00C52CAB"/>
    <w:rsid w:val="00C56468"/>
    <w:rsid w:val="00C56D20"/>
    <w:rsid w:val="00C649A7"/>
    <w:rsid w:val="00C6686E"/>
    <w:rsid w:val="00C67314"/>
    <w:rsid w:val="00C84FED"/>
    <w:rsid w:val="00C97201"/>
    <w:rsid w:val="00CA2423"/>
    <w:rsid w:val="00CA50D4"/>
    <w:rsid w:val="00CB0C0C"/>
    <w:rsid w:val="00CB55AE"/>
    <w:rsid w:val="00CC261D"/>
    <w:rsid w:val="00CC65AA"/>
    <w:rsid w:val="00CC71A8"/>
    <w:rsid w:val="00CD09F7"/>
    <w:rsid w:val="00CE06AB"/>
    <w:rsid w:val="00CE1004"/>
    <w:rsid w:val="00CE1F12"/>
    <w:rsid w:val="00D026B1"/>
    <w:rsid w:val="00D13AC9"/>
    <w:rsid w:val="00D14B4C"/>
    <w:rsid w:val="00D17078"/>
    <w:rsid w:val="00D23C29"/>
    <w:rsid w:val="00D26C01"/>
    <w:rsid w:val="00D26FDA"/>
    <w:rsid w:val="00D544D6"/>
    <w:rsid w:val="00D548F5"/>
    <w:rsid w:val="00D56F8B"/>
    <w:rsid w:val="00D72FD5"/>
    <w:rsid w:val="00D758D9"/>
    <w:rsid w:val="00D8498A"/>
    <w:rsid w:val="00D84ADB"/>
    <w:rsid w:val="00DA3654"/>
    <w:rsid w:val="00DA6B65"/>
    <w:rsid w:val="00DB152B"/>
    <w:rsid w:val="00DC1482"/>
    <w:rsid w:val="00DD3CAA"/>
    <w:rsid w:val="00DE33F1"/>
    <w:rsid w:val="00DE6DC6"/>
    <w:rsid w:val="00DF6520"/>
    <w:rsid w:val="00E0797A"/>
    <w:rsid w:val="00E1446F"/>
    <w:rsid w:val="00E2648C"/>
    <w:rsid w:val="00E33BE9"/>
    <w:rsid w:val="00E40E5D"/>
    <w:rsid w:val="00E41A88"/>
    <w:rsid w:val="00E42CA0"/>
    <w:rsid w:val="00E44F87"/>
    <w:rsid w:val="00E53D9A"/>
    <w:rsid w:val="00E56FAC"/>
    <w:rsid w:val="00E57186"/>
    <w:rsid w:val="00E61AAB"/>
    <w:rsid w:val="00E623F5"/>
    <w:rsid w:val="00E6561B"/>
    <w:rsid w:val="00E71D19"/>
    <w:rsid w:val="00E769BB"/>
    <w:rsid w:val="00E77CE2"/>
    <w:rsid w:val="00E914C6"/>
    <w:rsid w:val="00EA0C95"/>
    <w:rsid w:val="00EA4B49"/>
    <w:rsid w:val="00EA70AC"/>
    <w:rsid w:val="00EB0B56"/>
    <w:rsid w:val="00EB23B0"/>
    <w:rsid w:val="00EB442F"/>
    <w:rsid w:val="00EC1099"/>
    <w:rsid w:val="00EC3722"/>
    <w:rsid w:val="00EC45FC"/>
    <w:rsid w:val="00EC5A91"/>
    <w:rsid w:val="00EC7870"/>
    <w:rsid w:val="00ED5ED3"/>
    <w:rsid w:val="00EE1C2C"/>
    <w:rsid w:val="00EE3278"/>
    <w:rsid w:val="00EE5BAB"/>
    <w:rsid w:val="00EF64E9"/>
    <w:rsid w:val="00F039E0"/>
    <w:rsid w:val="00F102B0"/>
    <w:rsid w:val="00F137EB"/>
    <w:rsid w:val="00F215D8"/>
    <w:rsid w:val="00F228C4"/>
    <w:rsid w:val="00F241BB"/>
    <w:rsid w:val="00F32B35"/>
    <w:rsid w:val="00F353B2"/>
    <w:rsid w:val="00F363B1"/>
    <w:rsid w:val="00F47802"/>
    <w:rsid w:val="00F54280"/>
    <w:rsid w:val="00F542CD"/>
    <w:rsid w:val="00F54E4F"/>
    <w:rsid w:val="00F61D45"/>
    <w:rsid w:val="00F6247E"/>
    <w:rsid w:val="00F70E12"/>
    <w:rsid w:val="00F7230A"/>
    <w:rsid w:val="00F82F69"/>
    <w:rsid w:val="00F8472E"/>
    <w:rsid w:val="00F854B3"/>
    <w:rsid w:val="00F87D5B"/>
    <w:rsid w:val="00F92F68"/>
    <w:rsid w:val="00F96D0C"/>
    <w:rsid w:val="00FA0BD8"/>
    <w:rsid w:val="00FA1252"/>
    <w:rsid w:val="00FB00CC"/>
    <w:rsid w:val="00FB02D9"/>
    <w:rsid w:val="00FB037B"/>
    <w:rsid w:val="00FB0828"/>
    <w:rsid w:val="00FB1B52"/>
    <w:rsid w:val="00FB25BF"/>
    <w:rsid w:val="00FB57E6"/>
    <w:rsid w:val="00FB6A15"/>
    <w:rsid w:val="00FB6D51"/>
    <w:rsid w:val="00FC299F"/>
    <w:rsid w:val="00FC2E81"/>
    <w:rsid w:val="00FC5658"/>
    <w:rsid w:val="00FD30E8"/>
    <w:rsid w:val="00FD7BE0"/>
    <w:rsid w:val="210E4F05"/>
    <w:rsid w:val="301C0521"/>
    <w:rsid w:val="43A16860"/>
    <w:rsid w:val="50CF3D2E"/>
    <w:rsid w:val="54EE6614"/>
    <w:rsid w:val="59995821"/>
    <w:rsid w:val="6A8B4D12"/>
    <w:rsid w:val="79200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3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6"/>
    <w:qFormat/>
    <w:uiPriority w:val="0"/>
    <w:pPr>
      <w:jc w:val="left"/>
    </w:pPr>
  </w:style>
  <w:style w:type="paragraph" w:styleId="6">
    <w:name w:val="Balloon Text"/>
    <w:basedOn w:val="1"/>
    <w:link w:val="25"/>
    <w:qFormat/>
    <w:uiPriority w:val="0"/>
    <w:rPr>
      <w:sz w:val="18"/>
      <w:szCs w:val="18"/>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tabs>
        <w:tab w:val="center" w:pos="4153"/>
        <w:tab w:val="right" w:pos="8306"/>
      </w:tabs>
      <w:snapToGrid w:val="0"/>
      <w:jc w:val="center"/>
    </w:pPr>
    <w:rPr>
      <w:sz w:val="18"/>
      <w:szCs w:val="18"/>
    </w:rPr>
  </w:style>
  <w:style w:type="paragraph" w:styleId="9">
    <w:name w:val="Normal (Web)"/>
    <w:basedOn w:val="1"/>
    <w:qFormat/>
    <w:uiPriority w:val="0"/>
    <w:rPr>
      <w:sz w:val="24"/>
    </w:rPr>
  </w:style>
  <w:style w:type="paragraph" w:styleId="10">
    <w:name w:val="annotation subject"/>
    <w:basedOn w:val="5"/>
    <w:next w:val="5"/>
    <w:link w:val="27"/>
    <w:uiPriority w:val="0"/>
    <w:rPr>
      <w:b/>
      <w:bCs/>
    </w:rPr>
  </w:style>
  <w:style w:type="table" w:styleId="12">
    <w:name w:val="Table Grid"/>
    <w:basedOn w:val="1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qFormat/>
    <w:uiPriority w:val="0"/>
    <w:rPr>
      <w:color w:val="0000FF"/>
      <w:u w:val="single"/>
    </w:rPr>
  </w:style>
  <w:style w:type="character" w:styleId="15">
    <w:name w:val="annotation reference"/>
    <w:basedOn w:val="13"/>
    <w:qFormat/>
    <w:uiPriority w:val="0"/>
    <w:rPr>
      <w:sz w:val="21"/>
      <w:szCs w:val="21"/>
    </w:rPr>
  </w:style>
  <w:style w:type="character" w:customStyle="1" w:styleId="16">
    <w:name w:val="页脚 字符"/>
    <w:link w:val="7"/>
    <w:qFormat/>
    <w:uiPriority w:val="0"/>
    <w:rPr>
      <w:kern w:val="2"/>
      <w:sz w:val="18"/>
      <w:szCs w:val="18"/>
    </w:rPr>
  </w:style>
  <w:style w:type="character" w:customStyle="1" w:styleId="17">
    <w:name w:val="页眉 字符"/>
    <w:link w:val="8"/>
    <w:qFormat/>
    <w:uiPriority w:val="0"/>
    <w:rPr>
      <w:kern w:val="2"/>
      <w:sz w:val="18"/>
      <w:szCs w:val="18"/>
    </w:rPr>
  </w:style>
  <w:style w:type="table" w:customStyle="1" w:styleId="18">
    <w:name w:val="网格型1"/>
    <w:basedOn w:val="1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
    <w:name w:val="网格型2"/>
    <w:basedOn w:val="1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Els-table-text"/>
    <w:qFormat/>
    <w:uiPriority w:val="0"/>
    <w:pPr>
      <w:spacing w:after="80" w:line="200" w:lineRule="exact"/>
    </w:pPr>
    <w:rPr>
      <w:rFonts w:ascii="Times New Roman" w:hAnsi="Times New Roman" w:eastAsia="宋体" w:cs="Times New Roman"/>
      <w:sz w:val="16"/>
      <w:lang w:val="en-US" w:eastAsia="en-US" w:bidi="ar-SA"/>
    </w:rPr>
  </w:style>
  <w:style w:type="paragraph" w:customStyle="1" w:styleId="21">
    <w:name w:val="Colorful List - Accent 11"/>
    <w:basedOn w:val="1"/>
    <w:link w:val="22"/>
    <w:qFormat/>
    <w:uiPriority w:val="0"/>
    <w:pPr>
      <w:widowControl/>
      <w:ind w:left="720"/>
      <w:jc w:val="left"/>
    </w:pPr>
    <w:rPr>
      <w:rFonts w:ascii="Arial" w:hAnsi="Arial" w:eastAsia="Batang"/>
      <w:kern w:val="0"/>
      <w:sz w:val="22"/>
      <w:lang w:eastAsia="ko-KR"/>
    </w:rPr>
  </w:style>
  <w:style w:type="character" w:customStyle="1" w:styleId="22">
    <w:name w:val="Colorful List - Accent 11 字符"/>
    <w:link w:val="21"/>
    <w:qFormat/>
    <w:uiPriority w:val="0"/>
    <w:rPr>
      <w:rFonts w:ascii="Arial" w:hAnsi="Arial" w:eastAsia="Batang"/>
      <w:sz w:val="22"/>
      <w:szCs w:val="24"/>
      <w:lang w:eastAsia="ko-KR"/>
    </w:rPr>
  </w:style>
  <w:style w:type="paragraph" w:styleId="23">
    <w:name w:val="List Paragraph"/>
    <w:basedOn w:val="1"/>
    <w:qFormat/>
    <w:uiPriority w:val="34"/>
    <w:pPr>
      <w:ind w:firstLine="420" w:firstLineChars="200"/>
    </w:pPr>
  </w:style>
  <w:style w:type="character" w:customStyle="1" w:styleId="24">
    <w:name w:val="未处理的提及1"/>
    <w:basedOn w:val="13"/>
    <w:semiHidden/>
    <w:unhideWhenUsed/>
    <w:qFormat/>
    <w:uiPriority w:val="99"/>
    <w:rPr>
      <w:color w:val="605E5C"/>
      <w:shd w:val="clear" w:color="auto" w:fill="E1DFDD"/>
    </w:rPr>
  </w:style>
  <w:style w:type="character" w:customStyle="1" w:styleId="25">
    <w:name w:val="批注框文本 字符"/>
    <w:basedOn w:val="13"/>
    <w:link w:val="6"/>
    <w:qFormat/>
    <w:uiPriority w:val="0"/>
    <w:rPr>
      <w:kern w:val="2"/>
      <w:sz w:val="18"/>
      <w:szCs w:val="18"/>
    </w:rPr>
  </w:style>
  <w:style w:type="character" w:customStyle="1" w:styleId="26">
    <w:name w:val="批注文字 字符"/>
    <w:basedOn w:val="13"/>
    <w:link w:val="5"/>
    <w:qFormat/>
    <w:uiPriority w:val="0"/>
    <w:rPr>
      <w:kern w:val="2"/>
      <w:sz w:val="21"/>
      <w:szCs w:val="24"/>
    </w:rPr>
  </w:style>
  <w:style w:type="character" w:customStyle="1" w:styleId="27">
    <w:name w:val="批注主题 字符"/>
    <w:basedOn w:val="26"/>
    <w:link w:val="10"/>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tiff"/><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9.tiff"/><Relationship Id="rId11" Type="http://schemas.openxmlformats.org/officeDocument/2006/relationships/image" Target="media/image8.tiff"/><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7ABD26A-A26B-4480-A806-6237FE7B2B7C}">
  <ds:schemaRefs/>
</ds:datastoreItem>
</file>

<file path=docProps/app.xml><?xml version="1.0" encoding="utf-8"?>
<Properties xmlns="http://schemas.openxmlformats.org/officeDocument/2006/extended-properties" xmlns:vt="http://schemas.openxmlformats.org/officeDocument/2006/docPropsVTypes">
  <Template>Normal</Template>
  <Pages>14</Pages>
  <Words>2027</Words>
  <Characters>11761</Characters>
  <Lines>125</Lines>
  <Paragraphs>34</Paragraphs>
  <TotalTime>0</TotalTime>
  <ScaleCrop>false</ScaleCrop>
  <LinksUpToDate>false</LinksUpToDate>
  <CharactersWithSpaces>13653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2026-06-25T10:25:00Z</dcterms:created>
  <dc:creator>86188</dc:creator>
  <cp:lastModifiedBy>JinJin</cp:lastModifiedBy>
  <cp:lastPrinted>2026-07-03T11:13:00Z</cp:lastPrinted>
  <dcterms:modified xsi:type="dcterms:W3CDTF">2026-07-21T01:32:43Z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eyJoZGlkIjoiMDkzZTJlNzJhYzI3MjJiNDQ4Yzc5ZDZlZDRmMjE1M2MiLCJ1c2VySWQiOiIxNzcxMzU1NDE3In0=</vt:lpwstr>
  </property>
  <property fmtid="{D5CDD505-2E9C-101B-9397-08002B2CF9AE}" pid="4" name="ICV">
    <vt:lpwstr>A7B60BA8865F468E8C67F6CACB26438B_12</vt:lpwstr>
  </property>
</Properties>
</file>