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9FE3C" w14:textId="7189635B" w:rsidR="005011E5" w:rsidRDefault="0085528B">
      <w:pPr>
        <w:spacing w:line="480" w:lineRule="auto"/>
        <w:jc w:val="center"/>
        <w:rPr>
          <w:b/>
          <w:bCs/>
          <w:sz w:val="32"/>
          <w:szCs w:val="32"/>
        </w:rPr>
      </w:pPr>
      <w:bookmarkStart w:id="0" w:name="_Hlk214928795"/>
      <w:r>
        <w:rPr>
          <w:rFonts w:hint="eastAsia"/>
          <w:b/>
          <w:bCs/>
          <w:sz w:val="32"/>
          <w:szCs w:val="32"/>
        </w:rPr>
        <w:t xml:space="preserve">Electronic </w:t>
      </w:r>
      <w:r w:rsidR="005051B3">
        <w:rPr>
          <w:b/>
          <w:bCs/>
          <w:sz w:val="32"/>
          <w:szCs w:val="32"/>
        </w:rPr>
        <w:t xml:space="preserve">Supplementary </w:t>
      </w:r>
      <w:r w:rsidR="005051B3">
        <w:rPr>
          <w:rFonts w:hint="eastAsia"/>
          <w:b/>
          <w:bCs/>
          <w:sz w:val="32"/>
          <w:szCs w:val="32"/>
        </w:rPr>
        <w:t>M</w:t>
      </w:r>
      <w:r w:rsidR="005051B3">
        <w:rPr>
          <w:b/>
          <w:bCs/>
          <w:sz w:val="32"/>
          <w:szCs w:val="32"/>
        </w:rPr>
        <w:t>aterial</w:t>
      </w:r>
    </w:p>
    <w:p w14:paraId="79CB18C3" w14:textId="77777777" w:rsidR="005011E5" w:rsidRDefault="005011E5">
      <w:pPr>
        <w:spacing w:line="480" w:lineRule="auto"/>
        <w:jc w:val="center"/>
        <w:rPr>
          <w:b/>
          <w:bCs/>
        </w:rPr>
      </w:pPr>
    </w:p>
    <w:p w14:paraId="59DF9DD3" w14:textId="77777777" w:rsidR="0085528B" w:rsidRPr="0085528B" w:rsidRDefault="0085528B" w:rsidP="0085528B">
      <w:pPr>
        <w:widowControl/>
        <w:snapToGrid w:val="0"/>
        <w:spacing w:before="326" w:after="326" w:line="360" w:lineRule="auto"/>
        <w:contextualSpacing/>
        <w:outlineLvl w:val="0"/>
        <w:rPr>
          <w:b/>
          <w:kern w:val="0"/>
        </w:rPr>
      </w:pPr>
      <w:bookmarkStart w:id="1" w:name="_Hlk214288540"/>
      <w:bookmarkStart w:id="2" w:name="OLE_LINK12"/>
      <w:bookmarkStart w:id="3" w:name="OLE_LINK13"/>
      <w:r w:rsidRPr="0085528B">
        <w:rPr>
          <w:b/>
          <w:kern w:val="0"/>
        </w:rPr>
        <w:t xml:space="preserve">Critical role of </w:t>
      </w:r>
      <w:proofErr w:type="spellStart"/>
      <w:r w:rsidRPr="0085528B">
        <w:rPr>
          <w:b/>
          <w:kern w:val="0"/>
        </w:rPr>
        <w:t>CoO</w:t>
      </w:r>
      <w:proofErr w:type="spellEnd"/>
      <w:r w:rsidRPr="0085528B">
        <w:rPr>
          <w:b/>
          <w:kern w:val="0"/>
        </w:rPr>
        <w:t xml:space="preserve"> modification on Pt/Al</w:t>
      </w:r>
      <w:r w:rsidRPr="0085528B">
        <w:rPr>
          <w:b/>
          <w:kern w:val="0"/>
          <w:vertAlign w:val="subscript"/>
        </w:rPr>
        <w:t>2</w:t>
      </w:r>
      <w:r w:rsidRPr="0085528B">
        <w:rPr>
          <w:b/>
          <w:kern w:val="0"/>
        </w:rPr>
        <w:t>O</w:t>
      </w:r>
      <w:r w:rsidRPr="0085528B">
        <w:rPr>
          <w:b/>
          <w:kern w:val="0"/>
          <w:vertAlign w:val="subscript"/>
        </w:rPr>
        <w:t>3</w:t>
      </w:r>
      <w:r w:rsidRPr="0085528B">
        <w:rPr>
          <w:b/>
          <w:kern w:val="0"/>
        </w:rPr>
        <w:t xml:space="preserve"> for efficient H18-DBT dehydrogenation in LOHC systems</w:t>
      </w:r>
    </w:p>
    <w:p w14:paraId="72B6969E" w14:textId="77777777" w:rsidR="0085528B" w:rsidRPr="0085528B" w:rsidRDefault="0085528B" w:rsidP="0085528B">
      <w:pPr>
        <w:widowControl/>
        <w:snapToGrid w:val="0"/>
        <w:spacing w:line="360" w:lineRule="auto"/>
        <w:contextualSpacing/>
        <w:rPr>
          <w:kern w:val="0"/>
        </w:rPr>
      </w:pPr>
      <w:proofErr w:type="spellStart"/>
      <w:r w:rsidRPr="0085528B">
        <w:rPr>
          <w:rFonts w:eastAsia="Times New Roman"/>
          <w:kern w:val="0"/>
        </w:rPr>
        <w:t>Ligang</w:t>
      </w:r>
      <w:proofErr w:type="spellEnd"/>
      <w:r w:rsidRPr="0085528B">
        <w:rPr>
          <w:rFonts w:eastAsia="Times New Roman"/>
          <w:kern w:val="0"/>
        </w:rPr>
        <w:t xml:space="preserve"> Zhang</w:t>
      </w:r>
      <w:r w:rsidRPr="0085528B">
        <w:rPr>
          <w:rFonts w:hint="eastAsia"/>
          <w:kern w:val="0"/>
          <w:vertAlign w:val="superscript"/>
        </w:rPr>
        <w:t>1</w:t>
      </w:r>
      <w:r w:rsidRPr="0085528B">
        <w:rPr>
          <w:rFonts w:eastAsia="Times New Roman"/>
          <w:kern w:val="0"/>
          <w:vertAlign w:val="superscript"/>
        </w:rPr>
        <w:t>,</w:t>
      </w:r>
      <w:r w:rsidRPr="0085528B">
        <w:rPr>
          <w:rFonts w:hint="eastAsia"/>
          <w:kern w:val="0"/>
          <w:vertAlign w:val="superscript"/>
        </w:rPr>
        <w:t>2</w:t>
      </w:r>
      <w:r w:rsidRPr="0085528B">
        <w:rPr>
          <w:rFonts w:eastAsia="Times New Roman"/>
          <w:kern w:val="0"/>
        </w:rPr>
        <w:t xml:space="preserve">, </w:t>
      </w:r>
      <w:proofErr w:type="spellStart"/>
      <w:r w:rsidRPr="0085528B">
        <w:rPr>
          <w:rFonts w:eastAsia="Times New Roman"/>
          <w:kern w:val="0"/>
        </w:rPr>
        <w:t>Rudong</w:t>
      </w:r>
      <w:proofErr w:type="spellEnd"/>
      <w:r w:rsidRPr="0085528B">
        <w:rPr>
          <w:rFonts w:eastAsia="Times New Roman"/>
          <w:kern w:val="0"/>
        </w:rPr>
        <w:t xml:space="preserve"> Liu</w:t>
      </w:r>
      <w:r w:rsidRPr="0085528B">
        <w:rPr>
          <w:rFonts w:hint="eastAsia"/>
          <w:kern w:val="0"/>
          <w:vertAlign w:val="superscript"/>
        </w:rPr>
        <w:t>1</w:t>
      </w:r>
      <w:r w:rsidRPr="0085528B">
        <w:rPr>
          <w:rFonts w:eastAsia="Times New Roman"/>
          <w:kern w:val="0"/>
          <w:vertAlign w:val="superscript"/>
        </w:rPr>
        <w:t>,</w:t>
      </w:r>
      <w:r w:rsidRPr="0085528B">
        <w:rPr>
          <w:rFonts w:hint="eastAsia"/>
          <w:kern w:val="0"/>
          <w:vertAlign w:val="superscript"/>
        </w:rPr>
        <w:t>2</w:t>
      </w:r>
      <w:r w:rsidRPr="0085528B">
        <w:rPr>
          <w:rFonts w:eastAsia="Times New Roman"/>
          <w:kern w:val="0"/>
        </w:rPr>
        <w:t>, Chang Xu</w:t>
      </w:r>
      <w:r w:rsidRPr="0085528B">
        <w:rPr>
          <w:rFonts w:hint="eastAsia"/>
          <w:kern w:val="0"/>
          <w:vertAlign w:val="superscript"/>
        </w:rPr>
        <w:t>1</w:t>
      </w:r>
      <w:r w:rsidRPr="0085528B">
        <w:rPr>
          <w:kern w:val="0"/>
          <w:vertAlign w:val="superscript"/>
        </w:rPr>
        <w:t>,</w:t>
      </w:r>
      <w:r w:rsidRPr="0085528B">
        <w:rPr>
          <w:rFonts w:hint="eastAsia"/>
          <w:kern w:val="0"/>
          <w:vertAlign w:val="superscript"/>
        </w:rPr>
        <w:t>2</w:t>
      </w:r>
      <w:r w:rsidRPr="0085528B">
        <w:rPr>
          <w:rFonts w:eastAsia="Times New Roman"/>
          <w:kern w:val="0"/>
        </w:rPr>
        <w:t xml:space="preserve">, </w:t>
      </w:r>
      <w:proofErr w:type="spellStart"/>
      <w:r w:rsidRPr="0085528B">
        <w:rPr>
          <w:rFonts w:eastAsia="Times New Roman"/>
          <w:kern w:val="0"/>
        </w:rPr>
        <w:t>Chuanze</w:t>
      </w:r>
      <w:proofErr w:type="spellEnd"/>
      <w:r w:rsidRPr="0085528B">
        <w:rPr>
          <w:rFonts w:eastAsia="Times New Roman"/>
          <w:kern w:val="0"/>
        </w:rPr>
        <w:t xml:space="preserve"> Feng</w:t>
      </w:r>
      <w:r w:rsidRPr="0085528B">
        <w:rPr>
          <w:rFonts w:hint="eastAsia"/>
          <w:kern w:val="0"/>
          <w:vertAlign w:val="superscript"/>
        </w:rPr>
        <w:t>2</w:t>
      </w:r>
      <w:r w:rsidRPr="0085528B">
        <w:rPr>
          <w:rFonts w:eastAsia="Times New Roman"/>
          <w:kern w:val="0"/>
        </w:rPr>
        <w:t xml:space="preserve">, </w:t>
      </w:r>
      <w:proofErr w:type="spellStart"/>
      <w:r w:rsidRPr="0085528B">
        <w:rPr>
          <w:rFonts w:eastAsia="Times New Roman"/>
          <w:kern w:val="0"/>
        </w:rPr>
        <w:t>Sicong</w:t>
      </w:r>
      <w:proofErr w:type="spellEnd"/>
      <w:r w:rsidRPr="0085528B">
        <w:rPr>
          <w:rFonts w:eastAsia="Times New Roman"/>
          <w:kern w:val="0"/>
        </w:rPr>
        <w:t xml:space="preserve"> Qiu</w:t>
      </w:r>
      <w:r w:rsidRPr="0085528B">
        <w:rPr>
          <w:rFonts w:hint="eastAsia"/>
          <w:kern w:val="0"/>
          <w:vertAlign w:val="superscript"/>
        </w:rPr>
        <w:t>1</w:t>
      </w:r>
      <w:r w:rsidRPr="0085528B">
        <w:rPr>
          <w:rFonts w:eastAsia="Times New Roman"/>
          <w:kern w:val="0"/>
          <w:vertAlign w:val="superscript"/>
        </w:rPr>
        <w:t>,</w:t>
      </w:r>
      <w:r w:rsidRPr="0085528B">
        <w:rPr>
          <w:rFonts w:hint="eastAsia"/>
          <w:kern w:val="0"/>
          <w:vertAlign w:val="superscript"/>
        </w:rPr>
        <w:t>2</w:t>
      </w:r>
      <w:r w:rsidRPr="0085528B">
        <w:rPr>
          <w:rFonts w:eastAsia="Times New Roman"/>
          <w:kern w:val="0"/>
        </w:rPr>
        <w:t>, Nian Lei</w:t>
      </w:r>
      <w:r w:rsidRPr="0085528B">
        <w:rPr>
          <w:rFonts w:hint="eastAsia"/>
          <w:kern w:val="0"/>
          <w:vertAlign w:val="superscript"/>
        </w:rPr>
        <w:t>1,2</w:t>
      </w:r>
      <w:r w:rsidRPr="0085528B">
        <w:rPr>
          <w:rFonts w:eastAsia="Times New Roman"/>
          <w:kern w:val="0"/>
        </w:rPr>
        <w:t>, Kuo Liu</w:t>
      </w:r>
      <w:r w:rsidRPr="0085528B">
        <w:rPr>
          <w:rFonts w:eastAsia="Times New Roman" w:hint="eastAsia"/>
          <w:kern w:val="0"/>
          <w:szCs w:val="28"/>
        </w:rPr>
        <w:t xml:space="preserve"> </w:t>
      </w:r>
      <w:r w:rsidRPr="0085528B">
        <w:rPr>
          <w:rFonts w:eastAsia="Times New Roman"/>
          <w:b/>
          <w:bCs/>
          <w:kern w:val="0"/>
          <w:szCs w:val="28"/>
        </w:rPr>
        <w:t>(</w:t>
      </w:r>
      <w:r w:rsidRPr="0085528B">
        <w:rPr>
          <w:rFonts w:eastAsia="Times New Roman"/>
          <w:b/>
          <w:bCs/>
          <w:kern w:val="0"/>
          <w:szCs w:val="28"/>
        </w:rPr>
        <w:sym w:font="Wingdings" w:char="F02A"/>
      </w:r>
      <w:r w:rsidRPr="0085528B">
        <w:rPr>
          <w:rFonts w:eastAsia="Times New Roman"/>
          <w:b/>
          <w:bCs/>
          <w:kern w:val="0"/>
          <w:szCs w:val="28"/>
        </w:rPr>
        <w:t>)</w:t>
      </w:r>
      <w:r w:rsidRPr="0085528B">
        <w:rPr>
          <w:rFonts w:hint="eastAsia"/>
          <w:kern w:val="0"/>
          <w:vertAlign w:val="superscript"/>
        </w:rPr>
        <w:t>2</w:t>
      </w:r>
      <w:r w:rsidRPr="0085528B">
        <w:rPr>
          <w:rFonts w:eastAsia="Times New Roman"/>
          <w:kern w:val="0"/>
        </w:rPr>
        <w:t>, Tao Zhang</w:t>
      </w:r>
      <w:r w:rsidRPr="0085528B">
        <w:rPr>
          <w:rFonts w:hint="eastAsia"/>
          <w:kern w:val="0"/>
          <w:vertAlign w:val="superscript"/>
        </w:rPr>
        <w:t>1</w:t>
      </w:r>
      <w:r w:rsidRPr="0085528B">
        <w:rPr>
          <w:rFonts w:eastAsia="Times New Roman"/>
          <w:kern w:val="0"/>
          <w:vertAlign w:val="superscript"/>
        </w:rPr>
        <w:t>,</w:t>
      </w:r>
      <w:r w:rsidRPr="0085528B">
        <w:rPr>
          <w:rFonts w:hint="eastAsia"/>
          <w:kern w:val="0"/>
          <w:vertAlign w:val="superscript"/>
        </w:rPr>
        <w:t>3</w:t>
      </w:r>
      <w:r w:rsidRPr="0085528B">
        <w:rPr>
          <w:rFonts w:eastAsia="Times New Roman"/>
          <w:kern w:val="0"/>
        </w:rPr>
        <w:t xml:space="preserve"> </w:t>
      </w:r>
    </w:p>
    <w:p w14:paraId="61BD2BF9" w14:textId="77777777" w:rsidR="0085528B" w:rsidRPr="0085528B" w:rsidRDefault="0085528B" w:rsidP="0085528B">
      <w:pPr>
        <w:widowControl/>
        <w:snapToGrid w:val="0"/>
        <w:spacing w:line="360" w:lineRule="auto"/>
        <w:contextualSpacing/>
        <w:rPr>
          <w:rFonts w:eastAsia="Times New Roman"/>
          <w:kern w:val="0"/>
        </w:rPr>
      </w:pPr>
      <w:r w:rsidRPr="0085528B">
        <w:rPr>
          <w:rFonts w:hint="eastAsia"/>
          <w:kern w:val="0"/>
        </w:rPr>
        <w:t>1</w:t>
      </w:r>
      <w:r w:rsidRPr="0085528B">
        <w:rPr>
          <w:rFonts w:hint="eastAsia"/>
          <w:kern w:val="0"/>
          <w:vertAlign w:val="superscript"/>
        </w:rPr>
        <w:t xml:space="preserve"> </w:t>
      </w:r>
      <w:r w:rsidRPr="0085528B">
        <w:rPr>
          <w:rFonts w:eastAsia="Times New Roman"/>
          <w:kern w:val="0"/>
        </w:rPr>
        <w:t xml:space="preserve">School of Chemical Sciences, University of Chinese Academy of Sciences, Beijing 101408, China </w:t>
      </w:r>
    </w:p>
    <w:p w14:paraId="314CE3F9" w14:textId="77777777" w:rsidR="0085528B" w:rsidRPr="0085528B" w:rsidRDefault="0085528B" w:rsidP="0085528B">
      <w:pPr>
        <w:widowControl/>
        <w:snapToGrid w:val="0"/>
        <w:spacing w:line="360" w:lineRule="auto"/>
        <w:contextualSpacing/>
        <w:rPr>
          <w:kern w:val="0"/>
        </w:rPr>
      </w:pPr>
      <w:r w:rsidRPr="0085528B">
        <w:rPr>
          <w:rFonts w:hint="eastAsia"/>
          <w:kern w:val="0"/>
        </w:rPr>
        <w:t xml:space="preserve">2 </w:t>
      </w:r>
      <w:r w:rsidRPr="0085528B">
        <w:rPr>
          <w:rFonts w:eastAsia="Times New Roman"/>
          <w:kern w:val="0"/>
        </w:rPr>
        <w:t xml:space="preserve">State Key Laboratory of </w:t>
      </w:r>
      <w:proofErr w:type="spellStart"/>
      <w:r w:rsidRPr="0085528B">
        <w:rPr>
          <w:rFonts w:eastAsia="Times New Roman"/>
          <w:kern w:val="0"/>
        </w:rPr>
        <w:t>Mesoscience</w:t>
      </w:r>
      <w:proofErr w:type="spellEnd"/>
      <w:r w:rsidRPr="0085528B">
        <w:rPr>
          <w:rFonts w:eastAsia="Times New Roman"/>
          <w:kern w:val="0"/>
        </w:rPr>
        <w:t xml:space="preserve"> and Engineering, Beijing Key Laboratory of Ionic Liquids Clean Process, Institute of Process Engineering, Chinese Academy of Sciences, Innovation Academy for Green Manufacture, Chinese Academy of Sciences, Beijing 100190, China</w:t>
      </w:r>
    </w:p>
    <w:p w14:paraId="6DD28C3D" w14:textId="77777777" w:rsidR="0085528B" w:rsidRPr="0085528B" w:rsidRDefault="0085528B" w:rsidP="0085528B">
      <w:pPr>
        <w:widowControl/>
        <w:snapToGrid w:val="0"/>
        <w:spacing w:line="360" w:lineRule="auto"/>
        <w:contextualSpacing/>
        <w:rPr>
          <w:kern w:val="0"/>
        </w:rPr>
      </w:pPr>
      <w:r w:rsidRPr="0085528B">
        <w:rPr>
          <w:rFonts w:hint="eastAsia"/>
          <w:kern w:val="0"/>
        </w:rPr>
        <w:t>3</w:t>
      </w:r>
      <w:r w:rsidRPr="0085528B">
        <w:rPr>
          <w:rFonts w:hint="eastAsia"/>
          <w:kern w:val="0"/>
          <w:vertAlign w:val="superscript"/>
        </w:rPr>
        <w:t xml:space="preserve"> </w:t>
      </w:r>
      <w:r w:rsidRPr="0085528B">
        <w:rPr>
          <w:rFonts w:eastAsia="Times New Roman"/>
          <w:kern w:val="0"/>
        </w:rPr>
        <w:t>CAS Key Laboratory of Science and Technology on Applied Catalysis, Dalian Institute of Chemical Physics, Chinese Academy of Sciences, Dalian 116023, China</w:t>
      </w:r>
    </w:p>
    <w:p w14:paraId="6C3098FA" w14:textId="77777777" w:rsidR="0085528B" w:rsidRPr="0085528B" w:rsidRDefault="0085528B" w:rsidP="0085528B">
      <w:pPr>
        <w:widowControl/>
        <w:snapToGrid w:val="0"/>
        <w:spacing w:line="360" w:lineRule="auto"/>
        <w:contextualSpacing/>
        <w:jc w:val="left"/>
        <w:rPr>
          <w:kern w:val="0"/>
        </w:rPr>
      </w:pPr>
      <w:r w:rsidRPr="0085528B">
        <w:rPr>
          <w:rFonts w:hint="eastAsia"/>
          <w:sz w:val="21"/>
        </w:rPr>
        <w:t>E-mail:</w:t>
      </w:r>
      <w:r w:rsidRPr="0085528B">
        <w:rPr>
          <w:rFonts w:eastAsia="Times New Roman"/>
          <w:kern w:val="0"/>
        </w:rPr>
        <w:t xml:space="preserve"> kuoliu@ipe.ac.cn</w:t>
      </w:r>
    </w:p>
    <w:bookmarkEnd w:id="1"/>
    <w:bookmarkEnd w:id="2"/>
    <w:bookmarkEnd w:id="3"/>
    <w:p w14:paraId="06599A24" w14:textId="5E501F95" w:rsidR="005011E5" w:rsidRDefault="005011E5">
      <w:pPr>
        <w:pStyle w:val="LetPub14Correspondence"/>
        <w:rPr>
          <w:sz w:val="21"/>
          <w:szCs w:val="21"/>
        </w:rPr>
      </w:pPr>
    </w:p>
    <w:p w14:paraId="111C0A9E" w14:textId="77777777" w:rsidR="005011E5" w:rsidRDefault="005051B3">
      <w:pPr>
        <w:pStyle w:val="LetPub51TableCaption"/>
        <w:spacing w:beforeLines="0" w:after="160"/>
        <w:rPr>
          <w:rFonts w:ascii="宋体" w:eastAsiaTheme="minorEastAsia" w:hAnsi="宋体" w:cs="宋体" w:hint="eastAsia"/>
          <w:b/>
          <w:bCs/>
        </w:rPr>
      </w:pPr>
      <w:r>
        <w:rPr>
          <w:rFonts w:eastAsiaTheme="minorEastAsia"/>
          <w:b/>
          <w:bCs/>
          <w:szCs w:val="28"/>
        </w:rPr>
        <w:t>Supplementary</w:t>
      </w:r>
      <w:r>
        <w:rPr>
          <w:rFonts w:eastAsiaTheme="minorEastAsia" w:hint="eastAsia"/>
          <w:b/>
          <w:bCs/>
          <w:szCs w:val="28"/>
        </w:rPr>
        <w:t xml:space="preserve"> References</w:t>
      </w:r>
    </w:p>
    <w:p w14:paraId="75FF9D90" w14:textId="77777777" w:rsidR="005011E5" w:rsidRDefault="005051B3">
      <w:pPr>
        <w:spacing w:beforeLines="100" w:before="312" w:afterLines="100" w:after="312" w:line="480" w:lineRule="auto"/>
        <w:jc w:val="left"/>
      </w:pPr>
      <w:r>
        <w:rPr>
          <w:b/>
          <w:bCs/>
          <w:szCs w:val="28"/>
        </w:rPr>
        <w:t>Text SM Characterization</w:t>
      </w:r>
      <w:r>
        <w:t xml:space="preserve"> </w:t>
      </w:r>
    </w:p>
    <w:p w14:paraId="6A4C8755" w14:textId="77777777" w:rsidR="005011E5" w:rsidRDefault="005051B3">
      <w:pPr>
        <w:spacing w:line="480" w:lineRule="auto"/>
        <w:ind w:firstLineChars="200" w:firstLine="480"/>
        <w:rPr>
          <w:szCs w:val="28"/>
        </w:rPr>
      </w:pPr>
      <w:r>
        <w:rPr>
          <w:szCs w:val="28"/>
        </w:rPr>
        <w:t>Nitrogen adsorption-desorption measurements were performed at -196</w:t>
      </w:r>
      <w:r>
        <w:rPr>
          <w:szCs w:val="28"/>
          <w:vertAlign w:val="superscript"/>
        </w:rPr>
        <w:t xml:space="preserve"> </w:t>
      </w:r>
      <w:r>
        <w:rPr>
          <w:szCs w:val="28"/>
        </w:rPr>
        <w:t>°C using a</w:t>
      </w:r>
    </w:p>
    <w:p w14:paraId="14F0C8FC" w14:textId="77777777" w:rsidR="005011E5" w:rsidRDefault="005051B3">
      <w:pPr>
        <w:spacing w:line="480" w:lineRule="auto"/>
        <w:rPr>
          <w:szCs w:val="28"/>
        </w:rPr>
      </w:pPr>
      <w:r>
        <w:rPr>
          <w:szCs w:val="28"/>
        </w:rPr>
        <w:t xml:space="preserve">Quantachrome </w:t>
      </w:r>
      <w:proofErr w:type="spellStart"/>
      <w:r>
        <w:rPr>
          <w:szCs w:val="28"/>
        </w:rPr>
        <w:t>Autosorb-iQ</w:t>
      </w:r>
      <w:proofErr w:type="spellEnd"/>
      <w:r>
        <w:rPr>
          <w:szCs w:val="28"/>
        </w:rPr>
        <w:t xml:space="preserve"> instrument. The specific surface areas (S</w:t>
      </w:r>
      <w:r>
        <w:rPr>
          <w:szCs w:val="28"/>
          <w:vertAlign w:val="subscript"/>
        </w:rPr>
        <w:t>BET</w:t>
      </w:r>
      <w:r>
        <w:rPr>
          <w:szCs w:val="28"/>
        </w:rPr>
        <w:t>) were calculated from the N</w:t>
      </w:r>
      <w:r>
        <w:rPr>
          <w:szCs w:val="28"/>
          <w:vertAlign w:val="subscript"/>
        </w:rPr>
        <w:t>2</w:t>
      </w:r>
      <w:r>
        <w:rPr>
          <w:szCs w:val="28"/>
        </w:rPr>
        <w:t xml:space="preserve"> adsorption isotherm with BET equation, and the pore size distribution was obtained using desorption branch of the isotherms and BJH method. Prior to the physisorption measurements, the sample was firstly pretreated under vacuum at 200 °C for 8 hours.</w:t>
      </w:r>
    </w:p>
    <w:p w14:paraId="745B1DBF" w14:textId="77777777" w:rsidR="005011E5" w:rsidRDefault="005051B3">
      <w:pPr>
        <w:spacing w:line="480" w:lineRule="auto"/>
        <w:ind w:firstLineChars="200" w:firstLine="480"/>
        <w:rPr>
          <w:szCs w:val="28"/>
        </w:rPr>
      </w:pPr>
      <w:r>
        <w:rPr>
          <w:szCs w:val="28"/>
        </w:rPr>
        <w:t xml:space="preserve">Power X-ray diffraction (XRD) patterns were recorded on a Rigaku </w:t>
      </w:r>
      <w:proofErr w:type="spellStart"/>
      <w:r>
        <w:rPr>
          <w:szCs w:val="28"/>
        </w:rPr>
        <w:t>SmartLab</w:t>
      </w:r>
      <w:proofErr w:type="spellEnd"/>
      <w:r>
        <w:rPr>
          <w:szCs w:val="28"/>
        </w:rPr>
        <w:t xml:space="preserve"> diffractometer equipped with a Cu Kα radiation source (λ = 0.15432 nm). The X-ray </w:t>
      </w:r>
      <w:r>
        <w:rPr>
          <w:szCs w:val="28"/>
        </w:rPr>
        <w:lastRenderedPageBreak/>
        <w:t>patterns of reduced samples were collected in the 2θ range from 10° to 90°.</w:t>
      </w:r>
    </w:p>
    <w:p w14:paraId="66911D0C" w14:textId="77777777" w:rsidR="005011E5" w:rsidRDefault="005051B3">
      <w:pPr>
        <w:spacing w:line="480" w:lineRule="auto"/>
        <w:ind w:firstLineChars="200" w:firstLine="480"/>
        <w:rPr>
          <w:szCs w:val="28"/>
        </w:rPr>
      </w:pPr>
      <w:r>
        <w:rPr>
          <w:szCs w:val="28"/>
        </w:rPr>
        <w:t>Raman spectra were measured with a laser micro-confocal Raman spectrometer (</w:t>
      </w:r>
      <w:proofErr w:type="spellStart"/>
      <w:r>
        <w:rPr>
          <w:szCs w:val="28"/>
        </w:rPr>
        <w:t>InVia</w:t>
      </w:r>
      <w:proofErr w:type="spellEnd"/>
      <w:r>
        <w:rPr>
          <w:szCs w:val="28"/>
        </w:rPr>
        <w:t xml:space="preserve"> Reflex, Renishaw) to investigate the surface structure of catalysts, and a laser at 532 nm was used as the excitation light. The patterns of reduced samples were collected in the 200-800 cm</w:t>
      </w:r>
      <w:r>
        <w:rPr>
          <w:szCs w:val="28"/>
          <w:vertAlign w:val="superscript"/>
        </w:rPr>
        <w:t>-1</w:t>
      </w:r>
      <w:r>
        <w:rPr>
          <w:szCs w:val="28"/>
        </w:rPr>
        <w:t xml:space="preserve"> regions.</w:t>
      </w:r>
    </w:p>
    <w:p w14:paraId="68144E84" w14:textId="77777777" w:rsidR="005011E5" w:rsidRDefault="005051B3">
      <w:pPr>
        <w:spacing w:line="480" w:lineRule="auto"/>
        <w:ind w:firstLineChars="200" w:firstLine="480"/>
        <w:rPr>
          <w:szCs w:val="28"/>
        </w:rPr>
      </w:pPr>
      <w:r>
        <w:rPr>
          <w:szCs w:val="28"/>
        </w:rPr>
        <w:t>Spherical aberration-corrected transmission electron microscopy (AC-TEM) images were obtained on a JEOL ARM200F Transmission Electron Microscope equipped with energy disperse spectroscopy (EDS) microanalysis system. In addition, EDS mapping and line scan over 1Pt/1CoO</w:t>
      </w:r>
      <w:r>
        <w:rPr>
          <w:i/>
          <w:iCs/>
          <w:szCs w:val="28"/>
          <w:vertAlign w:val="subscript"/>
        </w:rPr>
        <w:t>x</w:t>
      </w:r>
      <w:r>
        <w:rPr>
          <w:szCs w:val="28"/>
        </w:rPr>
        <w:t>/Al</w:t>
      </w:r>
      <w:r>
        <w:rPr>
          <w:szCs w:val="28"/>
          <w:vertAlign w:val="subscript"/>
        </w:rPr>
        <w:t>2</w:t>
      </w:r>
      <w:r>
        <w:rPr>
          <w:szCs w:val="28"/>
        </w:rPr>
        <w:t>O</w:t>
      </w:r>
      <w:r>
        <w:rPr>
          <w:szCs w:val="28"/>
          <w:vertAlign w:val="subscript"/>
        </w:rPr>
        <w:t>3</w:t>
      </w:r>
      <w:r>
        <w:rPr>
          <w:szCs w:val="28"/>
        </w:rPr>
        <w:t xml:space="preserve"> were conducted on an FEI Spectra 300 transmission electron microscope equipped with Super X EDS microanalysis system. The samples were prepared via ultrasonically dispersing the reduced powers into ethanol solvent and deposited on a holey C/Cu TEM grid.</w:t>
      </w:r>
    </w:p>
    <w:p w14:paraId="6E151323" w14:textId="77777777" w:rsidR="005011E5" w:rsidRDefault="005051B3">
      <w:pPr>
        <w:spacing w:line="480" w:lineRule="auto"/>
        <w:ind w:firstLineChars="200" w:firstLine="480"/>
        <w:rPr>
          <w:szCs w:val="28"/>
        </w:rPr>
      </w:pPr>
      <w:r>
        <w:rPr>
          <w:szCs w:val="28"/>
        </w:rPr>
        <w:t>H</w:t>
      </w:r>
      <w:r>
        <w:rPr>
          <w:szCs w:val="28"/>
          <w:vertAlign w:val="subscript"/>
        </w:rPr>
        <w:t>2</w:t>
      </w:r>
      <w:r>
        <w:rPr>
          <w:szCs w:val="28"/>
        </w:rPr>
        <w:t xml:space="preserve"> temperature-programmed reduction (H</w:t>
      </w:r>
      <w:r>
        <w:rPr>
          <w:szCs w:val="28"/>
          <w:vertAlign w:val="subscript"/>
        </w:rPr>
        <w:t>2</w:t>
      </w:r>
      <w:r>
        <w:rPr>
          <w:szCs w:val="28"/>
        </w:rPr>
        <w:t xml:space="preserve">-TPR) was conducted on a Micromeritics </w:t>
      </w:r>
      <w:proofErr w:type="spellStart"/>
      <w:r>
        <w:rPr>
          <w:szCs w:val="28"/>
        </w:rPr>
        <w:t>AutoChem</w:t>
      </w:r>
      <w:proofErr w:type="spellEnd"/>
      <w:r>
        <w:rPr>
          <w:szCs w:val="28"/>
        </w:rPr>
        <w:t xml:space="preserve"> II 2920 </w:t>
      </w:r>
      <w:proofErr w:type="spellStart"/>
      <w:r>
        <w:rPr>
          <w:szCs w:val="28"/>
        </w:rPr>
        <w:t>chemisorber</w:t>
      </w:r>
      <w:proofErr w:type="spellEnd"/>
      <w:r>
        <w:rPr>
          <w:szCs w:val="28"/>
        </w:rPr>
        <w:t>. In H</w:t>
      </w:r>
      <w:r>
        <w:rPr>
          <w:szCs w:val="28"/>
          <w:vertAlign w:val="subscript"/>
        </w:rPr>
        <w:t>2</w:t>
      </w:r>
      <w:r>
        <w:rPr>
          <w:szCs w:val="28"/>
        </w:rPr>
        <w:t xml:space="preserve">-TPR measurement, the samples were pretreated in </w:t>
      </w:r>
      <w:proofErr w:type="spellStart"/>
      <w:r>
        <w:rPr>
          <w:szCs w:val="28"/>
        </w:rPr>
        <w:t>Ar</w:t>
      </w:r>
      <w:proofErr w:type="spellEnd"/>
      <w:r>
        <w:rPr>
          <w:szCs w:val="28"/>
        </w:rPr>
        <w:t xml:space="preserve"> at 150 °C for 1 h to remove adsorbed water, and then cooled to 50 °C. Afterwards, the samples were heated from 50 °C to 750 °C at a ramping rate of 10 °C/min in a flowing gas of 10 vol.% H</w:t>
      </w:r>
      <w:r>
        <w:rPr>
          <w:szCs w:val="28"/>
          <w:vertAlign w:val="subscript"/>
        </w:rPr>
        <w:t>2</w:t>
      </w:r>
      <w:r>
        <w:rPr>
          <w:szCs w:val="28"/>
        </w:rPr>
        <w:t>/</w:t>
      </w:r>
      <w:proofErr w:type="spellStart"/>
      <w:r>
        <w:rPr>
          <w:szCs w:val="28"/>
        </w:rPr>
        <w:t>Ar</w:t>
      </w:r>
      <w:proofErr w:type="spellEnd"/>
      <w:r>
        <w:rPr>
          <w:szCs w:val="28"/>
        </w:rPr>
        <w:t xml:space="preserve"> while a cold trap (a mixture of isopropanol and liquid nitrogen) was placed to remove generated water. The amount of H</w:t>
      </w:r>
      <w:r>
        <w:rPr>
          <w:szCs w:val="28"/>
          <w:vertAlign w:val="subscript"/>
        </w:rPr>
        <w:t>2</w:t>
      </w:r>
      <w:r>
        <w:rPr>
          <w:szCs w:val="28"/>
        </w:rPr>
        <w:t xml:space="preserve"> consumption was monitored by a ther</w:t>
      </w:r>
      <w:r>
        <w:rPr>
          <w:szCs w:val="28"/>
        </w:rPr>
        <w:t>mal conductivity detector (TCD).</w:t>
      </w:r>
    </w:p>
    <w:p w14:paraId="398C2937" w14:textId="77777777" w:rsidR="005011E5" w:rsidRDefault="005051B3">
      <w:pPr>
        <w:spacing w:line="480" w:lineRule="auto"/>
        <w:ind w:firstLineChars="200" w:firstLine="480"/>
        <w:rPr>
          <w:szCs w:val="28"/>
        </w:rPr>
      </w:pPr>
      <w:r>
        <w:rPr>
          <w:szCs w:val="28"/>
        </w:rPr>
        <w:t>Diffuse reflectance infrared Fourier transform spectra (DRIFTS) were collected with a Bruker INVENIO spectrometer equipped with a mercury cadmium telluride (MCT) detector at a resolution of 4 cm</w:t>
      </w:r>
      <w:r>
        <w:rPr>
          <w:szCs w:val="28"/>
          <w:vertAlign w:val="superscript"/>
        </w:rPr>
        <w:t>-1</w:t>
      </w:r>
      <w:r>
        <w:rPr>
          <w:szCs w:val="28"/>
        </w:rPr>
        <w:t xml:space="preserve"> using 128 scans. The sample was put into a </w:t>
      </w:r>
      <w:r>
        <w:rPr>
          <w:szCs w:val="28"/>
        </w:rPr>
        <w:lastRenderedPageBreak/>
        <w:t>sample cell, reduced at 300 °C under a stream of pure H</w:t>
      </w:r>
      <w:r>
        <w:rPr>
          <w:szCs w:val="28"/>
          <w:vertAlign w:val="subscript"/>
        </w:rPr>
        <w:t>2</w:t>
      </w:r>
      <w:r>
        <w:rPr>
          <w:szCs w:val="28"/>
        </w:rPr>
        <w:t xml:space="preserve"> for 1 h, and purged by </w:t>
      </w:r>
      <w:proofErr w:type="spellStart"/>
      <w:r>
        <w:rPr>
          <w:szCs w:val="28"/>
        </w:rPr>
        <w:t>Ar</w:t>
      </w:r>
      <w:proofErr w:type="spellEnd"/>
      <w:r>
        <w:rPr>
          <w:szCs w:val="28"/>
        </w:rPr>
        <w:t xml:space="preserve"> flow for 30 min at 300 °C. After being cooled down to 50 °C in </w:t>
      </w:r>
      <w:proofErr w:type="spellStart"/>
      <w:r>
        <w:rPr>
          <w:szCs w:val="28"/>
        </w:rPr>
        <w:t>Ar</w:t>
      </w:r>
      <w:proofErr w:type="spellEnd"/>
      <w:r>
        <w:rPr>
          <w:szCs w:val="28"/>
        </w:rPr>
        <w:t xml:space="preserve"> atmosphere, background spectrum was recorded. Then, 10% CO/</w:t>
      </w:r>
      <w:proofErr w:type="spellStart"/>
      <w:r>
        <w:rPr>
          <w:szCs w:val="28"/>
        </w:rPr>
        <w:t>Ar</w:t>
      </w:r>
      <w:proofErr w:type="spellEnd"/>
      <w:r>
        <w:rPr>
          <w:szCs w:val="28"/>
        </w:rPr>
        <w:t xml:space="preserve"> was introduced into the sample cell for 30 min. Pure N</w:t>
      </w:r>
      <w:r>
        <w:rPr>
          <w:szCs w:val="28"/>
          <w:vertAlign w:val="subscript"/>
        </w:rPr>
        <w:t>2</w:t>
      </w:r>
      <w:r>
        <w:rPr>
          <w:szCs w:val="28"/>
        </w:rPr>
        <w:t xml:space="preserve"> was subsequently introduced to the cell to remove the physically adsorbed CO, until the spectra of chemisorbed CO species were stable.</w:t>
      </w:r>
    </w:p>
    <w:p w14:paraId="5115F46D" w14:textId="77777777" w:rsidR="005011E5" w:rsidRDefault="005051B3">
      <w:pPr>
        <w:spacing w:line="480" w:lineRule="auto"/>
        <w:ind w:firstLineChars="200" w:firstLine="480"/>
        <w:rPr>
          <w:szCs w:val="28"/>
        </w:rPr>
      </w:pPr>
      <w:r>
        <w:rPr>
          <w:szCs w:val="28"/>
        </w:rPr>
        <w:t xml:space="preserve">X-ray photoelectron spectra (XPS) of reduced samples were obtained on a Shimadzu AXIS Supra+ X-ray photoelectron spectrometer equipped with </w:t>
      </w:r>
      <w:proofErr w:type="spellStart"/>
      <w:r>
        <w:rPr>
          <w:szCs w:val="28"/>
        </w:rPr>
        <w:t>monochromated</w:t>
      </w:r>
      <w:proofErr w:type="spellEnd"/>
      <w:r>
        <w:rPr>
          <w:szCs w:val="28"/>
        </w:rPr>
        <w:t xml:space="preserve"> Al Kα anode. All binding energies were calibrated by referencing them to the energy of the C1s peak at 284.8 eV. During </w:t>
      </w:r>
      <w:r>
        <w:rPr>
          <w:i/>
          <w:iCs/>
          <w:szCs w:val="28"/>
        </w:rPr>
        <w:t>quasi-in-situ</w:t>
      </w:r>
      <w:r>
        <w:rPr>
          <w:szCs w:val="28"/>
        </w:rPr>
        <w:t xml:space="preserve"> </w:t>
      </w:r>
      <w:r>
        <w:rPr>
          <w:rFonts w:hint="eastAsia"/>
          <w:szCs w:val="28"/>
        </w:rPr>
        <w:t>experiment</w:t>
      </w:r>
      <w:r>
        <w:rPr>
          <w:szCs w:val="28"/>
        </w:rPr>
        <w:t xml:space="preserve">, the samples were placed in the pretreatment chamber for vacuum pumping. Subsequently, pure hydrogen (30 mL/min) was introduced </w:t>
      </w:r>
      <w:r>
        <w:rPr>
          <w:rFonts w:hint="eastAsia"/>
          <w:szCs w:val="28"/>
        </w:rPr>
        <w:t>into</w:t>
      </w:r>
      <w:r>
        <w:rPr>
          <w:szCs w:val="28"/>
        </w:rPr>
        <w:t xml:space="preserve"> the chamber, and the temperature was raised to 300 °C and kept for one hour. After cooling down to room temperature, the sample was purged with </w:t>
      </w:r>
      <w:proofErr w:type="spellStart"/>
      <w:r>
        <w:rPr>
          <w:szCs w:val="28"/>
        </w:rPr>
        <w:t>Ar</w:t>
      </w:r>
      <w:proofErr w:type="spellEnd"/>
      <w:r>
        <w:rPr>
          <w:szCs w:val="28"/>
        </w:rPr>
        <w:t xml:space="preserve"> (30 mL/min) for 30 minutes, followed by a vacuum treatment, and then, the</w:t>
      </w:r>
      <w:r>
        <w:rPr>
          <w:szCs w:val="28"/>
        </w:rPr>
        <w:t xml:space="preserve"> chamber was finally transferred to the testing station for </w:t>
      </w:r>
      <w:r>
        <w:rPr>
          <w:i/>
          <w:iCs/>
          <w:szCs w:val="28"/>
        </w:rPr>
        <w:t>quasi-in-situ</w:t>
      </w:r>
      <w:r>
        <w:rPr>
          <w:szCs w:val="28"/>
        </w:rPr>
        <w:t xml:space="preserve"> XPS experiment with the samples protected from exposure to air.</w:t>
      </w:r>
    </w:p>
    <w:p w14:paraId="524EE472" w14:textId="77777777" w:rsidR="005011E5" w:rsidRDefault="005051B3">
      <w:pPr>
        <w:spacing w:line="480" w:lineRule="auto"/>
        <w:ind w:firstLineChars="200" w:firstLine="480"/>
        <w:rPr>
          <w:szCs w:val="28"/>
        </w:rPr>
      </w:pPr>
      <w:r>
        <w:rPr>
          <w:szCs w:val="28"/>
          <w:vertAlign w:val="superscript"/>
        </w:rPr>
        <w:t>1</w:t>
      </w:r>
      <w:r>
        <w:rPr>
          <w:szCs w:val="28"/>
        </w:rPr>
        <w:t>H NMR spectra were collected on a Bruker AVANCE III spectrometer (700 MHz) at room temperature to analyze the composition of liquid organic hydrogen carrier (LOHC), and chemical shift values were referenced to dichloromethane-d2(CD</w:t>
      </w:r>
      <w:r>
        <w:rPr>
          <w:szCs w:val="28"/>
          <w:vertAlign w:val="subscript"/>
        </w:rPr>
        <w:t>2</w:t>
      </w:r>
      <w:r>
        <w:rPr>
          <w:szCs w:val="28"/>
        </w:rPr>
        <w:t>Cl</w:t>
      </w:r>
      <w:r>
        <w:rPr>
          <w:szCs w:val="28"/>
          <w:vertAlign w:val="subscript"/>
        </w:rPr>
        <w:t>2</w:t>
      </w:r>
      <w:r>
        <w:rPr>
          <w:szCs w:val="28"/>
        </w:rPr>
        <w:t xml:space="preserve">) as internal standard at 5.35 ppm for </w:t>
      </w:r>
      <w:r>
        <w:rPr>
          <w:szCs w:val="28"/>
          <w:vertAlign w:val="superscript"/>
        </w:rPr>
        <w:t>1</w:t>
      </w:r>
      <w:r>
        <w:rPr>
          <w:szCs w:val="28"/>
        </w:rPr>
        <w:t>H NMR.</w:t>
      </w:r>
    </w:p>
    <w:p w14:paraId="379EC401" w14:textId="77777777" w:rsidR="005011E5" w:rsidRDefault="005051B3">
      <w:pPr>
        <w:spacing w:line="480" w:lineRule="auto"/>
        <w:ind w:firstLineChars="200" w:firstLine="480"/>
        <w:rPr>
          <w:szCs w:val="28"/>
        </w:rPr>
      </w:pPr>
      <w:r>
        <w:rPr>
          <w:szCs w:val="28"/>
        </w:rPr>
        <w:t>The H</w:t>
      </w:r>
      <w:r>
        <w:rPr>
          <w:szCs w:val="28"/>
          <w:vertAlign w:val="subscript"/>
        </w:rPr>
        <w:t>2</w:t>
      </w:r>
      <w:r>
        <w:rPr>
          <w:szCs w:val="28"/>
        </w:rPr>
        <w:t xml:space="preserve"> pulse chemisorption measurement was conducted on a </w:t>
      </w:r>
      <w:bookmarkStart w:id="4" w:name="_Hlk220239347"/>
      <w:r>
        <w:rPr>
          <w:szCs w:val="28"/>
        </w:rPr>
        <w:t xml:space="preserve">Micromeritics </w:t>
      </w:r>
      <w:proofErr w:type="spellStart"/>
      <w:r>
        <w:rPr>
          <w:szCs w:val="28"/>
        </w:rPr>
        <w:t>AutoChem</w:t>
      </w:r>
      <w:proofErr w:type="spellEnd"/>
      <w:r>
        <w:rPr>
          <w:szCs w:val="28"/>
        </w:rPr>
        <w:t xml:space="preserve"> III 2930</w:t>
      </w:r>
      <w:bookmarkEnd w:id="4"/>
      <w:r>
        <w:rPr>
          <w:szCs w:val="28"/>
        </w:rPr>
        <w:t xml:space="preserve"> chemisorption analyzer. The calcined sample was pre-reduced at 300 °C in the H</w:t>
      </w:r>
      <w:r>
        <w:rPr>
          <w:szCs w:val="28"/>
          <w:vertAlign w:val="subscript"/>
        </w:rPr>
        <w:t>2</w:t>
      </w:r>
      <w:r>
        <w:rPr>
          <w:szCs w:val="28"/>
        </w:rPr>
        <w:t xml:space="preserve"> gas for 1 h, and then purged by </w:t>
      </w:r>
      <w:proofErr w:type="spellStart"/>
      <w:r>
        <w:rPr>
          <w:szCs w:val="28"/>
        </w:rPr>
        <w:t>Ar</w:t>
      </w:r>
      <w:proofErr w:type="spellEnd"/>
      <w:r>
        <w:rPr>
          <w:szCs w:val="28"/>
        </w:rPr>
        <w:t xml:space="preserve"> for 1 h at 300 °C. After being cooled </w:t>
      </w:r>
      <w:r>
        <w:rPr>
          <w:szCs w:val="28"/>
        </w:rPr>
        <w:lastRenderedPageBreak/>
        <w:t>down to 50 °C, pulses of 10% H</w:t>
      </w:r>
      <w:r>
        <w:rPr>
          <w:szCs w:val="28"/>
          <w:vertAlign w:val="subscript"/>
        </w:rPr>
        <w:t>2</w:t>
      </w:r>
      <w:r>
        <w:rPr>
          <w:szCs w:val="28"/>
        </w:rPr>
        <w:t>/</w:t>
      </w:r>
      <w:proofErr w:type="spellStart"/>
      <w:r>
        <w:rPr>
          <w:szCs w:val="28"/>
        </w:rPr>
        <w:t>Ar</w:t>
      </w:r>
      <w:proofErr w:type="spellEnd"/>
      <w:r>
        <w:rPr>
          <w:szCs w:val="28"/>
        </w:rPr>
        <w:t xml:space="preserve"> were introduced into the reactor until saturation for H</w:t>
      </w:r>
      <w:r>
        <w:rPr>
          <w:szCs w:val="28"/>
          <w:vertAlign w:val="subscript"/>
        </w:rPr>
        <w:t>2</w:t>
      </w:r>
      <w:r>
        <w:rPr>
          <w:szCs w:val="28"/>
        </w:rPr>
        <w:t xml:space="preserve"> chemisorption. The consumed H</w:t>
      </w:r>
      <w:r>
        <w:rPr>
          <w:szCs w:val="28"/>
          <w:vertAlign w:val="subscript"/>
        </w:rPr>
        <w:t>2</w:t>
      </w:r>
      <w:r>
        <w:rPr>
          <w:szCs w:val="28"/>
        </w:rPr>
        <w:t xml:space="preserve"> was detected with a TCD and the H</w:t>
      </w:r>
      <w:r>
        <w:rPr>
          <w:szCs w:val="28"/>
          <w:vertAlign w:val="subscript"/>
        </w:rPr>
        <w:t>2</w:t>
      </w:r>
      <w:r>
        <w:rPr>
          <w:szCs w:val="28"/>
        </w:rPr>
        <w:t xml:space="preserve"> uptake was calculated by calibration with the standard sample.</w:t>
      </w:r>
    </w:p>
    <w:p w14:paraId="60D224FD" w14:textId="77777777" w:rsidR="005011E5" w:rsidRDefault="005051B3">
      <w:pPr>
        <w:spacing w:line="480" w:lineRule="auto"/>
        <w:ind w:firstLine="482"/>
      </w:pPr>
      <w:bookmarkStart w:id="5" w:name="OLE_LINK89"/>
      <w:r>
        <w:t xml:space="preserve">The actual Pt loadings were analyzed by inductively coupled plasma spectroscopy (ICP-AES) on an ICP-OES 5110 instrument (Agilent). </w:t>
      </w:r>
    </w:p>
    <w:bookmarkEnd w:id="5"/>
    <w:p w14:paraId="78E1FAD0" w14:textId="77777777" w:rsidR="005011E5" w:rsidRDefault="005051B3">
      <w:pPr>
        <w:spacing w:line="360" w:lineRule="auto"/>
        <w:rPr>
          <w:b/>
          <w:bCs/>
          <w:szCs w:val="21"/>
        </w:rPr>
      </w:pPr>
      <w:r>
        <w:rPr>
          <w:rFonts w:hint="eastAsia"/>
          <w:b/>
          <w:bCs/>
          <w:szCs w:val="21"/>
        </w:rPr>
        <w:t>Theoretical calculations</w:t>
      </w:r>
    </w:p>
    <w:p w14:paraId="105FF5E7" w14:textId="77777777" w:rsidR="005011E5" w:rsidRDefault="005051B3">
      <w:pPr>
        <w:spacing w:line="360" w:lineRule="auto"/>
        <w:rPr>
          <w:b/>
          <w:bCs/>
          <w:szCs w:val="21"/>
        </w:rPr>
      </w:pPr>
      <w:r>
        <w:rPr>
          <w:rFonts w:hint="eastAsia"/>
          <w:b/>
          <w:bCs/>
          <w:szCs w:val="21"/>
        </w:rPr>
        <w:t>Methods</w:t>
      </w:r>
    </w:p>
    <w:p w14:paraId="4C69479B" w14:textId="77777777" w:rsidR="005011E5" w:rsidRDefault="005051B3">
      <w:pPr>
        <w:autoSpaceDE w:val="0"/>
        <w:autoSpaceDN w:val="0"/>
        <w:adjustRightInd w:val="0"/>
        <w:spacing w:line="480" w:lineRule="auto"/>
        <w:ind w:firstLineChars="200" w:firstLine="480"/>
        <w:rPr>
          <w:kern w:val="0"/>
          <w:sz w:val="22"/>
        </w:rPr>
      </w:pPr>
      <w:r>
        <w:rPr>
          <w:rFonts w:hint="eastAsia"/>
          <w:szCs w:val="21"/>
        </w:rPr>
        <w:t>All calculations were performed using the plane-wave-based periodic DFT method implemented in the Vienna ab initio simulation package (VASP</w:t>
      </w:r>
      <w:proofErr w:type="gramStart"/>
      <w:r>
        <w:rPr>
          <w:rFonts w:hint="eastAsia"/>
          <w:szCs w:val="21"/>
        </w:rPr>
        <w:t>),</w:t>
      </w:r>
      <w:bookmarkStart w:id="6" w:name="OLE_LINK35"/>
      <w:r>
        <w:rPr>
          <w:rFonts w:hint="eastAsia"/>
          <w:szCs w:val="21"/>
          <w:vertAlign w:val="superscript"/>
        </w:rPr>
        <w:t>[</w:t>
      </w:r>
      <w:proofErr w:type="gramEnd"/>
      <w:r>
        <w:rPr>
          <w:rFonts w:hint="eastAsia"/>
          <w:szCs w:val="21"/>
          <w:vertAlign w:val="superscript"/>
        </w:rPr>
        <w:t>1,2]</w:t>
      </w:r>
      <w:bookmarkEnd w:id="6"/>
      <w:r>
        <w:rPr>
          <w:rFonts w:hint="eastAsia"/>
          <w:szCs w:val="21"/>
        </w:rPr>
        <w:t xml:space="preserve"> where the ionic cores are described by the projector augmented wave (PAW) method.</w:t>
      </w:r>
      <w:r>
        <w:rPr>
          <w:rFonts w:hint="eastAsia"/>
          <w:szCs w:val="21"/>
          <w:vertAlign w:val="superscript"/>
        </w:rPr>
        <w:t xml:space="preserve"> [3,4]</w:t>
      </w:r>
      <w:r>
        <w:rPr>
          <w:rFonts w:hint="eastAsia"/>
          <w:szCs w:val="21"/>
        </w:rPr>
        <w:t xml:space="preserve"> To achieve accurate energies with errors of less than 1 </w:t>
      </w:r>
      <w:proofErr w:type="spellStart"/>
      <w:r>
        <w:rPr>
          <w:rFonts w:hint="eastAsia"/>
          <w:szCs w:val="21"/>
        </w:rPr>
        <w:t>meV</w:t>
      </w:r>
      <w:proofErr w:type="spellEnd"/>
      <w:r>
        <w:rPr>
          <w:rFonts w:hint="eastAsia"/>
          <w:szCs w:val="21"/>
        </w:rPr>
        <w:t xml:space="preserve"> per atom, t</w:t>
      </w:r>
      <w:r>
        <w:rPr>
          <w:szCs w:val="21"/>
        </w:rPr>
        <w:t>he cut-off energy for plane wave expansion was set to 4</w:t>
      </w:r>
      <w:r>
        <w:rPr>
          <w:rFonts w:hint="eastAsia"/>
          <w:szCs w:val="21"/>
        </w:rPr>
        <w:t>5</w:t>
      </w:r>
      <w:r>
        <w:rPr>
          <w:szCs w:val="21"/>
        </w:rPr>
        <w:t>0 eV, and the convergence criteria for force was below 0.0</w:t>
      </w:r>
      <w:r>
        <w:rPr>
          <w:rFonts w:hint="eastAsia"/>
          <w:szCs w:val="21"/>
        </w:rPr>
        <w:t>3</w:t>
      </w:r>
      <w:r>
        <w:rPr>
          <w:szCs w:val="21"/>
        </w:rPr>
        <w:t xml:space="preserve"> eV/Å with the iterative convergence of energy of 10</w:t>
      </w:r>
      <w:r>
        <w:rPr>
          <w:szCs w:val="21"/>
          <w:vertAlign w:val="superscript"/>
        </w:rPr>
        <w:t>−</w:t>
      </w:r>
      <w:r>
        <w:rPr>
          <w:rFonts w:hint="eastAsia"/>
          <w:szCs w:val="21"/>
          <w:vertAlign w:val="superscript"/>
        </w:rPr>
        <w:t>4</w:t>
      </w:r>
      <w:r>
        <w:rPr>
          <w:szCs w:val="21"/>
        </w:rPr>
        <w:t xml:space="preserve"> eV. </w:t>
      </w:r>
      <w:r>
        <w:rPr>
          <w:rFonts w:hint="eastAsia"/>
          <w:szCs w:val="21"/>
        </w:rPr>
        <w:t>Since the semi-local and mixed exchange-correlation generalized functions do not correctly describe the van der Waals interactions induced by the dynamical correlations be</w:t>
      </w:r>
      <w:r>
        <w:rPr>
          <w:rFonts w:hint="eastAsia"/>
          <w:szCs w:val="21"/>
        </w:rPr>
        <w:t xml:space="preserve">tween the fluctuating charge distributions, we adopt the DFT-D3 method with the Becke-Johnson damping </w:t>
      </w:r>
      <w:bookmarkStart w:id="7" w:name="OLE_LINK2"/>
      <w:r>
        <w:rPr>
          <w:rFonts w:hint="eastAsia"/>
          <w:szCs w:val="21"/>
        </w:rPr>
        <w:t>fu</w:t>
      </w:r>
      <w:r>
        <w:rPr>
          <w:szCs w:val="21"/>
        </w:rPr>
        <w:t xml:space="preserve">nction for the dispersion correction of the system </w:t>
      </w:r>
      <w:r>
        <w:rPr>
          <w:vertAlign w:val="superscript"/>
        </w:rPr>
        <w:t>[</w:t>
      </w:r>
      <w:r>
        <w:rPr>
          <w:rFonts w:hint="eastAsia"/>
          <w:kern w:val="0"/>
          <w:vertAlign w:val="superscript"/>
        </w:rPr>
        <w:t>5</w:t>
      </w:r>
      <w:r>
        <w:rPr>
          <w:kern w:val="0"/>
          <w:vertAlign w:val="superscript"/>
        </w:rPr>
        <w:t>]</w:t>
      </w:r>
      <w:bookmarkEnd w:id="7"/>
      <w:r>
        <w:rPr>
          <w:rFonts w:hint="eastAsia"/>
          <w:kern w:val="0"/>
          <w:sz w:val="22"/>
        </w:rPr>
        <w:t>.</w:t>
      </w:r>
    </w:p>
    <w:p w14:paraId="7DECD0FC" w14:textId="77777777" w:rsidR="005011E5" w:rsidRDefault="005051B3">
      <w:pPr>
        <w:autoSpaceDE w:val="0"/>
        <w:autoSpaceDN w:val="0"/>
        <w:adjustRightInd w:val="0"/>
        <w:spacing w:line="480" w:lineRule="auto"/>
        <w:ind w:firstLineChars="200" w:firstLine="480"/>
        <w:rPr>
          <w:kern w:val="0"/>
          <w:sz w:val="22"/>
        </w:rPr>
      </w:pPr>
      <w:r>
        <w:rPr>
          <w:rFonts w:eastAsia="等线"/>
          <w:szCs w:val="28"/>
        </w:rPr>
        <w:t>The adsorption energy (</w:t>
      </w:r>
      <w:r>
        <w:rPr>
          <w:rFonts w:eastAsia="等线"/>
          <w:i/>
          <w:iCs/>
          <w:szCs w:val="28"/>
        </w:rPr>
        <w:t>E</w:t>
      </w:r>
      <w:r>
        <w:rPr>
          <w:rFonts w:eastAsia="等线"/>
          <w:szCs w:val="28"/>
          <w:vertAlign w:val="subscript"/>
        </w:rPr>
        <w:t>ads</w:t>
      </w:r>
      <w:r>
        <w:rPr>
          <w:rFonts w:eastAsia="等线"/>
          <w:szCs w:val="28"/>
        </w:rPr>
        <w:t xml:space="preserve">) was calculated by subtracting the energies of gas-phase species and the clean surface from the total energy of the adsorbed species (X), </w:t>
      </w:r>
      <w:r>
        <w:rPr>
          <w:rFonts w:eastAsia="等线"/>
          <w:i/>
          <w:iCs/>
          <w:szCs w:val="28"/>
        </w:rPr>
        <w:t>E</w:t>
      </w:r>
      <w:r>
        <w:rPr>
          <w:rFonts w:eastAsia="等线"/>
          <w:szCs w:val="28"/>
          <w:vertAlign w:val="subscript"/>
        </w:rPr>
        <w:t>ads</w:t>
      </w:r>
      <w:r>
        <w:rPr>
          <w:rFonts w:eastAsia="等线"/>
          <w:szCs w:val="28"/>
        </w:rPr>
        <w:t xml:space="preserve"> = </w:t>
      </w:r>
      <w:r>
        <w:rPr>
          <w:rFonts w:eastAsia="等线"/>
          <w:i/>
          <w:iCs/>
          <w:szCs w:val="28"/>
        </w:rPr>
        <w:t>E</w:t>
      </w:r>
      <w:r>
        <w:rPr>
          <w:rFonts w:eastAsia="等线"/>
          <w:szCs w:val="28"/>
        </w:rPr>
        <w:t>(X/slab) – [</w:t>
      </w:r>
      <w:r>
        <w:rPr>
          <w:rFonts w:eastAsia="等线"/>
          <w:i/>
          <w:iCs/>
          <w:szCs w:val="28"/>
        </w:rPr>
        <w:t>E</w:t>
      </w:r>
      <w:r>
        <w:rPr>
          <w:rFonts w:eastAsia="等线"/>
          <w:szCs w:val="28"/>
        </w:rPr>
        <w:t xml:space="preserve">(X) + </w:t>
      </w:r>
      <w:r>
        <w:rPr>
          <w:rFonts w:eastAsia="等线"/>
          <w:i/>
          <w:iCs/>
          <w:szCs w:val="28"/>
        </w:rPr>
        <w:t>E</w:t>
      </w:r>
      <w:r>
        <w:rPr>
          <w:rFonts w:eastAsia="等线"/>
          <w:szCs w:val="28"/>
        </w:rPr>
        <w:t xml:space="preserve">(slab)], where </w:t>
      </w:r>
      <w:r>
        <w:rPr>
          <w:rFonts w:eastAsia="等线"/>
          <w:i/>
          <w:iCs/>
          <w:szCs w:val="28"/>
        </w:rPr>
        <w:t>E</w:t>
      </w:r>
      <w:r>
        <w:rPr>
          <w:rFonts w:eastAsia="等线"/>
          <w:szCs w:val="28"/>
        </w:rPr>
        <w:t xml:space="preserve">(X/slab) is the total energy of the slab with one X molecule, </w:t>
      </w:r>
      <w:r>
        <w:rPr>
          <w:rFonts w:eastAsia="等线"/>
          <w:i/>
          <w:iCs/>
          <w:szCs w:val="28"/>
        </w:rPr>
        <w:t>E</w:t>
      </w:r>
      <w:r>
        <w:rPr>
          <w:rFonts w:eastAsia="等线"/>
          <w:szCs w:val="28"/>
        </w:rPr>
        <w:t xml:space="preserve">(slab) is the total energy of the bare slab and </w:t>
      </w:r>
      <w:r>
        <w:rPr>
          <w:rFonts w:eastAsia="等线"/>
          <w:i/>
          <w:iCs/>
          <w:szCs w:val="28"/>
        </w:rPr>
        <w:t>E</w:t>
      </w:r>
      <w:r>
        <w:rPr>
          <w:rFonts w:eastAsia="等线"/>
          <w:szCs w:val="28"/>
        </w:rPr>
        <w:t xml:space="preserve">(X) is the total energy of a free X molecule in gas phase. Therefore, the more negative the </w:t>
      </w:r>
      <w:r>
        <w:rPr>
          <w:rFonts w:eastAsia="等线"/>
          <w:i/>
          <w:iCs/>
          <w:szCs w:val="28"/>
        </w:rPr>
        <w:t>E</w:t>
      </w:r>
      <w:r>
        <w:rPr>
          <w:rFonts w:eastAsia="等线"/>
          <w:szCs w:val="28"/>
          <w:vertAlign w:val="subscript"/>
        </w:rPr>
        <w:t>ads</w:t>
      </w:r>
      <w:r>
        <w:rPr>
          <w:rFonts w:eastAsia="等线"/>
          <w:szCs w:val="28"/>
        </w:rPr>
        <w:t xml:space="preserve"> the stronger the adsorption.</w:t>
      </w:r>
    </w:p>
    <w:p w14:paraId="011A3EEC" w14:textId="77777777" w:rsidR="005011E5" w:rsidRDefault="005051B3">
      <w:pPr>
        <w:spacing w:line="480" w:lineRule="auto"/>
        <w:rPr>
          <w:b/>
          <w:bCs/>
          <w:szCs w:val="21"/>
        </w:rPr>
      </w:pPr>
      <w:r>
        <w:rPr>
          <w:rFonts w:hint="eastAsia"/>
          <w:b/>
          <w:bCs/>
          <w:szCs w:val="21"/>
        </w:rPr>
        <w:lastRenderedPageBreak/>
        <w:t>Models</w:t>
      </w:r>
    </w:p>
    <w:p w14:paraId="66ECA273" w14:textId="77777777" w:rsidR="005011E5" w:rsidRDefault="005051B3">
      <w:pPr>
        <w:autoSpaceDE w:val="0"/>
        <w:autoSpaceDN w:val="0"/>
        <w:adjustRightInd w:val="0"/>
        <w:spacing w:line="480" w:lineRule="auto"/>
        <w:ind w:firstLineChars="200" w:firstLine="480"/>
        <w:rPr>
          <w:szCs w:val="21"/>
        </w:rPr>
      </w:pPr>
      <w:r>
        <w:rPr>
          <w:rFonts w:hint="eastAsia"/>
          <w:szCs w:val="21"/>
        </w:rPr>
        <w:t xml:space="preserve">The models used in our theoretical calculations were based on the experimental characterization results (TEM). </w:t>
      </w:r>
      <w:r>
        <w:rPr>
          <w:szCs w:val="21"/>
        </w:rPr>
        <w:t>The (</w:t>
      </w:r>
      <w:r>
        <w:rPr>
          <w:rFonts w:hint="eastAsia"/>
          <w:szCs w:val="21"/>
        </w:rPr>
        <w:t>100) s</w:t>
      </w:r>
      <w:r>
        <w:rPr>
          <w:szCs w:val="21"/>
        </w:rPr>
        <w:t xml:space="preserve">urface of </w:t>
      </w:r>
      <w:r>
        <w:rPr>
          <w:rFonts w:hint="eastAsia"/>
          <w:szCs w:val="21"/>
        </w:rPr>
        <w:t>Al</w:t>
      </w:r>
      <w:r>
        <w:rPr>
          <w:rFonts w:hint="eastAsia"/>
          <w:szCs w:val="21"/>
          <w:vertAlign w:val="subscript"/>
        </w:rPr>
        <w:t>2</w:t>
      </w:r>
      <w:r>
        <w:rPr>
          <w:rFonts w:hint="eastAsia"/>
          <w:szCs w:val="21"/>
        </w:rPr>
        <w:t>O</w:t>
      </w:r>
      <w:r>
        <w:rPr>
          <w:rFonts w:hint="eastAsia"/>
          <w:szCs w:val="21"/>
          <w:vertAlign w:val="subscript"/>
        </w:rPr>
        <w:t>3</w:t>
      </w:r>
      <w:r>
        <w:rPr>
          <w:szCs w:val="21"/>
        </w:rPr>
        <w:t xml:space="preserve"> </w:t>
      </w:r>
      <w:r>
        <w:rPr>
          <w:rFonts w:hint="eastAsia"/>
          <w:szCs w:val="21"/>
        </w:rPr>
        <w:t>(</w:t>
      </w:r>
      <w:r>
        <w:rPr>
          <w:rFonts w:hint="eastAsia"/>
          <w:b/>
          <w:bCs/>
          <w:szCs w:val="21"/>
        </w:rPr>
        <w:t>Fig. S9a</w:t>
      </w:r>
      <w:r>
        <w:rPr>
          <w:rFonts w:hint="eastAsia"/>
          <w:szCs w:val="21"/>
        </w:rPr>
        <w:t xml:space="preserve">) </w:t>
      </w:r>
      <w:r>
        <w:rPr>
          <w:szCs w:val="21"/>
        </w:rPr>
        <w:t xml:space="preserve">was cleaved from the bulk </w:t>
      </w:r>
      <w:bookmarkStart w:id="8" w:name="_Hlk220085890"/>
      <w:r>
        <w:rPr>
          <w:szCs w:val="21"/>
        </w:rPr>
        <w:t>γ-</w:t>
      </w:r>
      <w:r>
        <w:rPr>
          <w:rFonts w:hint="eastAsia"/>
          <w:szCs w:val="21"/>
        </w:rPr>
        <w:t>Al</w:t>
      </w:r>
      <w:r>
        <w:rPr>
          <w:rFonts w:hint="eastAsia"/>
          <w:szCs w:val="21"/>
          <w:vertAlign w:val="subscript"/>
        </w:rPr>
        <w:t>2</w:t>
      </w:r>
      <w:r>
        <w:rPr>
          <w:rFonts w:hint="eastAsia"/>
          <w:szCs w:val="21"/>
        </w:rPr>
        <w:t>O</w:t>
      </w:r>
      <w:r>
        <w:rPr>
          <w:rFonts w:hint="eastAsia"/>
          <w:szCs w:val="21"/>
          <w:vertAlign w:val="subscript"/>
        </w:rPr>
        <w:t>3</w:t>
      </w:r>
      <w:bookmarkEnd w:id="8"/>
      <w:r>
        <w:rPr>
          <w:szCs w:val="21"/>
        </w:rPr>
        <w:t xml:space="preserve"> crystal </w:t>
      </w:r>
      <w:r>
        <w:rPr>
          <w:rFonts w:hint="eastAsia"/>
          <w:szCs w:val="21"/>
        </w:rPr>
        <w:t>(a = 5.587 Å, b = 8.413 Å, c = 8.068 Å) from the database of the Materials Project.</w:t>
      </w:r>
      <w:r>
        <w:rPr>
          <w:szCs w:val="21"/>
        </w:rPr>
        <w:t xml:space="preserve"> A </w:t>
      </w:r>
      <w:r>
        <w:rPr>
          <w:rFonts w:hint="eastAsia"/>
          <w:szCs w:val="21"/>
        </w:rPr>
        <w:t>2</w:t>
      </w:r>
      <w:r>
        <w:rPr>
          <w:szCs w:val="21"/>
        </w:rPr>
        <w:t>-layer-thick and (</w:t>
      </w:r>
      <w:r>
        <w:rPr>
          <w:rFonts w:hint="eastAsia"/>
          <w:szCs w:val="21"/>
        </w:rPr>
        <w:t>2</w:t>
      </w:r>
      <w:r>
        <w:rPr>
          <w:rFonts w:hint="eastAsia"/>
          <w:szCs w:val="21"/>
        </w:rPr>
        <w:t>×</w:t>
      </w:r>
      <w:r>
        <w:rPr>
          <w:rFonts w:hint="eastAsia"/>
          <w:szCs w:val="21"/>
        </w:rPr>
        <w:t>3</w:t>
      </w:r>
      <w:r>
        <w:rPr>
          <w:szCs w:val="21"/>
        </w:rPr>
        <w:t xml:space="preserve">) periodic supercell surface model was constructed, with the bottom layer fixed and the remaining atoms fully relaxed during structural optimization. </w:t>
      </w:r>
      <w:r>
        <w:rPr>
          <w:rFonts w:hint="eastAsia"/>
          <w:szCs w:val="21"/>
        </w:rPr>
        <w:t xml:space="preserve">In addition, </w:t>
      </w:r>
      <w:r>
        <w:rPr>
          <w:szCs w:val="21"/>
        </w:rPr>
        <w:t xml:space="preserve">Pt and Co cluster were </w:t>
      </w:r>
      <w:r>
        <w:rPr>
          <w:rFonts w:hint="eastAsia"/>
          <w:szCs w:val="21"/>
        </w:rPr>
        <w:t xml:space="preserve">located </w:t>
      </w:r>
      <w:r>
        <w:rPr>
          <w:szCs w:val="21"/>
        </w:rPr>
        <w:t>on Al</w:t>
      </w:r>
      <w:r>
        <w:rPr>
          <w:rFonts w:hint="eastAsia"/>
          <w:szCs w:val="21"/>
          <w:vertAlign w:val="subscript"/>
        </w:rPr>
        <w:t>2</w:t>
      </w:r>
      <w:r>
        <w:rPr>
          <w:szCs w:val="21"/>
        </w:rPr>
        <w:t>O</w:t>
      </w:r>
      <w:r>
        <w:rPr>
          <w:rFonts w:hint="eastAsia"/>
          <w:szCs w:val="21"/>
          <w:vertAlign w:val="subscript"/>
        </w:rPr>
        <w:t>3</w:t>
      </w:r>
      <w:r>
        <w:rPr>
          <w:szCs w:val="21"/>
        </w:rPr>
        <w:t xml:space="preserve"> with a Pt/Co mass ratio of 1:0.5</w:t>
      </w:r>
      <w:r>
        <w:rPr>
          <w:rFonts w:hint="eastAsia"/>
          <w:szCs w:val="21"/>
        </w:rPr>
        <w:t xml:space="preserve"> (</w:t>
      </w:r>
      <w:r>
        <w:rPr>
          <w:rFonts w:hint="eastAsia"/>
          <w:b/>
          <w:bCs/>
          <w:szCs w:val="21"/>
        </w:rPr>
        <w:t>Fig. S9b</w:t>
      </w:r>
      <w:r>
        <w:rPr>
          <w:rFonts w:hint="eastAsia"/>
          <w:szCs w:val="21"/>
        </w:rPr>
        <w:t>),</w:t>
      </w:r>
      <w:r>
        <w:rPr>
          <w:szCs w:val="21"/>
        </w:rPr>
        <w:t xml:space="preserve"> </w:t>
      </w:r>
      <w:r>
        <w:rPr>
          <w:rFonts w:hint="eastAsia"/>
          <w:szCs w:val="21"/>
        </w:rPr>
        <w:t xml:space="preserve">according the </w:t>
      </w:r>
      <w:r>
        <w:rPr>
          <w:szCs w:val="21"/>
        </w:rPr>
        <w:t>experimental</w:t>
      </w:r>
      <w:r>
        <w:rPr>
          <w:rFonts w:hint="eastAsia"/>
          <w:szCs w:val="21"/>
        </w:rPr>
        <w:t xml:space="preserve"> results (</w:t>
      </w:r>
      <w:r>
        <w:rPr>
          <w:rFonts w:hint="eastAsia"/>
          <w:b/>
          <w:bCs/>
          <w:szCs w:val="21"/>
        </w:rPr>
        <w:t>Fig. 8</w:t>
      </w:r>
      <w:r>
        <w:rPr>
          <w:rFonts w:hint="eastAsia"/>
          <w:szCs w:val="21"/>
        </w:rPr>
        <w:t>), to represent the 1Pt/</w:t>
      </w:r>
      <w:proofErr w:type="spellStart"/>
      <w:r>
        <w:rPr>
          <w:rFonts w:hint="eastAsia"/>
          <w:i/>
          <w:iCs/>
          <w:szCs w:val="21"/>
        </w:rPr>
        <w:t>y</w:t>
      </w:r>
      <w:r>
        <w:rPr>
          <w:rFonts w:hint="eastAsia"/>
          <w:szCs w:val="21"/>
        </w:rPr>
        <w:t>Co</w:t>
      </w:r>
      <w:proofErr w:type="spellEnd"/>
      <w:r>
        <w:rPr>
          <w:rFonts w:hint="eastAsia"/>
          <w:szCs w:val="21"/>
        </w:rPr>
        <w:t>/</w:t>
      </w:r>
      <w:r>
        <w:rPr>
          <w:szCs w:val="21"/>
        </w:rPr>
        <w:t>Al</w:t>
      </w:r>
      <w:r>
        <w:rPr>
          <w:rFonts w:hint="eastAsia"/>
          <w:szCs w:val="21"/>
          <w:vertAlign w:val="subscript"/>
        </w:rPr>
        <w:t>2</w:t>
      </w:r>
      <w:r>
        <w:rPr>
          <w:szCs w:val="21"/>
        </w:rPr>
        <w:t>O</w:t>
      </w:r>
      <w:r>
        <w:rPr>
          <w:rFonts w:hint="eastAsia"/>
          <w:szCs w:val="21"/>
          <w:vertAlign w:val="subscript"/>
        </w:rPr>
        <w:t>3</w:t>
      </w:r>
      <w:r>
        <w:rPr>
          <w:szCs w:val="21"/>
        </w:rPr>
        <w:t xml:space="preserve"> </w:t>
      </w:r>
      <w:r>
        <w:rPr>
          <w:rFonts w:hint="eastAsia"/>
          <w:szCs w:val="21"/>
        </w:rPr>
        <w:t xml:space="preserve">catalyst in the present study for the investigation of </w:t>
      </w:r>
      <w:r>
        <w:rPr>
          <w:szCs w:val="21"/>
        </w:rPr>
        <w:t>electronic</w:t>
      </w:r>
      <w:r>
        <w:rPr>
          <w:rFonts w:hint="eastAsia"/>
          <w:szCs w:val="21"/>
        </w:rPr>
        <w:t xml:space="preserve"> effect. </w:t>
      </w:r>
    </w:p>
    <w:p w14:paraId="1F20F0E5" w14:textId="77777777" w:rsidR="005011E5" w:rsidRDefault="005051B3">
      <w:pPr>
        <w:autoSpaceDE w:val="0"/>
        <w:autoSpaceDN w:val="0"/>
        <w:adjustRightInd w:val="0"/>
        <w:spacing w:line="480" w:lineRule="auto"/>
        <w:ind w:firstLineChars="200" w:firstLine="480"/>
        <w:rPr>
          <w:szCs w:val="21"/>
        </w:rPr>
      </w:pPr>
      <w:r>
        <w:rPr>
          <w:rFonts w:hint="eastAsia"/>
          <w:szCs w:val="21"/>
        </w:rPr>
        <w:t xml:space="preserve">For Hydrogen desorption </w:t>
      </w:r>
      <w:r>
        <w:rPr>
          <w:szCs w:val="21"/>
        </w:rPr>
        <w:t>calculation</w:t>
      </w:r>
      <w:r>
        <w:rPr>
          <w:rFonts w:hint="eastAsia"/>
          <w:szCs w:val="21"/>
        </w:rPr>
        <w:t xml:space="preserve">, the most stable </w:t>
      </w:r>
      <w:proofErr w:type="gramStart"/>
      <w:r>
        <w:rPr>
          <w:rFonts w:hint="eastAsia"/>
          <w:szCs w:val="21"/>
        </w:rPr>
        <w:t>Pt(</w:t>
      </w:r>
      <w:proofErr w:type="gramEnd"/>
      <w:r>
        <w:rPr>
          <w:rFonts w:hint="eastAsia"/>
          <w:szCs w:val="21"/>
        </w:rPr>
        <w:t>111) surface (</w:t>
      </w:r>
      <w:r>
        <w:rPr>
          <w:rFonts w:hint="eastAsia"/>
          <w:b/>
          <w:bCs/>
          <w:szCs w:val="21"/>
        </w:rPr>
        <w:t>Fig. S12</w:t>
      </w:r>
      <w:r>
        <w:rPr>
          <w:rFonts w:hint="eastAsia"/>
          <w:szCs w:val="21"/>
        </w:rPr>
        <w:t xml:space="preserve">) was built which cleaved from the bulk face-centered cubic Pt (a = b = c = 3.924 Å) from the database of the Materials Studio. A four layers periodic (4 </w:t>
      </w:r>
      <w:r>
        <w:rPr>
          <w:rFonts w:hint="eastAsia"/>
          <w:szCs w:val="21"/>
        </w:rPr>
        <w:t>×</w:t>
      </w:r>
      <w:r>
        <w:rPr>
          <w:rFonts w:hint="eastAsia"/>
          <w:szCs w:val="21"/>
        </w:rPr>
        <w:t xml:space="preserve"> 4) supercell surface model was constructed with the Pt bottom two layers fixed and the remaining atoms fully relaxed during optimization. For all the models in the present study, the Brillouin zone was sampled with a Gamma-centered (2 </w:t>
      </w:r>
      <w:r>
        <w:rPr>
          <w:rFonts w:hint="eastAsia"/>
          <w:szCs w:val="21"/>
        </w:rPr>
        <w:t>×</w:t>
      </w:r>
      <w:r>
        <w:rPr>
          <w:rFonts w:hint="eastAsia"/>
          <w:szCs w:val="21"/>
        </w:rPr>
        <w:t xml:space="preserve"> 1 </w:t>
      </w:r>
      <w:r>
        <w:rPr>
          <w:rFonts w:hint="eastAsia"/>
          <w:szCs w:val="21"/>
        </w:rPr>
        <w:t>×</w:t>
      </w:r>
      <w:r>
        <w:rPr>
          <w:rFonts w:hint="eastAsia"/>
          <w:szCs w:val="21"/>
        </w:rPr>
        <w:t xml:space="preserve"> 1) k-point mesh, and a 15 Å vacuum was introduced between the</w:t>
      </w:r>
      <w:r>
        <w:rPr>
          <w:rFonts w:hint="eastAsia"/>
          <w:szCs w:val="21"/>
        </w:rPr>
        <w:t xml:space="preserve"> repeated slabs along the z-direction.</w:t>
      </w:r>
    </w:p>
    <w:p w14:paraId="4DC63B56" w14:textId="77777777" w:rsidR="005011E5" w:rsidRDefault="005011E5">
      <w:pPr>
        <w:spacing w:line="480" w:lineRule="auto"/>
        <w:ind w:firstLineChars="200" w:firstLine="480"/>
        <w:rPr>
          <w:szCs w:val="28"/>
        </w:rPr>
      </w:pPr>
    </w:p>
    <w:p w14:paraId="48DF2A48" w14:textId="77777777" w:rsidR="005011E5" w:rsidRDefault="005011E5">
      <w:pPr>
        <w:spacing w:line="480" w:lineRule="auto"/>
        <w:ind w:firstLineChars="200" w:firstLine="480"/>
        <w:rPr>
          <w:szCs w:val="28"/>
        </w:rPr>
        <w:sectPr w:rsidR="005011E5">
          <w:footerReference w:type="default" r:id="rId7"/>
          <w:pgSz w:w="11906" w:h="16838"/>
          <w:pgMar w:top="1440" w:right="1800" w:bottom="1440" w:left="1800" w:header="851" w:footer="992" w:gutter="0"/>
          <w:cols w:space="425"/>
          <w:docGrid w:type="lines" w:linePitch="312"/>
        </w:sectPr>
      </w:pPr>
    </w:p>
    <w:p w14:paraId="3465F668" w14:textId="77777777" w:rsidR="005011E5" w:rsidRDefault="005051B3" w:rsidP="007619A8">
      <w:pPr>
        <w:pStyle w:val="LetPub51TableCaption"/>
        <w:spacing w:before="312" w:after="240"/>
        <w:jc w:val="center"/>
      </w:pPr>
      <w:r>
        <w:rPr>
          <w:b/>
        </w:rPr>
        <w:lastRenderedPageBreak/>
        <w:t>Table S</w:t>
      </w:r>
      <w:r>
        <w:rPr>
          <w:rFonts w:eastAsiaTheme="minorEastAsia" w:hint="eastAsia"/>
          <w:b/>
        </w:rPr>
        <w:t>1.</w:t>
      </w:r>
      <w:r>
        <w:t xml:space="preserve"> Sur</w:t>
      </w:r>
      <w:r>
        <w:rPr>
          <w:rFonts w:eastAsiaTheme="minorEastAsia"/>
        </w:rPr>
        <w:t>face</w:t>
      </w:r>
      <w:r>
        <w:t xml:space="preserve"> </w:t>
      </w:r>
      <w:r>
        <w:rPr>
          <w:szCs w:val="28"/>
        </w:rPr>
        <w:t>cobalt</w:t>
      </w:r>
      <w:r>
        <w:t xml:space="preserve"> </w:t>
      </w:r>
      <w:r>
        <w:rPr>
          <w:rFonts w:eastAsiaTheme="minorEastAsia"/>
        </w:rPr>
        <w:t>chemi</w:t>
      </w:r>
      <w:r>
        <w:t>cal states determined by XPS.</w:t>
      </w:r>
    </w:p>
    <w:tbl>
      <w:tblPr>
        <w:tblW w:w="5734" w:type="pct"/>
        <w:jc w:val="center"/>
        <w:tblBorders>
          <w:top w:val="single" w:sz="12" w:space="0" w:color="auto"/>
          <w:bottom w:val="single" w:sz="12" w:space="0" w:color="auto"/>
        </w:tblBorders>
        <w:tblLook w:val="04A0" w:firstRow="1" w:lastRow="0" w:firstColumn="1" w:lastColumn="0" w:noHBand="0" w:noVBand="1"/>
      </w:tblPr>
      <w:tblGrid>
        <w:gridCol w:w="4140"/>
        <w:gridCol w:w="1615"/>
        <w:gridCol w:w="1886"/>
        <w:gridCol w:w="1884"/>
      </w:tblGrid>
      <w:tr w:rsidR="005011E5" w14:paraId="36666297" w14:textId="77777777">
        <w:trPr>
          <w:jc w:val="center"/>
        </w:trPr>
        <w:tc>
          <w:tcPr>
            <w:tcW w:w="2173" w:type="pct"/>
            <w:tcBorders>
              <w:top w:val="single" w:sz="12" w:space="0" w:color="auto"/>
              <w:bottom w:val="single" w:sz="4" w:space="0" w:color="auto"/>
            </w:tcBorders>
            <w:vAlign w:val="center"/>
          </w:tcPr>
          <w:p w14:paraId="46AABCFC" w14:textId="77777777" w:rsidR="005011E5" w:rsidRDefault="005051B3">
            <w:pPr>
              <w:pStyle w:val="LetPub52TableBody"/>
              <w:jc w:val="center"/>
            </w:pPr>
            <w:r>
              <w:t>C</w:t>
            </w:r>
            <w:r>
              <w:rPr>
                <w:rFonts w:eastAsiaTheme="minorEastAsia"/>
              </w:rPr>
              <w:t>a</w:t>
            </w:r>
            <w:r>
              <w:t>talysts</w:t>
            </w:r>
          </w:p>
        </w:tc>
        <w:tc>
          <w:tcPr>
            <w:tcW w:w="848" w:type="pct"/>
            <w:tcBorders>
              <w:top w:val="single" w:sz="12" w:space="0" w:color="auto"/>
              <w:bottom w:val="single" w:sz="4" w:space="0" w:color="auto"/>
            </w:tcBorders>
            <w:vAlign w:val="center"/>
          </w:tcPr>
          <w:p w14:paraId="1F20FB25" w14:textId="77777777" w:rsidR="005011E5" w:rsidRDefault="005051B3">
            <w:pPr>
              <w:pStyle w:val="LetPub31Text"/>
              <w:jc w:val="center"/>
              <w:rPr>
                <w:rFonts w:eastAsiaTheme="minorEastAsia"/>
              </w:rPr>
            </w:pPr>
            <w:r>
              <w:rPr>
                <w:rFonts w:eastAsiaTheme="minorEastAsia"/>
              </w:rPr>
              <w:t>Co</w:t>
            </w:r>
            <w:r>
              <w:rPr>
                <w:rFonts w:eastAsiaTheme="minorEastAsia"/>
                <w:vertAlign w:val="superscript"/>
              </w:rPr>
              <w:t>3+</w:t>
            </w:r>
            <w:r>
              <w:rPr>
                <w:rFonts w:eastAsiaTheme="minorEastAsia"/>
              </w:rPr>
              <w:t xml:space="preserve"> (%)</w:t>
            </w:r>
          </w:p>
        </w:tc>
        <w:tc>
          <w:tcPr>
            <w:tcW w:w="990" w:type="pct"/>
            <w:tcBorders>
              <w:top w:val="single" w:sz="12" w:space="0" w:color="auto"/>
              <w:bottom w:val="single" w:sz="4" w:space="0" w:color="auto"/>
            </w:tcBorders>
            <w:vAlign w:val="center"/>
          </w:tcPr>
          <w:p w14:paraId="4F4F8DFC" w14:textId="77777777" w:rsidR="005011E5" w:rsidRDefault="005051B3">
            <w:pPr>
              <w:pStyle w:val="LetPub52TableBody"/>
              <w:jc w:val="center"/>
              <w:rPr>
                <w:rFonts w:eastAsiaTheme="minorEastAsia"/>
              </w:rPr>
            </w:pPr>
            <w:r>
              <w:rPr>
                <w:rFonts w:eastAsiaTheme="minorEastAsia"/>
              </w:rPr>
              <w:t>Co</w:t>
            </w:r>
            <w:r>
              <w:rPr>
                <w:rFonts w:eastAsiaTheme="minorEastAsia"/>
                <w:vertAlign w:val="superscript"/>
              </w:rPr>
              <w:t>2+</w:t>
            </w:r>
            <w:r>
              <w:rPr>
                <w:rFonts w:eastAsiaTheme="minorEastAsia"/>
              </w:rPr>
              <w:t xml:space="preserve"> (%)</w:t>
            </w:r>
          </w:p>
        </w:tc>
        <w:tc>
          <w:tcPr>
            <w:tcW w:w="989" w:type="pct"/>
            <w:tcBorders>
              <w:top w:val="single" w:sz="12" w:space="0" w:color="auto"/>
              <w:bottom w:val="single" w:sz="4" w:space="0" w:color="auto"/>
            </w:tcBorders>
          </w:tcPr>
          <w:p w14:paraId="3A06EAB1" w14:textId="77777777" w:rsidR="005011E5" w:rsidRDefault="005051B3">
            <w:pPr>
              <w:pStyle w:val="LetPub52TableBody"/>
              <w:jc w:val="center"/>
              <w:rPr>
                <w:rFonts w:eastAsiaTheme="minorEastAsia"/>
              </w:rPr>
            </w:pPr>
            <w:r>
              <w:rPr>
                <w:rFonts w:eastAsiaTheme="minorEastAsia"/>
              </w:rPr>
              <w:t>Co</w:t>
            </w:r>
            <w:r>
              <w:rPr>
                <w:rFonts w:eastAsiaTheme="minorEastAsia"/>
                <w:vertAlign w:val="superscript"/>
              </w:rPr>
              <w:t>0</w:t>
            </w:r>
            <w:r>
              <w:rPr>
                <w:rFonts w:eastAsiaTheme="minorEastAsia"/>
              </w:rPr>
              <w:t xml:space="preserve"> (%)</w:t>
            </w:r>
          </w:p>
        </w:tc>
      </w:tr>
      <w:tr w:rsidR="005011E5" w14:paraId="7514D1C5" w14:textId="77777777">
        <w:trPr>
          <w:jc w:val="center"/>
        </w:trPr>
        <w:tc>
          <w:tcPr>
            <w:tcW w:w="2173" w:type="pct"/>
            <w:tcBorders>
              <w:top w:val="nil"/>
            </w:tcBorders>
            <w:vAlign w:val="center"/>
          </w:tcPr>
          <w:p w14:paraId="10E10FFA" w14:textId="77777777" w:rsidR="005011E5" w:rsidRDefault="005051B3">
            <w:pPr>
              <w:pStyle w:val="LetPub52TableBody"/>
              <w:jc w:val="center"/>
            </w:pPr>
            <w:r>
              <w:rPr>
                <w:rFonts w:eastAsia="微软雅黑"/>
                <w:kern w:val="24"/>
              </w:rPr>
              <w:t>1Pt/1Co/Al</w:t>
            </w:r>
            <w:r>
              <w:rPr>
                <w:rFonts w:eastAsia="微软雅黑"/>
                <w:kern w:val="24"/>
                <w:vertAlign w:val="subscript"/>
              </w:rPr>
              <w:t>2</w:t>
            </w:r>
            <w:r>
              <w:rPr>
                <w:rFonts w:eastAsia="微软雅黑"/>
                <w:kern w:val="24"/>
              </w:rPr>
              <w:t>O</w:t>
            </w:r>
            <w:r>
              <w:rPr>
                <w:rFonts w:eastAsia="微软雅黑"/>
                <w:kern w:val="24"/>
                <w:vertAlign w:val="subscript"/>
              </w:rPr>
              <w:t>3</w:t>
            </w:r>
            <w:r>
              <w:rPr>
                <w:rFonts w:eastAsia="微软雅黑"/>
                <w:kern w:val="24"/>
              </w:rPr>
              <w:t xml:space="preserve"> after reduction</w:t>
            </w:r>
            <w:r>
              <w:rPr>
                <w:rFonts w:eastAsia="微软雅黑"/>
                <w:kern w:val="24"/>
                <w:vertAlign w:val="subscript"/>
              </w:rPr>
              <w:t xml:space="preserve"> </w:t>
            </w:r>
            <w:r>
              <w:rPr>
                <w:vertAlign w:val="superscript"/>
              </w:rPr>
              <w:t>a</w:t>
            </w:r>
          </w:p>
        </w:tc>
        <w:tc>
          <w:tcPr>
            <w:tcW w:w="848" w:type="pct"/>
            <w:tcBorders>
              <w:top w:val="nil"/>
            </w:tcBorders>
            <w:vAlign w:val="center"/>
          </w:tcPr>
          <w:p w14:paraId="252EAA7C" w14:textId="77777777" w:rsidR="005011E5" w:rsidRDefault="005051B3">
            <w:pPr>
              <w:pStyle w:val="LetPub52TableBody"/>
              <w:jc w:val="center"/>
            </w:pPr>
            <w:r>
              <w:rPr>
                <w:rFonts w:eastAsia="微软雅黑"/>
                <w:kern w:val="24"/>
              </w:rPr>
              <w:t>0</w:t>
            </w:r>
          </w:p>
        </w:tc>
        <w:tc>
          <w:tcPr>
            <w:tcW w:w="990" w:type="pct"/>
            <w:tcBorders>
              <w:top w:val="nil"/>
            </w:tcBorders>
            <w:vAlign w:val="center"/>
          </w:tcPr>
          <w:p w14:paraId="0A4F2786" w14:textId="77777777" w:rsidR="005011E5" w:rsidRDefault="005051B3">
            <w:pPr>
              <w:pStyle w:val="LetPub52TableBody"/>
              <w:jc w:val="center"/>
            </w:pPr>
            <w:r>
              <w:rPr>
                <w:rFonts w:eastAsiaTheme="minorEastAsia"/>
              </w:rPr>
              <w:t>95.4</w:t>
            </w:r>
          </w:p>
        </w:tc>
        <w:tc>
          <w:tcPr>
            <w:tcW w:w="989" w:type="pct"/>
            <w:tcBorders>
              <w:top w:val="nil"/>
            </w:tcBorders>
            <w:vAlign w:val="center"/>
          </w:tcPr>
          <w:p w14:paraId="19ABF64E" w14:textId="77777777" w:rsidR="005011E5" w:rsidRDefault="005051B3">
            <w:pPr>
              <w:pStyle w:val="LetPub52TableBody"/>
              <w:jc w:val="center"/>
              <w:rPr>
                <w:rFonts w:eastAsiaTheme="minorEastAsia"/>
              </w:rPr>
            </w:pPr>
            <w:r>
              <w:rPr>
                <w:rFonts w:eastAsiaTheme="minorEastAsia"/>
              </w:rPr>
              <w:t>4.6</w:t>
            </w:r>
          </w:p>
        </w:tc>
      </w:tr>
      <w:tr w:rsidR="005011E5" w14:paraId="4BAA2958" w14:textId="77777777">
        <w:trPr>
          <w:jc w:val="center"/>
        </w:trPr>
        <w:tc>
          <w:tcPr>
            <w:tcW w:w="2173" w:type="pct"/>
            <w:tcBorders>
              <w:top w:val="nil"/>
              <w:bottom w:val="nil"/>
            </w:tcBorders>
            <w:vAlign w:val="center"/>
          </w:tcPr>
          <w:p w14:paraId="3AC05EB0" w14:textId="77777777" w:rsidR="005011E5" w:rsidRDefault="005051B3">
            <w:pPr>
              <w:pStyle w:val="LetPub52TableBody"/>
              <w:jc w:val="center"/>
            </w:pPr>
            <w:r>
              <w:rPr>
                <w:rFonts w:eastAsia="微软雅黑"/>
                <w:kern w:val="24"/>
              </w:rPr>
              <w:t>1Pt/10Co/Al</w:t>
            </w:r>
            <w:r>
              <w:rPr>
                <w:rFonts w:eastAsia="微软雅黑"/>
                <w:kern w:val="24"/>
                <w:vertAlign w:val="subscript"/>
              </w:rPr>
              <w:t>2</w:t>
            </w:r>
            <w:r>
              <w:rPr>
                <w:rFonts w:eastAsia="微软雅黑"/>
                <w:kern w:val="24"/>
              </w:rPr>
              <w:t>O</w:t>
            </w:r>
            <w:r>
              <w:rPr>
                <w:rFonts w:eastAsia="微软雅黑"/>
                <w:kern w:val="24"/>
                <w:vertAlign w:val="subscript"/>
              </w:rPr>
              <w:t>3</w:t>
            </w:r>
            <w:r>
              <w:rPr>
                <w:rFonts w:eastAsia="微软雅黑"/>
                <w:kern w:val="24"/>
              </w:rPr>
              <w:t xml:space="preserve"> after reduction</w:t>
            </w:r>
            <w:r>
              <w:t xml:space="preserve"> </w:t>
            </w:r>
            <w:r>
              <w:rPr>
                <w:vertAlign w:val="superscript"/>
              </w:rPr>
              <w:t>a</w:t>
            </w:r>
          </w:p>
        </w:tc>
        <w:tc>
          <w:tcPr>
            <w:tcW w:w="848" w:type="pct"/>
            <w:tcBorders>
              <w:top w:val="nil"/>
              <w:bottom w:val="nil"/>
            </w:tcBorders>
            <w:vAlign w:val="center"/>
          </w:tcPr>
          <w:p w14:paraId="00FD63FA" w14:textId="77777777" w:rsidR="005011E5" w:rsidRDefault="005051B3">
            <w:pPr>
              <w:pStyle w:val="LetPub52TableBody"/>
              <w:jc w:val="center"/>
            </w:pPr>
            <w:r>
              <w:rPr>
                <w:rFonts w:eastAsia="微软雅黑"/>
                <w:kern w:val="24"/>
              </w:rPr>
              <w:t>17.8</w:t>
            </w:r>
          </w:p>
        </w:tc>
        <w:tc>
          <w:tcPr>
            <w:tcW w:w="990" w:type="pct"/>
            <w:tcBorders>
              <w:top w:val="nil"/>
              <w:bottom w:val="nil"/>
            </w:tcBorders>
            <w:vAlign w:val="center"/>
          </w:tcPr>
          <w:p w14:paraId="13F11FBA" w14:textId="77777777" w:rsidR="005011E5" w:rsidRDefault="005051B3">
            <w:pPr>
              <w:pStyle w:val="LetPub52TableBody"/>
              <w:jc w:val="center"/>
              <w:rPr>
                <w:rFonts w:eastAsiaTheme="minorEastAsia"/>
              </w:rPr>
            </w:pPr>
            <w:r>
              <w:rPr>
                <w:rFonts w:eastAsia="微软雅黑"/>
                <w:kern w:val="24"/>
              </w:rPr>
              <w:t>77.2</w:t>
            </w:r>
          </w:p>
        </w:tc>
        <w:tc>
          <w:tcPr>
            <w:tcW w:w="989" w:type="pct"/>
            <w:tcBorders>
              <w:top w:val="nil"/>
              <w:bottom w:val="nil"/>
            </w:tcBorders>
            <w:vAlign w:val="center"/>
          </w:tcPr>
          <w:p w14:paraId="245AD500" w14:textId="77777777" w:rsidR="005011E5" w:rsidRDefault="005051B3">
            <w:pPr>
              <w:pStyle w:val="LetPub52TableBody"/>
              <w:jc w:val="center"/>
              <w:rPr>
                <w:rFonts w:eastAsia="微软雅黑"/>
                <w:kern w:val="24"/>
              </w:rPr>
            </w:pPr>
            <w:r>
              <w:rPr>
                <w:rFonts w:eastAsia="微软雅黑"/>
                <w:kern w:val="24"/>
              </w:rPr>
              <w:t>5.0</w:t>
            </w:r>
          </w:p>
        </w:tc>
      </w:tr>
      <w:tr w:rsidR="005011E5" w14:paraId="3AAF535E" w14:textId="77777777">
        <w:trPr>
          <w:jc w:val="center"/>
        </w:trPr>
        <w:tc>
          <w:tcPr>
            <w:tcW w:w="2173" w:type="pct"/>
            <w:tcBorders>
              <w:top w:val="nil"/>
              <w:bottom w:val="nil"/>
            </w:tcBorders>
            <w:vAlign w:val="center"/>
          </w:tcPr>
          <w:p w14:paraId="5A00E9F9" w14:textId="77777777" w:rsidR="005011E5" w:rsidRDefault="005051B3">
            <w:pPr>
              <w:pStyle w:val="LetPub52TableBody"/>
              <w:jc w:val="center"/>
              <w:rPr>
                <w:rFonts w:eastAsia="微软雅黑"/>
                <w:kern w:val="24"/>
              </w:rPr>
            </w:pPr>
            <w:r>
              <w:rPr>
                <w:rFonts w:eastAsia="微软雅黑"/>
                <w:kern w:val="24"/>
              </w:rPr>
              <w:t>1Pt/1Co/Al</w:t>
            </w:r>
            <w:r>
              <w:rPr>
                <w:rFonts w:eastAsia="微软雅黑"/>
                <w:kern w:val="24"/>
                <w:vertAlign w:val="subscript"/>
              </w:rPr>
              <w:t>2</w:t>
            </w:r>
            <w:r>
              <w:rPr>
                <w:rFonts w:eastAsia="微软雅黑"/>
                <w:kern w:val="24"/>
              </w:rPr>
              <w:t>O</w:t>
            </w:r>
            <w:r>
              <w:rPr>
                <w:rFonts w:eastAsia="微软雅黑"/>
                <w:kern w:val="24"/>
                <w:vertAlign w:val="subscript"/>
              </w:rPr>
              <w:t>3</w:t>
            </w:r>
            <w:r>
              <w:rPr>
                <w:rFonts w:eastAsia="微软雅黑"/>
                <w:kern w:val="24"/>
              </w:rPr>
              <w:t xml:space="preserve"> before reduction</w:t>
            </w:r>
            <w:r>
              <w:t xml:space="preserve"> </w:t>
            </w:r>
            <w:r>
              <w:rPr>
                <w:rFonts w:eastAsiaTheme="minorEastAsia"/>
                <w:vertAlign w:val="superscript"/>
              </w:rPr>
              <w:t>b</w:t>
            </w:r>
          </w:p>
        </w:tc>
        <w:tc>
          <w:tcPr>
            <w:tcW w:w="848" w:type="pct"/>
            <w:tcBorders>
              <w:top w:val="nil"/>
              <w:bottom w:val="nil"/>
            </w:tcBorders>
            <w:vAlign w:val="center"/>
          </w:tcPr>
          <w:p w14:paraId="701CE53F" w14:textId="77777777" w:rsidR="005011E5" w:rsidRDefault="005051B3">
            <w:pPr>
              <w:pStyle w:val="LetPub52TableBody"/>
              <w:jc w:val="center"/>
              <w:rPr>
                <w:rFonts w:eastAsia="微软雅黑"/>
                <w:kern w:val="24"/>
              </w:rPr>
            </w:pPr>
            <w:r>
              <w:rPr>
                <w:rFonts w:eastAsia="微软雅黑"/>
                <w:kern w:val="24"/>
              </w:rPr>
              <w:t>58.4</w:t>
            </w:r>
          </w:p>
        </w:tc>
        <w:tc>
          <w:tcPr>
            <w:tcW w:w="990" w:type="pct"/>
            <w:tcBorders>
              <w:top w:val="nil"/>
              <w:bottom w:val="nil"/>
            </w:tcBorders>
            <w:vAlign w:val="center"/>
          </w:tcPr>
          <w:p w14:paraId="1F93A264" w14:textId="77777777" w:rsidR="005011E5" w:rsidRDefault="005051B3">
            <w:pPr>
              <w:pStyle w:val="LetPub52TableBody"/>
              <w:jc w:val="center"/>
              <w:rPr>
                <w:rFonts w:eastAsia="微软雅黑"/>
                <w:kern w:val="24"/>
              </w:rPr>
            </w:pPr>
            <w:r>
              <w:rPr>
                <w:rFonts w:eastAsia="微软雅黑"/>
                <w:kern w:val="24"/>
              </w:rPr>
              <w:t>41.6</w:t>
            </w:r>
          </w:p>
        </w:tc>
        <w:tc>
          <w:tcPr>
            <w:tcW w:w="989" w:type="pct"/>
            <w:tcBorders>
              <w:top w:val="nil"/>
              <w:bottom w:val="nil"/>
            </w:tcBorders>
            <w:vAlign w:val="center"/>
          </w:tcPr>
          <w:p w14:paraId="7DC99D95" w14:textId="77777777" w:rsidR="005011E5" w:rsidRDefault="005051B3">
            <w:pPr>
              <w:pStyle w:val="LetPub52TableBody"/>
              <w:jc w:val="center"/>
              <w:rPr>
                <w:rFonts w:eastAsia="微软雅黑"/>
                <w:kern w:val="24"/>
              </w:rPr>
            </w:pPr>
            <w:r>
              <w:rPr>
                <w:rFonts w:eastAsiaTheme="minorEastAsia"/>
              </w:rPr>
              <w:t>0</w:t>
            </w:r>
          </w:p>
        </w:tc>
      </w:tr>
      <w:tr w:rsidR="005011E5" w14:paraId="4BB388A9" w14:textId="77777777">
        <w:trPr>
          <w:jc w:val="center"/>
        </w:trPr>
        <w:tc>
          <w:tcPr>
            <w:tcW w:w="2173" w:type="pct"/>
            <w:tcBorders>
              <w:top w:val="nil"/>
            </w:tcBorders>
            <w:vAlign w:val="center"/>
          </w:tcPr>
          <w:p w14:paraId="731E08E6" w14:textId="77777777" w:rsidR="005011E5" w:rsidRDefault="005051B3">
            <w:pPr>
              <w:pStyle w:val="LetPub52TableBody"/>
              <w:jc w:val="center"/>
              <w:rPr>
                <w:rFonts w:eastAsia="微软雅黑"/>
                <w:kern w:val="24"/>
              </w:rPr>
            </w:pPr>
            <w:r>
              <w:rPr>
                <w:rFonts w:eastAsia="微软雅黑"/>
                <w:kern w:val="24"/>
              </w:rPr>
              <w:t>1Pt/10Co/Al</w:t>
            </w:r>
            <w:r>
              <w:rPr>
                <w:rFonts w:eastAsia="微软雅黑"/>
                <w:kern w:val="24"/>
                <w:vertAlign w:val="subscript"/>
              </w:rPr>
              <w:t>2</w:t>
            </w:r>
            <w:r>
              <w:rPr>
                <w:rFonts w:eastAsia="微软雅黑"/>
                <w:kern w:val="24"/>
              </w:rPr>
              <w:t>O</w:t>
            </w:r>
            <w:r>
              <w:rPr>
                <w:rFonts w:eastAsia="微软雅黑"/>
                <w:kern w:val="24"/>
                <w:vertAlign w:val="subscript"/>
              </w:rPr>
              <w:t>3</w:t>
            </w:r>
            <w:r>
              <w:rPr>
                <w:rFonts w:eastAsia="微软雅黑"/>
                <w:kern w:val="24"/>
              </w:rPr>
              <w:t xml:space="preserve"> before reduction</w:t>
            </w:r>
            <w:r>
              <w:t xml:space="preserve"> </w:t>
            </w:r>
            <w:r>
              <w:rPr>
                <w:rFonts w:eastAsiaTheme="minorEastAsia"/>
                <w:vertAlign w:val="superscript"/>
              </w:rPr>
              <w:t>b</w:t>
            </w:r>
          </w:p>
        </w:tc>
        <w:tc>
          <w:tcPr>
            <w:tcW w:w="848" w:type="pct"/>
            <w:tcBorders>
              <w:top w:val="nil"/>
            </w:tcBorders>
            <w:vAlign w:val="center"/>
          </w:tcPr>
          <w:p w14:paraId="624851E5" w14:textId="77777777" w:rsidR="005011E5" w:rsidRDefault="005051B3">
            <w:pPr>
              <w:pStyle w:val="LetPub52TableBody"/>
              <w:jc w:val="center"/>
              <w:rPr>
                <w:rFonts w:eastAsia="微软雅黑"/>
                <w:kern w:val="24"/>
              </w:rPr>
            </w:pPr>
            <w:r>
              <w:rPr>
                <w:rFonts w:eastAsia="微软雅黑"/>
                <w:kern w:val="24"/>
              </w:rPr>
              <w:t>65.7</w:t>
            </w:r>
          </w:p>
        </w:tc>
        <w:tc>
          <w:tcPr>
            <w:tcW w:w="990" w:type="pct"/>
            <w:tcBorders>
              <w:top w:val="nil"/>
            </w:tcBorders>
            <w:vAlign w:val="center"/>
          </w:tcPr>
          <w:p w14:paraId="0B7A9F3A" w14:textId="77777777" w:rsidR="005011E5" w:rsidRDefault="005051B3">
            <w:pPr>
              <w:pStyle w:val="LetPub52TableBody"/>
              <w:jc w:val="center"/>
              <w:rPr>
                <w:rFonts w:eastAsia="微软雅黑"/>
                <w:kern w:val="24"/>
              </w:rPr>
            </w:pPr>
            <w:r>
              <w:rPr>
                <w:rFonts w:eastAsia="微软雅黑"/>
                <w:kern w:val="24"/>
              </w:rPr>
              <w:t>34.3</w:t>
            </w:r>
          </w:p>
        </w:tc>
        <w:tc>
          <w:tcPr>
            <w:tcW w:w="989" w:type="pct"/>
            <w:tcBorders>
              <w:top w:val="nil"/>
            </w:tcBorders>
            <w:vAlign w:val="center"/>
          </w:tcPr>
          <w:p w14:paraId="7A3B3029" w14:textId="77777777" w:rsidR="005011E5" w:rsidRDefault="005051B3">
            <w:pPr>
              <w:pStyle w:val="LetPub52TableBody"/>
              <w:jc w:val="center"/>
              <w:rPr>
                <w:rFonts w:eastAsia="微软雅黑"/>
                <w:kern w:val="24"/>
              </w:rPr>
            </w:pPr>
            <w:r>
              <w:rPr>
                <w:rFonts w:eastAsia="微软雅黑"/>
                <w:kern w:val="24"/>
              </w:rPr>
              <w:t>0</w:t>
            </w:r>
          </w:p>
        </w:tc>
      </w:tr>
    </w:tbl>
    <w:p w14:paraId="418E874C" w14:textId="57037DF6" w:rsidR="005011E5" w:rsidRDefault="005051B3">
      <w:pPr>
        <w:pStyle w:val="af"/>
        <w:numPr>
          <w:ilvl w:val="0"/>
          <w:numId w:val="1"/>
        </w:numPr>
        <w:spacing w:line="480" w:lineRule="auto"/>
        <w:ind w:firstLineChars="0"/>
        <w:rPr>
          <w:rFonts w:ascii="Times New Roman" w:hAnsi="Times New Roman" w:cs="Times New Roman"/>
          <w:szCs w:val="28"/>
        </w:rPr>
      </w:pPr>
      <w:r>
        <w:rPr>
          <w:rFonts w:ascii="Times New Roman" w:hAnsi="Times New Roman" w:cs="Times New Roman"/>
          <w:szCs w:val="28"/>
        </w:rPr>
        <w:t>The cobalt states were quantitatively analyzed via quasi-in situ H</w:t>
      </w:r>
      <w:r>
        <w:rPr>
          <w:rFonts w:ascii="Times New Roman" w:hAnsi="Times New Roman" w:cs="Times New Roman"/>
          <w:szCs w:val="28"/>
          <w:vertAlign w:val="subscript"/>
        </w:rPr>
        <w:t>2</w:t>
      </w:r>
      <w:r>
        <w:rPr>
          <w:rFonts w:ascii="Times New Roman" w:hAnsi="Times New Roman" w:cs="Times New Roman"/>
          <w:szCs w:val="28"/>
        </w:rPr>
        <w:t>-reduced Co 2p XPS spectral deconvolution (</w:t>
      </w:r>
      <w:r w:rsidRPr="007619A8">
        <w:rPr>
          <w:rFonts w:ascii="Times New Roman Bold" w:hAnsi="Times New Roman Bold" w:cs="Times New Roman Bold"/>
          <w:b/>
          <w:bCs/>
          <w:szCs w:val="28"/>
        </w:rPr>
        <w:t xml:space="preserve">Fig. </w:t>
      </w:r>
      <w:r w:rsidR="00F4658F">
        <w:rPr>
          <w:rFonts w:ascii="Times New Roman Bold" w:hAnsi="Times New Roman Bold" w:cs="Times New Roman Bold" w:hint="eastAsia"/>
          <w:b/>
          <w:bCs/>
          <w:szCs w:val="28"/>
        </w:rPr>
        <w:t>4</w:t>
      </w:r>
      <w:r>
        <w:rPr>
          <w:rFonts w:ascii="Times New Roman" w:hAnsi="Times New Roman" w:cs="Times New Roman"/>
          <w:szCs w:val="28"/>
        </w:rPr>
        <w:t>).</w:t>
      </w:r>
    </w:p>
    <w:p w14:paraId="13E94887" w14:textId="0F9BEBA9" w:rsidR="005011E5" w:rsidRDefault="005051B3">
      <w:pPr>
        <w:pStyle w:val="af"/>
        <w:numPr>
          <w:ilvl w:val="0"/>
          <w:numId w:val="1"/>
        </w:numPr>
        <w:spacing w:line="480" w:lineRule="auto"/>
        <w:ind w:firstLineChars="0"/>
        <w:rPr>
          <w:rFonts w:ascii="Times New Roman" w:hAnsi="Times New Roman" w:cs="Times New Roman"/>
          <w:szCs w:val="28"/>
        </w:rPr>
      </w:pPr>
      <w:r>
        <w:rPr>
          <w:rFonts w:ascii="Times New Roman" w:hAnsi="Times New Roman" w:cs="Times New Roman"/>
          <w:szCs w:val="28"/>
        </w:rPr>
        <w:t>The cobalt states were quantitatively analyzed via Co 2p XPS spectral deconvolution (</w:t>
      </w:r>
      <w:r w:rsidRPr="007619A8">
        <w:rPr>
          <w:rFonts w:ascii="Times New Roman Bold" w:hAnsi="Times New Roman Bold" w:cs="Times New Roman Bold"/>
          <w:b/>
          <w:bCs/>
          <w:szCs w:val="28"/>
        </w:rPr>
        <w:t xml:space="preserve">Fig. </w:t>
      </w:r>
      <w:r w:rsidR="00F4658F">
        <w:rPr>
          <w:rFonts w:ascii="Times New Roman Bold" w:hAnsi="Times New Roman Bold" w:cs="Times New Roman Bold" w:hint="eastAsia"/>
          <w:b/>
          <w:bCs/>
          <w:szCs w:val="28"/>
        </w:rPr>
        <w:t>4</w:t>
      </w:r>
      <w:r>
        <w:rPr>
          <w:rFonts w:ascii="Times New Roman" w:hAnsi="Times New Roman" w:cs="Times New Roman"/>
          <w:szCs w:val="28"/>
        </w:rPr>
        <w:t>).</w:t>
      </w:r>
    </w:p>
    <w:p w14:paraId="77901551" w14:textId="77777777" w:rsidR="005011E5" w:rsidRDefault="005011E5">
      <w:pPr>
        <w:spacing w:line="480" w:lineRule="auto"/>
        <w:rPr>
          <w:szCs w:val="28"/>
        </w:rPr>
        <w:sectPr w:rsidR="005011E5">
          <w:pgSz w:w="11906" w:h="16838"/>
          <w:pgMar w:top="1440" w:right="1800" w:bottom="1440" w:left="1800" w:header="851" w:footer="992" w:gutter="0"/>
          <w:cols w:space="425"/>
          <w:docGrid w:type="lines" w:linePitch="312"/>
        </w:sectPr>
      </w:pPr>
    </w:p>
    <w:p w14:paraId="6D8EC00E" w14:textId="77777777" w:rsidR="005011E5" w:rsidRDefault="005051B3">
      <w:pPr>
        <w:spacing w:line="480" w:lineRule="auto"/>
        <w:jc w:val="center"/>
        <w:rPr>
          <w:szCs w:val="28"/>
        </w:rPr>
      </w:pPr>
      <w:r>
        <w:rPr>
          <w:noProof/>
          <w:szCs w:val="28"/>
        </w:rPr>
        <w:lastRenderedPageBreak/>
        <w:drawing>
          <wp:inline distT="0" distB="0" distL="0" distR="0" wp14:anchorId="5D537E3E" wp14:editId="1B6355B0">
            <wp:extent cx="3491753" cy="300505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8"/>
                    <a:stretch>
                      <a:fillRect/>
                    </a:stretch>
                  </pic:blipFill>
                  <pic:spPr>
                    <a:xfrm>
                      <a:off x="0" y="0"/>
                      <a:ext cx="3497887" cy="3010329"/>
                    </a:xfrm>
                    <a:prstGeom prst="rect">
                      <a:avLst/>
                    </a:prstGeom>
                  </pic:spPr>
                </pic:pic>
              </a:graphicData>
            </a:graphic>
          </wp:inline>
        </w:drawing>
      </w:r>
    </w:p>
    <w:p w14:paraId="186ACE34" w14:textId="77777777" w:rsidR="005011E5" w:rsidRDefault="005051B3">
      <w:pPr>
        <w:spacing w:line="480" w:lineRule="auto"/>
      </w:pPr>
      <w:r>
        <w:rPr>
          <w:rFonts w:hint="eastAsia"/>
          <w:b/>
          <w:bCs/>
        </w:rPr>
        <w:t>Fig. S1.</w:t>
      </w:r>
      <w:r>
        <w:t xml:space="preserve"> Degree of dehydrogenation </w:t>
      </w:r>
      <w:r>
        <w:rPr>
          <w:rFonts w:hint="eastAsia"/>
        </w:rPr>
        <w:t>over</w:t>
      </w:r>
      <w:r>
        <w:t xml:space="preserve"> </w:t>
      </w:r>
      <w:proofErr w:type="spellStart"/>
      <w:r>
        <w:rPr>
          <w:rFonts w:hint="eastAsia"/>
          <w:i/>
          <w:iCs/>
        </w:rPr>
        <w:t>y</w:t>
      </w:r>
      <w:r>
        <w:t>C</w:t>
      </w:r>
      <w:r>
        <w:rPr>
          <w:rFonts w:hint="eastAsia"/>
        </w:rPr>
        <w:t>o</w:t>
      </w:r>
      <w:proofErr w:type="spellEnd"/>
      <w:r>
        <w:t>/A</w:t>
      </w:r>
      <w:r>
        <w:rPr>
          <w:rFonts w:hint="eastAsia"/>
        </w:rPr>
        <w:t>l</w:t>
      </w:r>
      <w:r>
        <w:rPr>
          <w:vertAlign w:val="subscript"/>
        </w:rPr>
        <w:t>2</w:t>
      </w:r>
      <w:r>
        <w:t>O</w:t>
      </w:r>
      <w:r>
        <w:rPr>
          <w:vertAlign w:val="subscript"/>
        </w:rPr>
        <w:t>3</w:t>
      </w:r>
      <w:r>
        <w:rPr>
          <w:rFonts w:hint="eastAsia"/>
        </w:rPr>
        <w:t xml:space="preserve"> </w:t>
      </w:r>
      <w:r>
        <w:t xml:space="preserve">(y = 0.5, 1, 3.3 and 10 </w:t>
      </w:r>
      <w:proofErr w:type="spellStart"/>
      <w:r>
        <w:t>wt</w:t>
      </w:r>
      <w:proofErr w:type="spellEnd"/>
      <w:r>
        <w:t>%).</w:t>
      </w:r>
      <w:r>
        <w:rPr>
          <w:rFonts w:hint="eastAsia"/>
        </w:rPr>
        <w:t xml:space="preserve"> </w:t>
      </w:r>
      <w:r>
        <w:t xml:space="preserve">Reaction conditions: a </w:t>
      </w:r>
      <w:proofErr w:type="gramStart"/>
      <w:r>
        <w:t>stainless steel</w:t>
      </w:r>
      <w:proofErr w:type="gramEnd"/>
      <w:r>
        <w:t xml:space="preserve"> batch reactor, 300 °C, 0.1 MPa, </w:t>
      </w:r>
      <w:r>
        <w:rPr>
          <w:rFonts w:hint="eastAsia"/>
        </w:rPr>
        <w:t>12</w:t>
      </w:r>
      <w:r>
        <w:t>00 rpm, 0.05 mol% Pt to substrate.</w:t>
      </w:r>
    </w:p>
    <w:p w14:paraId="33A87207" w14:textId="77777777" w:rsidR="005011E5" w:rsidRDefault="005011E5" w:rsidP="0085528B">
      <w:pPr>
        <w:spacing w:line="480" w:lineRule="auto"/>
        <w:rPr>
          <w:rFonts w:hint="eastAsia"/>
          <w:szCs w:val="28"/>
        </w:rPr>
        <w:sectPr w:rsidR="005011E5">
          <w:pgSz w:w="11906" w:h="16838"/>
          <w:pgMar w:top="1440" w:right="1800" w:bottom="1440" w:left="1800" w:header="851" w:footer="992" w:gutter="0"/>
          <w:cols w:space="425"/>
          <w:docGrid w:type="lines" w:linePitch="312"/>
        </w:sectPr>
      </w:pPr>
    </w:p>
    <w:p w14:paraId="602B55ED" w14:textId="77777777" w:rsidR="005011E5" w:rsidRDefault="005051B3">
      <w:pPr>
        <w:spacing w:line="480" w:lineRule="auto"/>
        <w:jc w:val="center"/>
        <w:rPr>
          <w:szCs w:val="28"/>
        </w:rPr>
      </w:pPr>
      <w:r>
        <w:rPr>
          <w:noProof/>
          <w:szCs w:val="28"/>
        </w:rPr>
        <w:lastRenderedPageBreak/>
        <w:drawing>
          <wp:inline distT="0" distB="0" distL="0" distR="0" wp14:anchorId="29CF4F6A" wp14:editId="78BD52C7">
            <wp:extent cx="3173506" cy="2729582"/>
            <wp:effectExtent l="0" t="0" r="825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a:stretch>
                      <a:fillRect/>
                    </a:stretch>
                  </pic:blipFill>
                  <pic:spPr>
                    <a:xfrm>
                      <a:off x="0" y="0"/>
                      <a:ext cx="3182935" cy="2737692"/>
                    </a:xfrm>
                    <a:prstGeom prst="rect">
                      <a:avLst/>
                    </a:prstGeom>
                  </pic:spPr>
                </pic:pic>
              </a:graphicData>
            </a:graphic>
          </wp:inline>
        </w:drawing>
      </w:r>
    </w:p>
    <w:p w14:paraId="798C47B3" w14:textId="77777777" w:rsidR="005011E5" w:rsidRDefault="005051B3">
      <w:pPr>
        <w:pStyle w:val="LetPub42FigureCaption"/>
        <w:spacing w:afterLines="0"/>
        <w:rPr>
          <w:szCs w:val="28"/>
        </w:rPr>
        <w:sectPr w:rsidR="005011E5">
          <w:pgSz w:w="11906" w:h="16838"/>
          <w:pgMar w:top="1440" w:right="1800" w:bottom="1440" w:left="1800" w:header="851" w:footer="992" w:gutter="0"/>
          <w:cols w:space="425"/>
          <w:docGrid w:type="lines" w:linePitch="312"/>
        </w:sectPr>
      </w:pPr>
      <w:r>
        <w:rPr>
          <w:b/>
          <w:bCs/>
        </w:rPr>
        <w:t>Fig</w:t>
      </w:r>
      <w:r>
        <w:rPr>
          <w:rFonts w:hint="eastAsia"/>
          <w:b/>
          <w:bCs/>
        </w:rPr>
        <w:t>.</w:t>
      </w:r>
      <w:r>
        <w:rPr>
          <w:b/>
          <w:bCs/>
        </w:rPr>
        <w:t xml:space="preserve"> S</w:t>
      </w:r>
      <w:r>
        <w:rPr>
          <w:rFonts w:hint="eastAsia"/>
          <w:b/>
          <w:bCs/>
        </w:rPr>
        <w:t>2.</w:t>
      </w:r>
      <w:r>
        <w:t xml:space="preserve"> Degree of dehydrogenation </w:t>
      </w:r>
      <w:r>
        <w:rPr>
          <w:rFonts w:hint="eastAsia"/>
        </w:rPr>
        <w:t>on</w:t>
      </w:r>
      <w:r>
        <w:t xml:space="preserve"> </w:t>
      </w:r>
      <w:r>
        <w:rPr>
          <w:rFonts w:hint="eastAsia"/>
        </w:rPr>
        <w:t>1</w:t>
      </w:r>
      <w:r>
        <w:t>Pt</w:t>
      </w:r>
      <w:r>
        <w:rPr>
          <w:rFonts w:hint="eastAsia"/>
        </w:rPr>
        <w:t>-1</w:t>
      </w:r>
      <w:r>
        <w:t>C</w:t>
      </w:r>
      <w:r>
        <w:rPr>
          <w:rFonts w:hint="eastAsia"/>
        </w:rPr>
        <w:t>o</w:t>
      </w:r>
      <w:r>
        <w:t>/A</w:t>
      </w:r>
      <w:r>
        <w:rPr>
          <w:rFonts w:hint="eastAsia"/>
        </w:rPr>
        <w:t>l</w:t>
      </w:r>
      <w:r>
        <w:rPr>
          <w:vertAlign w:val="subscript"/>
        </w:rPr>
        <w:t>2</w:t>
      </w:r>
      <w:r>
        <w:t>O</w:t>
      </w:r>
      <w:r>
        <w:rPr>
          <w:vertAlign w:val="subscript"/>
        </w:rPr>
        <w:t>3</w:t>
      </w:r>
      <w:r>
        <w:rPr>
          <w:rFonts w:hint="eastAsia"/>
          <w:vertAlign w:val="subscript"/>
        </w:rPr>
        <w:t xml:space="preserve"> </w:t>
      </w:r>
      <w:r>
        <w:rPr>
          <w:rFonts w:hint="eastAsia"/>
        </w:rPr>
        <w:t>and 1Co/1</w:t>
      </w:r>
      <w:r>
        <w:t>Pt/A</w:t>
      </w:r>
      <w:r>
        <w:rPr>
          <w:rFonts w:hint="eastAsia"/>
        </w:rPr>
        <w:t>l</w:t>
      </w:r>
      <w:r>
        <w:rPr>
          <w:vertAlign w:val="subscript"/>
        </w:rPr>
        <w:t>2</w:t>
      </w:r>
      <w:r>
        <w:t>O</w:t>
      </w:r>
      <w:r>
        <w:rPr>
          <w:vertAlign w:val="subscript"/>
        </w:rPr>
        <w:t>3</w:t>
      </w:r>
      <w:r>
        <w:rPr>
          <w:rFonts w:hint="eastAsia"/>
        </w:rPr>
        <w:t xml:space="preserve">. </w:t>
      </w:r>
      <w:r>
        <w:t xml:space="preserve">Reaction conditions: a </w:t>
      </w:r>
      <w:proofErr w:type="gramStart"/>
      <w:r>
        <w:t>stainless steel</w:t>
      </w:r>
      <w:proofErr w:type="gramEnd"/>
      <w:r>
        <w:t xml:space="preserve"> batch reactor, 300 °C, 0.1 MPa, </w:t>
      </w:r>
      <w:r>
        <w:rPr>
          <w:rFonts w:hint="eastAsia"/>
        </w:rPr>
        <w:t>12</w:t>
      </w:r>
      <w:r>
        <w:t>00 rpm, 0.05 mol% Pt to substrate.</w:t>
      </w:r>
    </w:p>
    <w:p w14:paraId="15A79FBB" w14:textId="77777777" w:rsidR="005011E5" w:rsidRDefault="005051B3">
      <w:pPr>
        <w:spacing w:line="480" w:lineRule="auto"/>
        <w:jc w:val="center"/>
        <w:rPr>
          <w:szCs w:val="28"/>
        </w:rPr>
      </w:pPr>
      <w:r>
        <w:rPr>
          <w:b/>
          <w:bCs/>
          <w:noProof/>
          <w:szCs w:val="28"/>
        </w:rPr>
        <w:lastRenderedPageBreak/>
        <w:drawing>
          <wp:inline distT="0" distB="0" distL="0" distR="0" wp14:anchorId="06BC06D9" wp14:editId="765F75D1">
            <wp:extent cx="3444875" cy="3415030"/>
            <wp:effectExtent l="0" t="0" r="317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44979" cy="3415633"/>
                    </a:xfrm>
                    <a:prstGeom prst="rect">
                      <a:avLst/>
                    </a:prstGeom>
                    <a:noFill/>
                  </pic:spPr>
                </pic:pic>
              </a:graphicData>
            </a:graphic>
          </wp:inline>
        </w:drawing>
      </w:r>
      <w:r>
        <w:rPr>
          <w:b/>
          <w:bCs/>
          <w:noProof/>
          <w:szCs w:val="28"/>
        </w:rPr>
        <w:drawing>
          <wp:inline distT="0" distB="0" distL="0" distR="0" wp14:anchorId="4737BB9A" wp14:editId="4024D358">
            <wp:extent cx="5131435" cy="341503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31592" cy="3415635"/>
                    </a:xfrm>
                    <a:prstGeom prst="rect">
                      <a:avLst/>
                    </a:prstGeom>
                    <a:noFill/>
                  </pic:spPr>
                </pic:pic>
              </a:graphicData>
            </a:graphic>
          </wp:inline>
        </w:drawing>
      </w:r>
    </w:p>
    <w:p w14:paraId="5AA78C98" w14:textId="77777777" w:rsidR="005011E5" w:rsidRDefault="005011E5">
      <w:pPr>
        <w:spacing w:line="480" w:lineRule="auto"/>
        <w:rPr>
          <w:szCs w:val="28"/>
        </w:rPr>
        <w:sectPr w:rsidR="005011E5">
          <w:pgSz w:w="11906" w:h="16838"/>
          <w:pgMar w:top="1440" w:right="1800" w:bottom="1440" w:left="1800" w:header="851" w:footer="992" w:gutter="0"/>
          <w:cols w:space="425"/>
          <w:docGrid w:type="lines" w:linePitch="312"/>
        </w:sectPr>
      </w:pPr>
    </w:p>
    <w:p w14:paraId="68C97DE1" w14:textId="77777777" w:rsidR="005011E5" w:rsidRDefault="005051B3">
      <w:pPr>
        <w:spacing w:line="480" w:lineRule="auto"/>
        <w:rPr>
          <w:szCs w:val="28"/>
        </w:rPr>
      </w:pPr>
      <w:r>
        <w:rPr>
          <w:b/>
          <w:bCs/>
          <w:noProof/>
          <w:szCs w:val="28"/>
        </w:rPr>
        <w:lastRenderedPageBreak/>
        <w:drawing>
          <wp:inline distT="0" distB="0" distL="0" distR="0" wp14:anchorId="5FCCACFC" wp14:editId="4A152D77">
            <wp:extent cx="5255895" cy="3622040"/>
            <wp:effectExtent l="0" t="0" r="1905"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56000" cy="3622144"/>
                    </a:xfrm>
                    <a:prstGeom prst="rect">
                      <a:avLst/>
                    </a:prstGeom>
                    <a:noFill/>
                  </pic:spPr>
                </pic:pic>
              </a:graphicData>
            </a:graphic>
          </wp:inline>
        </w:drawing>
      </w:r>
      <w:r>
        <w:rPr>
          <w:b/>
          <w:bCs/>
          <w:noProof/>
          <w:szCs w:val="28"/>
        </w:rPr>
        <w:drawing>
          <wp:inline distT="0" distB="0" distL="0" distR="0" wp14:anchorId="297E19FB" wp14:editId="65B76D4D">
            <wp:extent cx="5255895" cy="3592195"/>
            <wp:effectExtent l="0" t="0" r="1905" b="825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56000" cy="3592752"/>
                    </a:xfrm>
                    <a:prstGeom prst="rect">
                      <a:avLst/>
                    </a:prstGeom>
                    <a:noFill/>
                  </pic:spPr>
                </pic:pic>
              </a:graphicData>
            </a:graphic>
          </wp:inline>
        </w:drawing>
      </w:r>
    </w:p>
    <w:p w14:paraId="14EF18B4" w14:textId="77777777" w:rsidR="005011E5" w:rsidRDefault="005051B3" w:rsidP="007619A8">
      <w:pPr>
        <w:pStyle w:val="LetPub42FigureCaption"/>
        <w:spacing w:after="312"/>
      </w:pPr>
      <w:r>
        <w:rPr>
          <w:b/>
          <w:bCs/>
        </w:rPr>
        <w:t>Fig</w:t>
      </w:r>
      <w:r>
        <w:rPr>
          <w:rFonts w:hint="eastAsia"/>
          <w:b/>
          <w:bCs/>
        </w:rPr>
        <w:t>.</w:t>
      </w:r>
      <w:r>
        <w:rPr>
          <w:b/>
          <w:bCs/>
        </w:rPr>
        <w:t xml:space="preserve"> S</w:t>
      </w:r>
      <w:r>
        <w:rPr>
          <w:rFonts w:hint="eastAsia"/>
          <w:b/>
          <w:bCs/>
        </w:rPr>
        <w:t>3.</w:t>
      </w:r>
      <w:r>
        <w:t xml:space="preserve"> The corresponding energy disperse spectroscopy (EDS) mapping results of (a) 1Pt/Al</w:t>
      </w:r>
      <w:r>
        <w:rPr>
          <w:vertAlign w:val="subscript"/>
        </w:rPr>
        <w:t>2</w:t>
      </w:r>
      <w:r>
        <w:t>O</w:t>
      </w:r>
      <w:r>
        <w:rPr>
          <w:vertAlign w:val="subscript"/>
        </w:rPr>
        <w:t>3</w:t>
      </w:r>
      <w:r>
        <w:t>, (b) 1Pt/0.5Co/Al</w:t>
      </w:r>
      <w:r>
        <w:rPr>
          <w:vertAlign w:val="subscript"/>
        </w:rPr>
        <w:t>2</w:t>
      </w:r>
      <w:r>
        <w:t>O</w:t>
      </w:r>
      <w:r>
        <w:rPr>
          <w:vertAlign w:val="subscript"/>
        </w:rPr>
        <w:t>3</w:t>
      </w:r>
      <w:r>
        <w:t>, (c) 1Pt/1Co/Al</w:t>
      </w:r>
      <w:r>
        <w:rPr>
          <w:vertAlign w:val="subscript"/>
        </w:rPr>
        <w:t>2</w:t>
      </w:r>
      <w:r>
        <w:t>O</w:t>
      </w:r>
      <w:r>
        <w:rPr>
          <w:vertAlign w:val="subscript"/>
        </w:rPr>
        <w:t>3</w:t>
      </w:r>
      <w:r>
        <w:t xml:space="preserve">, and (d) </w:t>
      </w:r>
      <w:bookmarkStart w:id="9" w:name="OLE_LINK38"/>
      <w:r>
        <w:t>1Pt/10Co/Al</w:t>
      </w:r>
      <w:r>
        <w:rPr>
          <w:vertAlign w:val="subscript"/>
        </w:rPr>
        <w:t>2</w:t>
      </w:r>
      <w:r>
        <w:t>O</w:t>
      </w:r>
      <w:r>
        <w:rPr>
          <w:vertAlign w:val="subscript"/>
        </w:rPr>
        <w:t>3</w:t>
      </w:r>
      <w:r>
        <w:t>.</w:t>
      </w:r>
      <w:bookmarkEnd w:id="9"/>
    </w:p>
    <w:p w14:paraId="33935D73" w14:textId="77777777" w:rsidR="005011E5" w:rsidRDefault="005011E5">
      <w:pPr>
        <w:spacing w:line="480" w:lineRule="auto"/>
        <w:rPr>
          <w:szCs w:val="28"/>
        </w:rPr>
        <w:sectPr w:rsidR="005011E5">
          <w:pgSz w:w="11906" w:h="16838"/>
          <w:pgMar w:top="1440" w:right="1800" w:bottom="1440" w:left="1800" w:header="851" w:footer="992" w:gutter="0"/>
          <w:cols w:space="425"/>
          <w:docGrid w:type="lines" w:linePitch="312"/>
        </w:sectPr>
      </w:pPr>
    </w:p>
    <w:p w14:paraId="3774D720" w14:textId="77777777" w:rsidR="005011E5" w:rsidRDefault="005051B3">
      <w:pPr>
        <w:spacing w:line="480" w:lineRule="auto"/>
        <w:rPr>
          <w:szCs w:val="28"/>
        </w:rPr>
      </w:pPr>
      <w:r>
        <w:rPr>
          <w:noProof/>
        </w:rPr>
        <w:lastRenderedPageBreak/>
        <w:drawing>
          <wp:inline distT="0" distB="0" distL="0" distR="0" wp14:anchorId="48E908E0" wp14:editId="2F06546A">
            <wp:extent cx="5274310" cy="5274310"/>
            <wp:effectExtent l="0" t="0" r="2540" b="254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5274310" cy="5274310"/>
                    </a:xfrm>
                    <a:prstGeom prst="rect">
                      <a:avLst/>
                    </a:prstGeom>
                    <a:noFill/>
                    <a:ln>
                      <a:noFill/>
                    </a:ln>
                  </pic:spPr>
                </pic:pic>
              </a:graphicData>
            </a:graphic>
          </wp:inline>
        </w:drawing>
      </w:r>
    </w:p>
    <w:p w14:paraId="186DB201" w14:textId="77777777" w:rsidR="005011E5" w:rsidRDefault="005051B3" w:rsidP="007619A8">
      <w:pPr>
        <w:pStyle w:val="LetPub42FigureCaption"/>
        <w:spacing w:before="120" w:after="312"/>
      </w:pPr>
      <w:r>
        <w:rPr>
          <w:b/>
          <w:bCs/>
        </w:rPr>
        <w:t>Fig</w:t>
      </w:r>
      <w:r>
        <w:rPr>
          <w:rFonts w:hint="eastAsia"/>
          <w:b/>
          <w:bCs/>
        </w:rPr>
        <w:t>.</w:t>
      </w:r>
      <w:r>
        <w:rPr>
          <w:b/>
          <w:bCs/>
        </w:rPr>
        <w:t xml:space="preserve"> S</w:t>
      </w:r>
      <w:r>
        <w:rPr>
          <w:rFonts w:hint="eastAsia"/>
          <w:b/>
          <w:bCs/>
        </w:rPr>
        <w:t>4.</w:t>
      </w:r>
      <w:r>
        <w:t xml:space="preserve"> </w:t>
      </w:r>
      <w:bookmarkStart w:id="10" w:name="OLE_LINK33"/>
      <w:r>
        <w:t>HAADF-STEM image of 1Pt/1Co/Al</w:t>
      </w:r>
      <w:r>
        <w:rPr>
          <w:vertAlign w:val="subscript"/>
        </w:rPr>
        <w:t>2</w:t>
      </w:r>
      <w:r>
        <w:t>O</w:t>
      </w:r>
      <w:r>
        <w:rPr>
          <w:vertAlign w:val="subscript"/>
        </w:rPr>
        <w:t>3</w:t>
      </w:r>
      <w:bookmarkEnd w:id="10"/>
      <w:r>
        <w:rPr>
          <w:shd w:val="clear" w:color="auto" w:fill="FFFFFF"/>
        </w:rPr>
        <w:t>. No discernible lattice fringes were obtained from the TEM analysis</w:t>
      </w:r>
      <w:r>
        <w:t>.</w:t>
      </w:r>
    </w:p>
    <w:p w14:paraId="43529FDD" w14:textId="77777777" w:rsidR="005011E5" w:rsidRDefault="005011E5">
      <w:pPr>
        <w:spacing w:line="480" w:lineRule="auto"/>
        <w:rPr>
          <w:szCs w:val="28"/>
        </w:rPr>
        <w:sectPr w:rsidR="005011E5">
          <w:pgSz w:w="11906" w:h="16838"/>
          <w:pgMar w:top="1440" w:right="1800" w:bottom="1440" w:left="1800" w:header="851" w:footer="992" w:gutter="0"/>
          <w:cols w:space="425"/>
          <w:docGrid w:type="lines" w:linePitch="312"/>
        </w:sectPr>
      </w:pPr>
    </w:p>
    <w:p w14:paraId="53CBB069" w14:textId="77777777" w:rsidR="005011E5" w:rsidRDefault="005051B3">
      <w:pPr>
        <w:spacing w:line="480" w:lineRule="auto"/>
        <w:rPr>
          <w:szCs w:val="28"/>
        </w:rPr>
      </w:pPr>
      <w:r>
        <w:rPr>
          <w:b/>
          <w:bCs/>
          <w:noProof/>
          <w:szCs w:val="28"/>
        </w:rPr>
        <w:lastRenderedPageBreak/>
        <w:drawing>
          <wp:inline distT="0" distB="0" distL="0" distR="0" wp14:anchorId="20E13496" wp14:editId="7AAB1C4E">
            <wp:extent cx="5273040" cy="5271135"/>
            <wp:effectExtent l="0" t="0" r="3810" b="571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5"/>
                    <a:stretch>
                      <a:fillRect/>
                    </a:stretch>
                  </pic:blipFill>
                  <pic:spPr>
                    <a:xfrm>
                      <a:off x="0" y="0"/>
                      <a:ext cx="5273671" cy="5271135"/>
                    </a:xfrm>
                    <a:prstGeom prst="rect">
                      <a:avLst/>
                    </a:prstGeom>
                  </pic:spPr>
                </pic:pic>
              </a:graphicData>
            </a:graphic>
          </wp:inline>
        </w:drawing>
      </w:r>
    </w:p>
    <w:p w14:paraId="483B7ECA" w14:textId="77777777" w:rsidR="005011E5" w:rsidRDefault="005051B3" w:rsidP="007619A8">
      <w:pPr>
        <w:pStyle w:val="LetPub42FigureCaption"/>
        <w:spacing w:after="312"/>
      </w:pPr>
      <w:r>
        <w:rPr>
          <w:b/>
          <w:bCs/>
        </w:rPr>
        <w:t>Fig</w:t>
      </w:r>
      <w:r>
        <w:rPr>
          <w:rFonts w:hint="eastAsia"/>
          <w:b/>
          <w:bCs/>
        </w:rPr>
        <w:t>.</w:t>
      </w:r>
      <w:r>
        <w:rPr>
          <w:b/>
          <w:bCs/>
        </w:rPr>
        <w:t xml:space="preserve"> S</w:t>
      </w:r>
      <w:r>
        <w:rPr>
          <w:rFonts w:hint="eastAsia"/>
          <w:b/>
          <w:bCs/>
        </w:rPr>
        <w:t>5.</w:t>
      </w:r>
      <w:r>
        <w:t xml:space="preserve"> HAADF-STEM image of 1Pt/10Co/Al</w:t>
      </w:r>
      <w:r>
        <w:rPr>
          <w:vertAlign w:val="subscript"/>
        </w:rPr>
        <w:t>2</w:t>
      </w:r>
      <w:r>
        <w:t>O</w:t>
      </w:r>
      <w:r>
        <w:rPr>
          <w:vertAlign w:val="subscript"/>
        </w:rPr>
        <w:t xml:space="preserve">3 </w:t>
      </w:r>
      <w:r>
        <w:rPr>
          <w:shd w:val="clear" w:color="auto" w:fill="FFFFFF"/>
        </w:rPr>
        <w:t>(inset shows the image of well-defined lattice fringe (</w:t>
      </w:r>
      <w:r>
        <w:rPr>
          <w:i/>
          <w:iCs/>
          <w:shd w:val="clear" w:color="auto" w:fill="FFFFFF"/>
        </w:rPr>
        <w:t>d</w:t>
      </w:r>
      <w:r>
        <w:rPr>
          <w:shd w:val="clear" w:color="auto" w:fill="FFFFFF"/>
        </w:rPr>
        <w:t xml:space="preserve"> = 0.2</w:t>
      </w:r>
      <w:r>
        <w:rPr>
          <w:rFonts w:hint="eastAsia"/>
          <w:shd w:val="clear" w:color="auto" w:fill="FFFFFF"/>
        </w:rPr>
        <w:t>21</w:t>
      </w:r>
      <w:r>
        <w:rPr>
          <w:shd w:val="clear" w:color="auto" w:fill="FFFFFF"/>
        </w:rPr>
        <w:t xml:space="preserve"> nm) of Pt (111) plane)</w:t>
      </w:r>
      <w:r>
        <w:t>.</w:t>
      </w:r>
    </w:p>
    <w:p w14:paraId="2D7BF2A3" w14:textId="77777777" w:rsidR="005011E5" w:rsidRDefault="005011E5">
      <w:pPr>
        <w:spacing w:line="480" w:lineRule="auto"/>
        <w:rPr>
          <w:szCs w:val="28"/>
        </w:rPr>
        <w:sectPr w:rsidR="005011E5">
          <w:pgSz w:w="11906" w:h="16838"/>
          <w:pgMar w:top="1440" w:right="1800" w:bottom="1440" w:left="1800" w:header="851" w:footer="992" w:gutter="0"/>
          <w:cols w:space="425"/>
          <w:docGrid w:type="lines" w:linePitch="312"/>
        </w:sectPr>
      </w:pPr>
    </w:p>
    <w:p w14:paraId="0718163C" w14:textId="77777777" w:rsidR="005011E5" w:rsidRDefault="005051B3">
      <w:pPr>
        <w:spacing w:line="480" w:lineRule="auto"/>
        <w:rPr>
          <w:szCs w:val="28"/>
        </w:rPr>
      </w:pPr>
      <w:r>
        <w:rPr>
          <w:noProof/>
        </w:rPr>
        <w:lastRenderedPageBreak/>
        <w:drawing>
          <wp:inline distT="0" distB="0" distL="0" distR="0" wp14:anchorId="1169D6EC" wp14:editId="2466D582">
            <wp:extent cx="5347335" cy="3239770"/>
            <wp:effectExtent l="0" t="0" r="571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47875" cy="3240000"/>
                    </a:xfrm>
                    <a:prstGeom prst="rect">
                      <a:avLst/>
                    </a:prstGeom>
                  </pic:spPr>
                </pic:pic>
              </a:graphicData>
            </a:graphic>
          </wp:inline>
        </w:drawing>
      </w:r>
    </w:p>
    <w:p w14:paraId="4219A60E" w14:textId="77777777" w:rsidR="005011E5" w:rsidRDefault="005051B3">
      <w:pPr>
        <w:spacing w:line="480" w:lineRule="auto"/>
        <w:jc w:val="center"/>
        <w:rPr>
          <w:vertAlign w:val="subscript"/>
        </w:rPr>
        <w:sectPr w:rsidR="005011E5">
          <w:pgSz w:w="11906" w:h="16838"/>
          <w:pgMar w:top="1440" w:right="1800" w:bottom="1440" w:left="1800" w:header="851" w:footer="992" w:gutter="0"/>
          <w:cols w:space="425"/>
          <w:docGrid w:type="lines" w:linePitch="312"/>
        </w:sectPr>
      </w:pPr>
      <w:r>
        <w:rPr>
          <w:b/>
          <w:bCs/>
        </w:rPr>
        <w:t>Fig</w:t>
      </w:r>
      <w:r>
        <w:rPr>
          <w:rFonts w:hint="eastAsia"/>
          <w:b/>
          <w:bCs/>
        </w:rPr>
        <w:t>.</w:t>
      </w:r>
      <w:r>
        <w:rPr>
          <w:b/>
          <w:bCs/>
        </w:rPr>
        <w:t xml:space="preserve"> S</w:t>
      </w:r>
      <w:r>
        <w:rPr>
          <w:rFonts w:hint="eastAsia"/>
          <w:b/>
          <w:bCs/>
        </w:rPr>
        <w:t>6.</w:t>
      </w:r>
      <w:r>
        <w:t xml:space="preserve"> </w:t>
      </w:r>
      <w:bookmarkStart w:id="11" w:name="_Hlk220195585"/>
      <w:r>
        <w:t>The EDS line scan results of 1Pt/1Co/Al</w:t>
      </w:r>
      <w:r>
        <w:rPr>
          <w:vertAlign w:val="subscript"/>
        </w:rPr>
        <w:t>2</w:t>
      </w:r>
      <w:r>
        <w:t>O</w:t>
      </w:r>
      <w:r>
        <w:rPr>
          <w:vertAlign w:val="subscript"/>
        </w:rPr>
        <w:t>3.</w:t>
      </w:r>
      <w:bookmarkEnd w:id="11"/>
    </w:p>
    <w:p w14:paraId="6D045202" w14:textId="77777777" w:rsidR="005011E5" w:rsidRDefault="005051B3">
      <w:pPr>
        <w:spacing w:line="480" w:lineRule="auto"/>
        <w:jc w:val="center"/>
        <w:rPr>
          <w:vertAlign w:val="subscript"/>
        </w:rPr>
      </w:pPr>
      <w:r>
        <w:rPr>
          <w:noProof/>
          <w:vertAlign w:val="subscript"/>
        </w:rPr>
        <w:lastRenderedPageBreak/>
        <w:drawing>
          <wp:inline distT="0" distB="0" distL="0" distR="0" wp14:anchorId="1819916E" wp14:editId="0EC7FE12">
            <wp:extent cx="4320000" cy="3559077"/>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7"/>
                    <a:stretch>
                      <a:fillRect/>
                    </a:stretch>
                  </pic:blipFill>
                  <pic:spPr>
                    <a:xfrm>
                      <a:off x="0" y="0"/>
                      <a:ext cx="4320000" cy="3559077"/>
                    </a:xfrm>
                    <a:prstGeom prst="rect">
                      <a:avLst/>
                    </a:prstGeom>
                  </pic:spPr>
                </pic:pic>
              </a:graphicData>
            </a:graphic>
          </wp:inline>
        </w:drawing>
      </w:r>
    </w:p>
    <w:p w14:paraId="59CAF848" w14:textId="77777777" w:rsidR="005011E5" w:rsidRDefault="005051B3" w:rsidP="007619A8">
      <w:pPr>
        <w:spacing w:line="360" w:lineRule="auto"/>
      </w:pPr>
      <w:r>
        <w:rPr>
          <w:rFonts w:hint="eastAsia"/>
          <w:b/>
          <w:bCs/>
        </w:rPr>
        <w:t xml:space="preserve">Figure. </w:t>
      </w:r>
      <w:r>
        <w:rPr>
          <w:b/>
          <w:bCs/>
        </w:rPr>
        <w:t>S</w:t>
      </w:r>
      <w:r>
        <w:rPr>
          <w:rFonts w:hint="eastAsia"/>
          <w:b/>
          <w:bCs/>
        </w:rPr>
        <w:t>7.</w:t>
      </w:r>
      <w:r>
        <w:rPr>
          <w:rFonts w:hint="eastAsia"/>
        </w:rPr>
        <w:t xml:space="preserve"> </w:t>
      </w:r>
      <w:r>
        <w:t>I</w:t>
      </w:r>
      <w:r>
        <w:rPr>
          <w:rFonts w:hint="eastAsia"/>
        </w:rPr>
        <w:t>n</w:t>
      </w:r>
      <w:r>
        <w:t xml:space="preserve"> situ DRIFT spectra of CO adsorption</w:t>
      </w:r>
      <w:r>
        <w:rPr>
          <w:rFonts w:hint="eastAsia"/>
        </w:rPr>
        <w:t xml:space="preserve"> </w:t>
      </w:r>
      <w:r>
        <w:t xml:space="preserve">for the </w:t>
      </w:r>
      <w:proofErr w:type="spellStart"/>
      <w:r>
        <w:rPr>
          <w:rFonts w:hint="eastAsia"/>
          <w:i/>
          <w:iCs/>
        </w:rPr>
        <w:t>y</w:t>
      </w:r>
      <w:r>
        <w:t>C</w:t>
      </w:r>
      <w:r>
        <w:rPr>
          <w:rFonts w:hint="eastAsia"/>
        </w:rPr>
        <w:t>o</w:t>
      </w:r>
      <w:proofErr w:type="spellEnd"/>
      <w:r>
        <w:t>/A</w:t>
      </w:r>
      <w:r>
        <w:rPr>
          <w:rFonts w:hint="eastAsia"/>
        </w:rPr>
        <w:t>l</w:t>
      </w:r>
      <w:r>
        <w:rPr>
          <w:vertAlign w:val="subscript"/>
        </w:rPr>
        <w:t>2</w:t>
      </w:r>
      <w:r>
        <w:t>O</w:t>
      </w:r>
      <w:r>
        <w:rPr>
          <w:vertAlign w:val="subscript"/>
        </w:rPr>
        <w:t>3</w:t>
      </w:r>
      <w:r>
        <w:t xml:space="preserve"> (</w:t>
      </w:r>
      <w:r>
        <w:rPr>
          <w:i/>
          <w:iCs/>
        </w:rPr>
        <w:t>y</w:t>
      </w:r>
      <w:r>
        <w:t xml:space="preserve"> = 0.5, 1,</w:t>
      </w:r>
      <w:r>
        <w:rPr>
          <w:rFonts w:hint="eastAsia"/>
        </w:rPr>
        <w:t xml:space="preserve"> 3.3</w:t>
      </w:r>
      <w:r>
        <w:t xml:space="preserve"> and 10 </w:t>
      </w:r>
      <w:proofErr w:type="spellStart"/>
      <w:r>
        <w:t>wt</w:t>
      </w:r>
      <w:proofErr w:type="spellEnd"/>
      <w:r>
        <w:t xml:space="preserve"> %) </w:t>
      </w:r>
      <w:r>
        <w:rPr>
          <w:rFonts w:hint="eastAsia"/>
        </w:rPr>
        <w:t>cata</w:t>
      </w:r>
      <w:r>
        <w:t>lysts.</w:t>
      </w:r>
    </w:p>
    <w:p w14:paraId="5AA3CF2D" w14:textId="77777777" w:rsidR="005011E5" w:rsidRDefault="005011E5">
      <w:pPr>
        <w:spacing w:line="480" w:lineRule="auto"/>
        <w:jc w:val="center"/>
        <w:sectPr w:rsidR="005011E5">
          <w:pgSz w:w="11906" w:h="16838"/>
          <w:pgMar w:top="1440" w:right="1800" w:bottom="1440" w:left="1800" w:header="851" w:footer="992" w:gutter="0"/>
          <w:cols w:space="425"/>
          <w:docGrid w:type="lines" w:linePitch="312"/>
        </w:sectPr>
      </w:pPr>
    </w:p>
    <w:p w14:paraId="594FD633" w14:textId="77777777" w:rsidR="005011E5" w:rsidRDefault="005051B3" w:rsidP="00FE7CA3">
      <w:pPr>
        <w:pStyle w:val="LetPub42FigureCaption"/>
        <w:spacing w:afterLines="0"/>
        <w:jc w:val="center"/>
        <w:rPr>
          <w:b/>
          <w:bCs/>
        </w:rPr>
      </w:pPr>
      <w:r>
        <w:rPr>
          <w:b/>
          <w:bCs/>
          <w:noProof/>
          <w:szCs w:val="28"/>
        </w:rPr>
        <w:lastRenderedPageBreak/>
        <w:drawing>
          <wp:inline distT="0" distB="0" distL="0" distR="0" wp14:anchorId="449DC8B0" wp14:editId="7217FB43">
            <wp:extent cx="4320000" cy="3535156"/>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18"/>
                    <a:stretch>
                      <a:fillRect/>
                    </a:stretch>
                  </pic:blipFill>
                  <pic:spPr>
                    <a:xfrm>
                      <a:off x="0" y="0"/>
                      <a:ext cx="4320000" cy="3535156"/>
                    </a:xfrm>
                    <a:prstGeom prst="rect">
                      <a:avLst/>
                    </a:prstGeom>
                  </pic:spPr>
                </pic:pic>
              </a:graphicData>
            </a:graphic>
          </wp:inline>
        </w:drawing>
      </w:r>
      <w:bookmarkStart w:id="12" w:name="OLE_LINK41"/>
    </w:p>
    <w:p w14:paraId="66D94F19" w14:textId="77777777" w:rsidR="005011E5" w:rsidRDefault="005051B3">
      <w:pPr>
        <w:pStyle w:val="LetPub42FigureCaption"/>
        <w:spacing w:after="312"/>
        <w:jc w:val="center"/>
      </w:pPr>
      <w:r>
        <w:rPr>
          <w:b/>
          <w:bCs/>
        </w:rPr>
        <w:t>Fig</w:t>
      </w:r>
      <w:r>
        <w:rPr>
          <w:rFonts w:hint="eastAsia"/>
          <w:b/>
          <w:bCs/>
        </w:rPr>
        <w:t>.</w:t>
      </w:r>
      <w:r>
        <w:rPr>
          <w:b/>
          <w:bCs/>
        </w:rPr>
        <w:t xml:space="preserve"> S</w:t>
      </w:r>
      <w:r>
        <w:rPr>
          <w:rFonts w:hint="eastAsia"/>
          <w:b/>
          <w:bCs/>
        </w:rPr>
        <w:t>8.</w:t>
      </w:r>
      <w:r>
        <w:t xml:space="preserve"> </w:t>
      </w:r>
      <w:bookmarkEnd w:id="12"/>
      <w:r>
        <w:t>Vibrational frequency of linear CO adsorbed on 1Pt/</w:t>
      </w:r>
      <w:proofErr w:type="spellStart"/>
      <w:r>
        <w:rPr>
          <w:i/>
          <w:iCs/>
        </w:rPr>
        <w:t>y</w:t>
      </w:r>
      <w:r>
        <w:t>Co</w:t>
      </w:r>
      <w:proofErr w:type="spellEnd"/>
      <w:r>
        <w:t>/Al</w:t>
      </w:r>
      <w:r>
        <w:rPr>
          <w:vertAlign w:val="subscript"/>
        </w:rPr>
        <w:t>2</w:t>
      </w:r>
      <w:r>
        <w:t>O</w:t>
      </w:r>
      <w:r>
        <w:rPr>
          <w:vertAlign w:val="subscript"/>
        </w:rPr>
        <w:t>3</w:t>
      </w:r>
      <w:r>
        <w:t>.</w:t>
      </w:r>
    </w:p>
    <w:p w14:paraId="4EE9A415" w14:textId="77777777" w:rsidR="005011E5" w:rsidRDefault="005011E5">
      <w:pPr>
        <w:spacing w:line="480" w:lineRule="auto"/>
        <w:rPr>
          <w:vertAlign w:val="subscript"/>
        </w:rPr>
      </w:pPr>
    </w:p>
    <w:p w14:paraId="744896C3" w14:textId="77777777" w:rsidR="005011E5" w:rsidRDefault="005051B3">
      <w:pPr>
        <w:jc w:val="center"/>
        <w:rPr>
          <w:szCs w:val="28"/>
        </w:rPr>
      </w:pPr>
      <w:r>
        <w:rPr>
          <w:noProof/>
          <w:szCs w:val="28"/>
        </w:rPr>
        <w:drawing>
          <wp:inline distT="0" distB="0" distL="0" distR="0" wp14:anchorId="5EF76623" wp14:editId="76FC182E">
            <wp:extent cx="4545149" cy="2520000"/>
            <wp:effectExtent l="0" t="0" r="8255"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9"/>
                    <a:stretch>
                      <a:fillRect/>
                    </a:stretch>
                  </pic:blipFill>
                  <pic:spPr>
                    <a:xfrm>
                      <a:off x="0" y="0"/>
                      <a:ext cx="4545149" cy="2520000"/>
                    </a:xfrm>
                    <a:prstGeom prst="rect">
                      <a:avLst/>
                    </a:prstGeom>
                  </pic:spPr>
                </pic:pic>
              </a:graphicData>
            </a:graphic>
          </wp:inline>
        </w:drawing>
      </w:r>
    </w:p>
    <w:p w14:paraId="1FCCAE94" w14:textId="77777777" w:rsidR="005011E5" w:rsidRDefault="005051B3">
      <w:pPr>
        <w:spacing w:line="360" w:lineRule="auto"/>
        <w:rPr>
          <w:szCs w:val="21"/>
        </w:rPr>
      </w:pPr>
      <w:r>
        <w:rPr>
          <w:b/>
          <w:bCs/>
          <w:szCs w:val="28"/>
        </w:rPr>
        <w:t>Fig</w:t>
      </w:r>
      <w:r>
        <w:rPr>
          <w:rFonts w:hint="eastAsia"/>
          <w:b/>
          <w:bCs/>
        </w:rPr>
        <w:t xml:space="preserve">. </w:t>
      </w:r>
      <w:r>
        <w:rPr>
          <w:b/>
          <w:bCs/>
          <w:szCs w:val="28"/>
        </w:rPr>
        <w:t>S</w:t>
      </w:r>
      <w:r>
        <w:rPr>
          <w:rFonts w:hint="eastAsia"/>
          <w:b/>
          <w:bCs/>
          <w:szCs w:val="28"/>
        </w:rPr>
        <w:t>9</w:t>
      </w:r>
      <w:r>
        <w:rPr>
          <w:b/>
          <w:bCs/>
          <w:szCs w:val="28"/>
        </w:rPr>
        <w:t>.</w:t>
      </w:r>
      <w:r>
        <w:rPr>
          <w:rFonts w:hint="eastAsia"/>
          <w:szCs w:val="21"/>
        </w:rPr>
        <w:t xml:space="preserve"> Top (above) and side (below) views of the (a) </w:t>
      </w:r>
      <w:r>
        <w:rPr>
          <w:szCs w:val="21"/>
        </w:rPr>
        <w:t>γ-</w:t>
      </w:r>
      <w:r>
        <w:rPr>
          <w:rFonts w:hint="eastAsia"/>
          <w:szCs w:val="21"/>
        </w:rPr>
        <w:t>Al</w:t>
      </w:r>
      <w:r>
        <w:rPr>
          <w:rFonts w:hint="eastAsia"/>
          <w:szCs w:val="21"/>
          <w:vertAlign w:val="subscript"/>
        </w:rPr>
        <w:t>2</w:t>
      </w:r>
      <w:r>
        <w:rPr>
          <w:rFonts w:hint="eastAsia"/>
          <w:szCs w:val="21"/>
        </w:rPr>
        <w:t>O</w:t>
      </w:r>
      <w:r>
        <w:rPr>
          <w:rFonts w:hint="eastAsia"/>
          <w:szCs w:val="21"/>
          <w:vertAlign w:val="subscript"/>
        </w:rPr>
        <w:t>3</w:t>
      </w:r>
      <w:r>
        <w:rPr>
          <w:rFonts w:hint="eastAsia"/>
          <w:szCs w:val="21"/>
        </w:rPr>
        <w:t xml:space="preserve">(100) and (b) </w:t>
      </w:r>
      <w:r>
        <w:rPr>
          <w:szCs w:val="21"/>
        </w:rPr>
        <w:t>Co</w:t>
      </w:r>
      <w:r>
        <w:rPr>
          <w:szCs w:val="21"/>
          <w:vertAlign w:val="subscript"/>
        </w:rPr>
        <w:t>10</w:t>
      </w:r>
      <w:r>
        <w:rPr>
          <w:szCs w:val="21"/>
        </w:rPr>
        <w:t>Pt</w:t>
      </w:r>
      <w:r>
        <w:rPr>
          <w:szCs w:val="21"/>
          <w:vertAlign w:val="subscript"/>
        </w:rPr>
        <w:t>6</w:t>
      </w:r>
      <w:r>
        <w:rPr>
          <w:szCs w:val="21"/>
        </w:rPr>
        <w:t>@γ-Al</w:t>
      </w:r>
      <w:r>
        <w:rPr>
          <w:szCs w:val="21"/>
          <w:vertAlign w:val="subscript"/>
        </w:rPr>
        <w:t>2</w:t>
      </w:r>
      <w:r>
        <w:rPr>
          <w:szCs w:val="21"/>
        </w:rPr>
        <w:t>O</w:t>
      </w:r>
      <w:r>
        <w:rPr>
          <w:szCs w:val="21"/>
          <w:vertAlign w:val="subscript"/>
        </w:rPr>
        <w:t>3</w:t>
      </w:r>
      <w:r>
        <w:rPr>
          <w:szCs w:val="21"/>
        </w:rPr>
        <w:t>(100)</w:t>
      </w:r>
      <w:r>
        <w:rPr>
          <w:rFonts w:hint="eastAsia"/>
          <w:szCs w:val="21"/>
        </w:rPr>
        <w:t xml:space="preserve"> surfaces (O: red, Al: pink, Pt: cyan, Co: light blue).</w:t>
      </w:r>
    </w:p>
    <w:p w14:paraId="0A52216F" w14:textId="77777777" w:rsidR="005011E5" w:rsidRDefault="005011E5">
      <w:pPr>
        <w:spacing w:line="480" w:lineRule="auto"/>
        <w:rPr>
          <w:vertAlign w:val="subscript"/>
        </w:rPr>
      </w:pPr>
    </w:p>
    <w:p w14:paraId="0BD9659C" w14:textId="77777777" w:rsidR="005011E5" w:rsidRDefault="005011E5">
      <w:pPr>
        <w:spacing w:line="480" w:lineRule="auto"/>
        <w:rPr>
          <w:vertAlign w:val="subscript"/>
        </w:rPr>
      </w:pPr>
    </w:p>
    <w:p w14:paraId="48DC462D" w14:textId="77777777" w:rsidR="005011E5" w:rsidRDefault="005011E5">
      <w:pPr>
        <w:spacing w:line="480" w:lineRule="auto"/>
        <w:rPr>
          <w:vertAlign w:val="subscript"/>
        </w:rPr>
        <w:sectPr w:rsidR="005011E5">
          <w:pgSz w:w="11906" w:h="16838"/>
          <w:pgMar w:top="1440" w:right="1800" w:bottom="1440" w:left="1800" w:header="851" w:footer="992" w:gutter="0"/>
          <w:cols w:space="425"/>
          <w:docGrid w:type="lines" w:linePitch="312"/>
        </w:sectPr>
      </w:pPr>
    </w:p>
    <w:p w14:paraId="457D1060" w14:textId="77777777" w:rsidR="005011E5" w:rsidRDefault="005051B3">
      <w:pPr>
        <w:spacing w:line="480" w:lineRule="auto"/>
        <w:jc w:val="center"/>
        <w:rPr>
          <w:vertAlign w:val="subscript"/>
        </w:rPr>
      </w:pPr>
      <w:r>
        <w:rPr>
          <w:rFonts w:hint="eastAsia"/>
          <w:noProof/>
          <w:vertAlign w:val="subscript"/>
        </w:rPr>
        <w:lastRenderedPageBreak/>
        <w:drawing>
          <wp:inline distT="0" distB="0" distL="0" distR="0" wp14:anchorId="727B541D" wp14:editId="542B0884">
            <wp:extent cx="5040000" cy="3866092"/>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20"/>
                    <a:stretch>
                      <a:fillRect/>
                    </a:stretch>
                  </pic:blipFill>
                  <pic:spPr>
                    <a:xfrm>
                      <a:off x="0" y="0"/>
                      <a:ext cx="5040000" cy="3866092"/>
                    </a:xfrm>
                    <a:prstGeom prst="rect">
                      <a:avLst/>
                    </a:prstGeom>
                  </pic:spPr>
                </pic:pic>
              </a:graphicData>
            </a:graphic>
          </wp:inline>
        </w:drawing>
      </w:r>
    </w:p>
    <w:p w14:paraId="69EA1F85" w14:textId="77777777" w:rsidR="005011E5" w:rsidRDefault="005051B3" w:rsidP="007619A8">
      <w:pPr>
        <w:spacing w:line="480" w:lineRule="auto"/>
        <w:rPr>
          <w:vertAlign w:val="subscript"/>
        </w:rPr>
        <w:sectPr w:rsidR="005011E5">
          <w:pgSz w:w="11906" w:h="16838"/>
          <w:pgMar w:top="1440" w:right="1800" w:bottom="1440" w:left="1800" w:header="851" w:footer="992" w:gutter="0"/>
          <w:cols w:space="425"/>
          <w:docGrid w:type="lines" w:linePitch="312"/>
        </w:sectPr>
      </w:pPr>
      <w:r>
        <w:rPr>
          <w:b/>
          <w:bCs/>
        </w:rPr>
        <w:t>Fig</w:t>
      </w:r>
      <w:r>
        <w:rPr>
          <w:rFonts w:hint="eastAsia"/>
          <w:b/>
          <w:bCs/>
        </w:rPr>
        <w:t>.</w:t>
      </w:r>
      <w:r>
        <w:rPr>
          <w:b/>
          <w:bCs/>
        </w:rPr>
        <w:t xml:space="preserve"> S</w:t>
      </w:r>
      <w:r>
        <w:rPr>
          <w:rFonts w:hint="eastAsia"/>
          <w:b/>
          <w:bCs/>
        </w:rPr>
        <w:t>10.</w:t>
      </w:r>
      <w:r>
        <w:t xml:space="preserve"> </w:t>
      </w:r>
      <w:r>
        <w:rPr>
          <w:rFonts w:hint="eastAsia"/>
          <w:szCs w:val="21"/>
        </w:rPr>
        <w:t xml:space="preserve">Hydrogen species </w:t>
      </w:r>
      <w:r>
        <w:rPr>
          <w:szCs w:val="21"/>
        </w:rPr>
        <w:t>adsorption</w:t>
      </w:r>
      <w:r>
        <w:rPr>
          <w:rFonts w:hint="eastAsia"/>
          <w:szCs w:val="21"/>
        </w:rPr>
        <w:t xml:space="preserve"> on both the pure and electron-sufficient </w:t>
      </w:r>
      <w:proofErr w:type="gramStart"/>
      <w:r>
        <w:rPr>
          <w:rFonts w:hint="eastAsia"/>
          <w:szCs w:val="21"/>
        </w:rPr>
        <w:t>Pt(</w:t>
      </w:r>
      <w:proofErr w:type="gramEnd"/>
      <w:r>
        <w:rPr>
          <w:rFonts w:hint="eastAsia"/>
          <w:szCs w:val="21"/>
        </w:rPr>
        <w:t>111) surface.</w:t>
      </w:r>
    </w:p>
    <w:p w14:paraId="55C819B1" w14:textId="77777777" w:rsidR="005011E5" w:rsidRDefault="005051B3">
      <w:pPr>
        <w:spacing w:line="480" w:lineRule="auto"/>
        <w:jc w:val="center"/>
        <w:rPr>
          <w:vertAlign w:val="subscript"/>
        </w:rPr>
      </w:pPr>
      <w:r>
        <w:rPr>
          <w:b/>
          <w:bCs/>
          <w:noProof/>
          <w:szCs w:val="28"/>
        </w:rPr>
        <w:lastRenderedPageBreak/>
        <w:drawing>
          <wp:inline distT="0" distB="0" distL="0" distR="0" wp14:anchorId="1FE34A76" wp14:editId="6A973945">
            <wp:extent cx="3939988" cy="2954465"/>
            <wp:effectExtent l="0" t="0" r="381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942303" cy="2956201"/>
                    </a:xfrm>
                    <a:prstGeom prst="rect">
                      <a:avLst/>
                    </a:prstGeom>
                  </pic:spPr>
                </pic:pic>
              </a:graphicData>
            </a:graphic>
          </wp:inline>
        </w:drawing>
      </w:r>
    </w:p>
    <w:p w14:paraId="788E761C" w14:textId="77777777" w:rsidR="005011E5" w:rsidRDefault="005051B3" w:rsidP="007619A8">
      <w:pPr>
        <w:spacing w:line="480" w:lineRule="auto"/>
        <w:rPr>
          <w:szCs w:val="28"/>
        </w:rPr>
      </w:pPr>
      <w:bookmarkStart w:id="13" w:name="OLE_LINK42"/>
      <w:r>
        <w:rPr>
          <w:b/>
          <w:bCs/>
          <w:szCs w:val="28"/>
        </w:rPr>
        <w:t>Fig</w:t>
      </w:r>
      <w:r>
        <w:rPr>
          <w:rFonts w:hint="eastAsia"/>
          <w:b/>
          <w:bCs/>
        </w:rPr>
        <w:t xml:space="preserve">. </w:t>
      </w:r>
      <w:r>
        <w:rPr>
          <w:b/>
          <w:bCs/>
          <w:szCs w:val="28"/>
        </w:rPr>
        <w:t>S</w:t>
      </w:r>
      <w:r>
        <w:rPr>
          <w:rFonts w:hint="eastAsia"/>
          <w:b/>
          <w:bCs/>
          <w:szCs w:val="28"/>
        </w:rPr>
        <w:t>11</w:t>
      </w:r>
      <w:r>
        <w:rPr>
          <w:b/>
          <w:bCs/>
          <w:szCs w:val="28"/>
        </w:rPr>
        <w:t>.</w:t>
      </w:r>
      <w:bookmarkEnd w:id="13"/>
      <w:r>
        <w:rPr>
          <w:b/>
          <w:bCs/>
          <w:szCs w:val="28"/>
        </w:rPr>
        <w:t xml:space="preserve"> </w:t>
      </w:r>
      <w:r>
        <w:rPr>
          <w:szCs w:val="28"/>
        </w:rPr>
        <w:t>Correlation between H</w:t>
      </w:r>
      <w:r>
        <w:rPr>
          <w:szCs w:val="28"/>
          <w:vertAlign w:val="subscript"/>
        </w:rPr>
        <w:t>2</w:t>
      </w:r>
      <w:r>
        <w:rPr>
          <w:szCs w:val="28"/>
        </w:rPr>
        <w:t xml:space="preserve"> uptake and degree of hydrogenation over 1Pt/</w:t>
      </w:r>
      <w:proofErr w:type="spellStart"/>
      <w:r>
        <w:rPr>
          <w:i/>
          <w:iCs/>
          <w:szCs w:val="28"/>
        </w:rPr>
        <w:t>y</w:t>
      </w:r>
      <w:r>
        <w:rPr>
          <w:szCs w:val="28"/>
        </w:rPr>
        <w:t>Co</w:t>
      </w:r>
      <w:proofErr w:type="spellEnd"/>
      <w:r>
        <w:rPr>
          <w:szCs w:val="28"/>
        </w:rPr>
        <w:t>/Al</w:t>
      </w:r>
      <w:r>
        <w:rPr>
          <w:szCs w:val="28"/>
          <w:vertAlign w:val="subscript"/>
        </w:rPr>
        <w:t>2</w:t>
      </w:r>
      <w:r>
        <w:rPr>
          <w:szCs w:val="28"/>
        </w:rPr>
        <w:t>O</w:t>
      </w:r>
      <w:r>
        <w:rPr>
          <w:szCs w:val="28"/>
          <w:vertAlign w:val="subscript"/>
        </w:rPr>
        <w:t>3</w:t>
      </w:r>
      <w:r>
        <w:rPr>
          <w:szCs w:val="28"/>
        </w:rPr>
        <w:t xml:space="preserve"> (y = 0, 0.5, 1, 3.3, and 10 </w:t>
      </w:r>
      <w:proofErr w:type="spellStart"/>
      <w:r>
        <w:rPr>
          <w:szCs w:val="28"/>
        </w:rPr>
        <w:t>wt</w:t>
      </w:r>
      <w:proofErr w:type="spellEnd"/>
      <w:r>
        <w:rPr>
          <w:szCs w:val="28"/>
        </w:rPr>
        <w:t>%).</w:t>
      </w:r>
    </w:p>
    <w:p w14:paraId="034C5224" w14:textId="77777777" w:rsidR="005011E5" w:rsidRDefault="005011E5">
      <w:pPr>
        <w:rPr>
          <w:szCs w:val="28"/>
        </w:rPr>
        <w:sectPr w:rsidR="005011E5">
          <w:pgSz w:w="11906" w:h="16838"/>
          <w:pgMar w:top="1440" w:right="1800" w:bottom="1440" w:left="1800" w:header="851" w:footer="992" w:gutter="0"/>
          <w:cols w:space="425"/>
          <w:docGrid w:type="lines" w:linePitch="326"/>
        </w:sectPr>
      </w:pPr>
    </w:p>
    <w:p w14:paraId="21F7F045" w14:textId="77777777" w:rsidR="005011E5" w:rsidRDefault="005051B3">
      <w:pPr>
        <w:tabs>
          <w:tab w:val="left" w:pos="2148"/>
        </w:tabs>
        <w:jc w:val="center"/>
        <w:rPr>
          <w:szCs w:val="28"/>
        </w:rPr>
      </w:pPr>
      <w:r>
        <w:rPr>
          <w:noProof/>
          <w:szCs w:val="28"/>
        </w:rPr>
        <w:lastRenderedPageBreak/>
        <w:drawing>
          <wp:inline distT="0" distB="0" distL="0" distR="0" wp14:anchorId="061714E6" wp14:editId="030F0CAD">
            <wp:extent cx="2441375" cy="3339353"/>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22"/>
                    <a:stretch>
                      <a:fillRect/>
                    </a:stretch>
                  </pic:blipFill>
                  <pic:spPr>
                    <a:xfrm>
                      <a:off x="0" y="0"/>
                      <a:ext cx="2442599" cy="3341028"/>
                    </a:xfrm>
                    <a:prstGeom prst="rect">
                      <a:avLst/>
                    </a:prstGeom>
                  </pic:spPr>
                </pic:pic>
              </a:graphicData>
            </a:graphic>
          </wp:inline>
        </w:drawing>
      </w:r>
    </w:p>
    <w:p w14:paraId="3FC93B98" w14:textId="77777777" w:rsidR="005011E5" w:rsidRDefault="005051B3" w:rsidP="007619A8">
      <w:pPr>
        <w:spacing w:line="360" w:lineRule="auto"/>
        <w:jc w:val="center"/>
        <w:rPr>
          <w:szCs w:val="21"/>
        </w:rPr>
        <w:sectPr w:rsidR="005011E5">
          <w:pgSz w:w="11906" w:h="16838"/>
          <w:pgMar w:top="1440" w:right="1800" w:bottom="1440" w:left="1800" w:header="851" w:footer="992" w:gutter="0"/>
          <w:cols w:space="425"/>
          <w:docGrid w:type="lines" w:linePitch="326"/>
        </w:sectPr>
      </w:pPr>
      <w:r>
        <w:rPr>
          <w:b/>
          <w:bCs/>
          <w:szCs w:val="28"/>
        </w:rPr>
        <w:t>Fig</w:t>
      </w:r>
      <w:r>
        <w:rPr>
          <w:rFonts w:hint="eastAsia"/>
          <w:b/>
          <w:bCs/>
        </w:rPr>
        <w:t xml:space="preserve">. </w:t>
      </w:r>
      <w:r>
        <w:rPr>
          <w:b/>
          <w:bCs/>
          <w:szCs w:val="28"/>
        </w:rPr>
        <w:t>S</w:t>
      </w:r>
      <w:r>
        <w:rPr>
          <w:rFonts w:hint="eastAsia"/>
          <w:b/>
          <w:bCs/>
          <w:szCs w:val="28"/>
        </w:rPr>
        <w:t>12</w:t>
      </w:r>
      <w:r>
        <w:rPr>
          <w:b/>
          <w:bCs/>
          <w:szCs w:val="28"/>
        </w:rPr>
        <w:t>.</w:t>
      </w:r>
      <w:r>
        <w:rPr>
          <w:rFonts w:hint="eastAsia"/>
          <w:szCs w:val="21"/>
        </w:rPr>
        <w:t xml:space="preserve"> </w:t>
      </w:r>
      <w:bookmarkStart w:id="14" w:name="OLE_LINK43"/>
      <w:r>
        <w:rPr>
          <w:szCs w:val="21"/>
        </w:rPr>
        <w:t xml:space="preserve">Top (above) and side (bottom) views of the </w:t>
      </w:r>
      <w:proofErr w:type="gramStart"/>
      <w:r>
        <w:rPr>
          <w:szCs w:val="21"/>
        </w:rPr>
        <w:t>Pt(</w:t>
      </w:r>
      <w:proofErr w:type="gramEnd"/>
      <w:r>
        <w:rPr>
          <w:szCs w:val="21"/>
        </w:rPr>
        <w:t>111) surface.</w:t>
      </w:r>
      <w:bookmarkEnd w:id="14"/>
    </w:p>
    <w:p w14:paraId="26000D5D" w14:textId="77777777" w:rsidR="005011E5" w:rsidRDefault="005051B3">
      <w:pPr>
        <w:pStyle w:val="LetPub71References"/>
        <w:tabs>
          <w:tab w:val="left" w:pos="2148"/>
        </w:tabs>
        <w:spacing w:before="326" w:after="326"/>
        <w:rPr>
          <w:rFonts w:eastAsiaTheme="minorEastAsia"/>
        </w:rPr>
      </w:pPr>
      <w:r>
        <w:lastRenderedPageBreak/>
        <w:t>Supplementary</w:t>
      </w:r>
      <w:r>
        <w:rPr>
          <w:rFonts w:eastAsiaTheme="minorEastAsia" w:hint="eastAsia"/>
        </w:rPr>
        <w:t xml:space="preserve"> </w:t>
      </w:r>
      <w:r>
        <w:rPr>
          <w:rFonts w:hint="eastAsia"/>
        </w:rPr>
        <w:t xml:space="preserve">References </w:t>
      </w:r>
      <w:r>
        <w:tab/>
      </w:r>
    </w:p>
    <w:p w14:paraId="6B0D65C6" w14:textId="77777777" w:rsidR="005011E5" w:rsidRDefault="005051B3">
      <w:pPr>
        <w:spacing w:line="480" w:lineRule="auto"/>
        <w:rPr>
          <w:rFonts w:eastAsiaTheme="minorEastAsia"/>
        </w:rPr>
      </w:pPr>
      <w:r>
        <w:rPr>
          <w:rFonts w:eastAsiaTheme="minorEastAsia"/>
        </w:rPr>
        <w:t xml:space="preserve">[S1] G. Kresse; J. </w:t>
      </w:r>
      <w:proofErr w:type="spellStart"/>
      <w:r>
        <w:rPr>
          <w:rFonts w:eastAsiaTheme="minorEastAsia"/>
        </w:rPr>
        <w:t>Furthmüller</w:t>
      </w:r>
      <w:proofErr w:type="spellEnd"/>
      <w:r>
        <w:rPr>
          <w:rFonts w:eastAsiaTheme="minorEastAsia"/>
        </w:rPr>
        <w:t>, Phys. Rev. B 54 (1996) 11169.</w:t>
      </w:r>
    </w:p>
    <w:p w14:paraId="7C065795" w14:textId="77777777" w:rsidR="005011E5" w:rsidRDefault="005051B3">
      <w:pPr>
        <w:spacing w:line="480" w:lineRule="auto"/>
        <w:rPr>
          <w:rFonts w:eastAsiaTheme="minorEastAsia"/>
        </w:rPr>
      </w:pPr>
      <w:r>
        <w:rPr>
          <w:rFonts w:eastAsiaTheme="minorEastAsia"/>
        </w:rPr>
        <w:t>[S2]</w:t>
      </w:r>
      <w:r>
        <w:rPr>
          <w:rFonts w:eastAsiaTheme="minorEastAsia" w:hint="eastAsia"/>
        </w:rPr>
        <w:t xml:space="preserve"> </w:t>
      </w:r>
      <w:r>
        <w:rPr>
          <w:rFonts w:eastAsiaTheme="minorEastAsia"/>
        </w:rPr>
        <w:t xml:space="preserve">G. Kresse; J. </w:t>
      </w:r>
      <w:proofErr w:type="spellStart"/>
      <w:r>
        <w:rPr>
          <w:rFonts w:eastAsiaTheme="minorEastAsia"/>
        </w:rPr>
        <w:t>Furthmüller</w:t>
      </w:r>
      <w:proofErr w:type="spellEnd"/>
      <w:r>
        <w:rPr>
          <w:rFonts w:eastAsiaTheme="minorEastAsia"/>
        </w:rPr>
        <w:t xml:space="preserve">, </w:t>
      </w:r>
      <w:proofErr w:type="spellStart"/>
      <w:r>
        <w:rPr>
          <w:rFonts w:eastAsiaTheme="minorEastAsia"/>
        </w:rPr>
        <w:t>Comput</w:t>
      </w:r>
      <w:proofErr w:type="spellEnd"/>
      <w:r>
        <w:rPr>
          <w:rFonts w:eastAsiaTheme="minorEastAsia"/>
        </w:rPr>
        <w:t>. Mater. Sci. 6 (1996) 15–50.</w:t>
      </w:r>
    </w:p>
    <w:p w14:paraId="1A5AFCAC" w14:textId="77777777" w:rsidR="005011E5" w:rsidRDefault="005051B3">
      <w:pPr>
        <w:spacing w:line="480" w:lineRule="auto"/>
        <w:rPr>
          <w:rFonts w:eastAsiaTheme="minorEastAsia"/>
        </w:rPr>
      </w:pPr>
      <w:r>
        <w:rPr>
          <w:rFonts w:eastAsiaTheme="minorEastAsia"/>
        </w:rPr>
        <w:t>[S3]</w:t>
      </w:r>
      <w:r>
        <w:rPr>
          <w:rFonts w:eastAsiaTheme="minorEastAsia" w:hint="eastAsia"/>
        </w:rPr>
        <w:t xml:space="preserve"> </w:t>
      </w:r>
      <w:r>
        <w:rPr>
          <w:rFonts w:eastAsiaTheme="minorEastAsia"/>
        </w:rPr>
        <w:t>G. Kresse; D. Joubert, Phys. Rev. B 59 (1999) 1758.</w:t>
      </w:r>
    </w:p>
    <w:p w14:paraId="2F9C0A9B" w14:textId="77777777" w:rsidR="005011E5" w:rsidRDefault="005051B3">
      <w:pPr>
        <w:spacing w:line="480" w:lineRule="auto"/>
        <w:rPr>
          <w:rFonts w:eastAsiaTheme="minorEastAsia"/>
        </w:rPr>
      </w:pPr>
      <w:r>
        <w:rPr>
          <w:rFonts w:eastAsiaTheme="minorEastAsia"/>
        </w:rPr>
        <w:t xml:space="preserve">[S4] P.E. </w:t>
      </w:r>
      <w:proofErr w:type="spellStart"/>
      <w:r>
        <w:rPr>
          <w:rFonts w:eastAsiaTheme="minorEastAsia"/>
        </w:rPr>
        <w:t>Blöchl</w:t>
      </w:r>
      <w:proofErr w:type="spellEnd"/>
      <w:r>
        <w:rPr>
          <w:rFonts w:eastAsiaTheme="minorEastAsia"/>
        </w:rPr>
        <w:t>, Phys. Rev. B 50 (1994) 17953.</w:t>
      </w:r>
    </w:p>
    <w:p w14:paraId="104FB806" w14:textId="77777777" w:rsidR="005011E5" w:rsidRDefault="005051B3">
      <w:pPr>
        <w:spacing w:line="480" w:lineRule="auto"/>
      </w:pPr>
      <w:r>
        <w:rPr>
          <w:rFonts w:eastAsiaTheme="minorEastAsia"/>
        </w:rPr>
        <w:t>[S5]</w:t>
      </w:r>
      <w:r>
        <w:rPr>
          <w:rFonts w:eastAsiaTheme="minorEastAsia" w:hint="eastAsia"/>
        </w:rPr>
        <w:t xml:space="preserve"> </w:t>
      </w:r>
      <w:r>
        <w:rPr>
          <w:rFonts w:eastAsiaTheme="minorEastAsia"/>
        </w:rPr>
        <w:t xml:space="preserve">S. Grimme; S. Ehrlich; L. Goerigk, J. </w:t>
      </w:r>
      <w:proofErr w:type="spellStart"/>
      <w:r>
        <w:rPr>
          <w:rFonts w:eastAsiaTheme="minorEastAsia"/>
        </w:rPr>
        <w:t>Comput</w:t>
      </w:r>
      <w:proofErr w:type="spellEnd"/>
      <w:r>
        <w:rPr>
          <w:rFonts w:eastAsiaTheme="minorEastAsia"/>
        </w:rPr>
        <w:t>. Chem. 32 (2011) 1456–1465.</w:t>
      </w:r>
      <w:bookmarkEnd w:id="0"/>
    </w:p>
    <w:sectPr w:rsidR="005011E5">
      <w:headerReference w:type="even" r:id="rId23"/>
      <w:headerReference w:type="default" r:id="rId24"/>
      <w:footerReference w:type="even" r:id="rId25"/>
      <w:footerReference w:type="default" r:id="rId26"/>
      <w:headerReference w:type="first" r:id="rId27"/>
      <w:footerReference w:type="first" r:id="rId28"/>
      <w:pgSz w:w="11907" w:h="16840"/>
      <w:pgMar w:top="1440" w:right="1797" w:bottom="1440" w:left="1797"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75E2A" w14:textId="77777777" w:rsidR="00D4296E" w:rsidRDefault="00D4296E">
      <w:r>
        <w:separator/>
      </w:r>
    </w:p>
  </w:endnote>
  <w:endnote w:type="continuationSeparator" w:id="0">
    <w:p w14:paraId="021D74AD" w14:textId="77777777" w:rsidR="00D4296E" w:rsidRDefault="00D42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Times New Roman Bold">
    <w:panose1 w:val="02020803070505020304"/>
    <w:charset w:val="00"/>
    <w:family w:val="auto"/>
    <w:pitch w:val="default"/>
    <w:sig w:usb0="E0000AFF" w:usb1="00007843" w:usb2="00000001" w:usb3="00000000" w:csb0="400001BF" w:csb1="DFF7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
      <w:docPartObj>
        <w:docPartGallery w:val="AutoText"/>
      </w:docPartObj>
    </w:sdtPr>
    <w:sdtEndPr>
      <w:rPr>
        <w:sz w:val="21"/>
        <w:szCs w:val="21"/>
      </w:rPr>
    </w:sdtEndPr>
    <w:sdtContent>
      <w:p w14:paraId="7C049111" w14:textId="77777777" w:rsidR="005011E5" w:rsidRDefault="005051B3">
        <w:pPr>
          <w:pStyle w:val="a5"/>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2</w:t>
        </w:r>
        <w:r>
          <w:rPr>
            <w:sz w:val="21"/>
            <w:szCs w:val="21"/>
          </w:rPr>
          <w:fldChar w:fldCharType="end"/>
        </w:r>
      </w:p>
    </w:sdtContent>
  </w:sdt>
  <w:p w14:paraId="563E3FF9" w14:textId="77777777" w:rsidR="005011E5" w:rsidRDefault="005011E5">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2C337" w14:textId="77777777" w:rsidR="005011E5" w:rsidRDefault="005011E5">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6601158"/>
      <w:docPartObj>
        <w:docPartGallery w:val="AutoText"/>
      </w:docPartObj>
    </w:sdtPr>
    <w:sdtEndPr/>
    <w:sdtContent>
      <w:p w14:paraId="08541D4E" w14:textId="77777777" w:rsidR="005011E5" w:rsidRDefault="005051B3">
        <w:pPr>
          <w:pStyle w:val="a5"/>
          <w:jc w:val="center"/>
        </w:pPr>
        <w:r>
          <w:fldChar w:fldCharType="begin"/>
        </w:r>
        <w:r>
          <w:instrText>PAGE   \* MERGEFORMAT</w:instrText>
        </w:r>
        <w:r>
          <w:fldChar w:fldCharType="separate"/>
        </w:r>
        <w:r>
          <w:rPr>
            <w:lang w:val="zh-CN"/>
          </w:rPr>
          <w:t>2</w:t>
        </w:r>
        <w:r>
          <w:fldChar w:fldCharType="end"/>
        </w:r>
      </w:p>
    </w:sdtContent>
  </w:sdt>
  <w:p w14:paraId="1DF4F475" w14:textId="77777777" w:rsidR="005011E5" w:rsidRDefault="005011E5">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72426" w14:textId="77777777" w:rsidR="005011E5" w:rsidRDefault="005011E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41E74" w14:textId="77777777" w:rsidR="00D4296E" w:rsidRDefault="00D4296E">
      <w:r>
        <w:separator/>
      </w:r>
    </w:p>
  </w:footnote>
  <w:footnote w:type="continuationSeparator" w:id="0">
    <w:p w14:paraId="5A79D58E" w14:textId="77777777" w:rsidR="00D4296E" w:rsidRDefault="00D429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27D49" w14:textId="77777777" w:rsidR="005011E5" w:rsidRDefault="005011E5">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D8690" w14:textId="77777777" w:rsidR="005011E5" w:rsidRDefault="005011E5">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63D08" w14:textId="77777777" w:rsidR="005011E5" w:rsidRDefault="005011E5">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811D53"/>
    <w:multiLevelType w:val="multilevel"/>
    <w:tmpl w:val="6A811D53"/>
    <w:lvl w:ilvl="0">
      <w:start w:val="1"/>
      <w:numFmt w:val="lowerLetter"/>
      <w:lvlText w:val="%1."/>
      <w:lvlJc w:val="left"/>
      <w:pPr>
        <w:ind w:left="840" w:hanging="360"/>
      </w:pPr>
      <w:rPr>
        <w:rFonts w:hint="default"/>
        <w:vertAlign w:val="superscrip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16cid:durableId="270820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E0ZmNjOThmNjcxODYxZTk1ZjY4ZDgzMWFiNGJjZWUifQ=="/>
  </w:docVars>
  <w:rsids>
    <w:rsidRoot w:val="007E4509"/>
    <w:rsid w:val="F4F5876C"/>
    <w:rsid w:val="00000AFD"/>
    <w:rsid w:val="00002B8C"/>
    <w:rsid w:val="00002D0E"/>
    <w:rsid w:val="00004B60"/>
    <w:rsid w:val="000124AB"/>
    <w:rsid w:val="00012E16"/>
    <w:rsid w:val="000135A0"/>
    <w:rsid w:val="0001637D"/>
    <w:rsid w:val="000221F1"/>
    <w:rsid w:val="000225F7"/>
    <w:rsid w:val="00025235"/>
    <w:rsid w:val="00030B91"/>
    <w:rsid w:val="000336A3"/>
    <w:rsid w:val="00035C23"/>
    <w:rsid w:val="00035D08"/>
    <w:rsid w:val="00036351"/>
    <w:rsid w:val="000369DD"/>
    <w:rsid w:val="000404A0"/>
    <w:rsid w:val="000444D1"/>
    <w:rsid w:val="000476E5"/>
    <w:rsid w:val="00047DBA"/>
    <w:rsid w:val="00051466"/>
    <w:rsid w:val="000548AF"/>
    <w:rsid w:val="00056248"/>
    <w:rsid w:val="0005728F"/>
    <w:rsid w:val="00066128"/>
    <w:rsid w:val="00070218"/>
    <w:rsid w:val="00071E54"/>
    <w:rsid w:val="00072CFA"/>
    <w:rsid w:val="00072D3F"/>
    <w:rsid w:val="000739D1"/>
    <w:rsid w:val="000740DA"/>
    <w:rsid w:val="00075455"/>
    <w:rsid w:val="0007666A"/>
    <w:rsid w:val="000807C3"/>
    <w:rsid w:val="00085CC4"/>
    <w:rsid w:val="00094DE9"/>
    <w:rsid w:val="00095A5D"/>
    <w:rsid w:val="000A02B3"/>
    <w:rsid w:val="000A0430"/>
    <w:rsid w:val="000A2F5C"/>
    <w:rsid w:val="000A307A"/>
    <w:rsid w:val="000A6A9C"/>
    <w:rsid w:val="000B0119"/>
    <w:rsid w:val="000B4137"/>
    <w:rsid w:val="000B66E5"/>
    <w:rsid w:val="000C08F3"/>
    <w:rsid w:val="000C1BED"/>
    <w:rsid w:val="000C1E7A"/>
    <w:rsid w:val="000C2148"/>
    <w:rsid w:val="000C2895"/>
    <w:rsid w:val="000C5CBE"/>
    <w:rsid w:val="000C73CB"/>
    <w:rsid w:val="000D293C"/>
    <w:rsid w:val="000D29C6"/>
    <w:rsid w:val="000D601A"/>
    <w:rsid w:val="000D6CF0"/>
    <w:rsid w:val="000E4599"/>
    <w:rsid w:val="000E5916"/>
    <w:rsid w:val="000E5ED1"/>
    <w:rsid w:val="000F1A8E"/>
    <w:rsid w:val="000F2451"/>
    <w:rsid w:val="000F6FF4"/>
    <w:rsid w:val="00100625"/>
    <w:rsid w:val="0010483D"/>
    <w:rsid w:val="00104E0C"/>
    <w:rsid w:val="00110309"/>
    <w:rsid w:val="00112F48"/>
    <w:rsid w:val="0011348A"/>
    <w:rsid w:val="00116D28"/>
    <w:rsid w:val="00117024"/>
    <w:rsid w:val="00117C89"/>
    <w:rsid w:val="00123085"/>
    <w:rsid w:val="001258DA"/>
    <w:rsid w:val="00127A5B"/>
    <w:rsid w:val="00130678"/>
    <w:rsid w:val="001322D8"/>
    <w:rsid w:val="00132B72"/>
    <w:rsid w:val="00134C89"/>
    <w:rsid w:val="001360CF"/>
    <w:rsid w:val="00136779"/>
    <w:rsid w:val="00140FAD"/>
    <w:rsid w:val="00141A37"/>
    <w:rsid w:val="00142DE3"/>
    <w:rsid w:val="00143BDD"/>
    <w:rsid w:val="00144994"/>
    <w:rsid w:val="00150A33"/>
    <w:rsid w:val="001520BC"/>
    <w:rsid w:val="00152E95"/>
    <w:rsid w:val="00156DB9"/>
    <w:rsid w:val="00175E56"/>
    <w:rsid w:val="0018608D"/>
    <w:rsid w:val="00190904"/>
    <w:rsid w:val="001948FA"/>
    <w:rsid w:val="00196A94"/>
    <w:rsid w:val="00196D16"/>
    <w:rsid w:val="001A3A38"/>
    <w:rsid w:val="001A48C7"/>
    <w:rsid w:val="001A7066"/>
    <w:rsid w:val="001B008E"/>
    <w:rsid w:val="001B175B"/>
    <w:rsid w:val="001B2891"/>
    <w:rsid w:val="001B4FFE"/>
    <w:rsid w:val="001B56E1"/>
    <w:rsid w:val="001C0517"/>
    <w:rsid w:val="001C2BBE"/>
    <w:rsid w:val="001C3203"/>
    <w:rsid w:val="001C4A40"/>
    <w:rsid w:val="001D2371"/>
    <w:rsid w:val="001D2B3B"/>
    <w:rsid w:val="001D75BE"/>
    <w:rsid w:val="001E2BFE"/>
    <w:rsid w:val="001E4B71"/>
    <w:rsid w:val="001E4ECE"/>
    <w:rsid w:val="001E7601"/>
    <w:rsid w:val="001E77CC"/>
    <w:rsid w:val="001F00FE"/>
    <w:rsid w:val="001F3C96"/>
    <w:rsid w:val="001F5C9B"/>
    <w:rsid w:val="001F6A80"/>
    <w:rsid w:val="002023EF"/>
    <w:rsid w:val="0020330B"/>
    <w:rsid w:val="00206825"/>
    <w:rsid w:val="00207944"/>
    <w:rsid w:val="002135DE"/>
    <w:rsid w:val="00220BD2"/>
    <w:rsid w:val="00223331"/>
    <w:rsid w:val="00223F1B"/>
    <w:rsid w:val="00225E74"/>
    <w:rsid w:val="002260E2"/>
    <w:rsid w:val="00230AE9"/>
    <w:rsid w:val="002322B2"/>
    <w:rsid w:val="002361FD"/>
    <w:rsid w:val="0023631F"/>
    <w:rsid w:val="00237DF2"/>
    <w:rsid w:val="0024183C"/>
    <w:rsid w:val="00244140"/>
    <w:rsid w:val="002462D6"/>
    <w:rsid w:val="00250598"/>
    <w:rsid w:val="002526AC"/>
    <w:rsid w:val="00253C63"/>
    <w:rsid w:val="00262BF8"/>
    <w:rsid w:val="00264226"/>
    <w:rsid w:val="002716E2"/>
    <w:rsid w:val="00282B59"/>
    <w:rsid w:val="00291807"/>
    <w:rsid w:val="00297C5E"/>
    <w:rsid w:val="00297EC1"/>
    <w:rsid w:val="002A4FF0"/>
    <w:rsid w:val="002A5040"/>
    <w:rsid w:val="002A5891"/>
    <w:rsid w:val="002A6341"/>
    <w:rsid w:val="002A7EE7"/>
    <w:rsid w:val="002B0316"/>
    <w:rsid w:val="002B0FBF"/>
    <w:rsid w:val="002B71C1"/>
    <w:rsid w:val="002B7CA8"/>
    <w:rsid w:val="002C19A4"/>
    <w:rsid w:val="002C3BFF"/>
    <w:rsid w:val="002C53A4"/>
    <w:rsid w:val="002C73ED"/>
    <w:rsid w:val="002D0861"/>
    <w:rsid w:val="002D28F7"/>
    <w:rsid w:val="002D2F1E"/>
    <w:rsid w:val="002D5E9D"/>
    <w:rsid w:val="002D75BA"/>
    <w:rsid w:val="002E093E"/>
    <w:rsid w:val="002E2049"/>
    <w:rsid w:val="002E3034"/>
    <w:rsid w:val="002F6677"/>
    <w:rsid w:val="00300CE1"/>
    <w:rsid w:val="00303D06"/>
    <w:rsid w:val="003077F7"/>
    <w:rsid w:val="00307DD3"/>
    <w:rsid w:val="00311F13"/>
    <w:rsid w:val="00314E74"/>
    <w:rsid w:val="00317C0A"/>
    <w:rsid w:val="00322975"/>
    <w:rsid w:val="00323BCC"/>
    <w:rsid w:val="00330A8D"/>
    <w:rsid w:val="003324AF"/>
    <w:rsid w:val="00332776"/>
    <w:rsid w:val="003360E0"/>
    <w:rsid w:val="0034042E"/>
    <w:rsid w:val="00340BB6"/>
    <w:rsid w:val="00340F1A"/>
    <w:rsid w:val="00347363"/>
    <w:rsid w:val="00347B89"/>
    <w:rsid w:val="00351E99"/>
    <w:rsid w:val="0035384B"/>
    <w:rsid w:val="00356970"/>
    <w:rsid w:val="00356A27"/>
    <w:rsid w:val="00357DCE"/>
    <w:rsid w:val="00360930"/>
    <w:rsid w:val="003628B4"/>
    <w:rsid w:val="00366494"/>
    <w:rsid w:val="003756A2"/>
    <w:rsid w:val="00375EF3"/>
    <w:rsid w:val="00380504"/>
    <w:rsid w:val="00381319"/>
    <w:rsid w:val="0038231A"/>
    <w:rsid w:val="00383B67"/>
    <w:rsid w:val="00385AB0"/>
    <w:rsid w:val="0038622A"/>
    <w:rsid w:val="00390CD3"/>
    <w:rsid w:val="00395A46"/>
    <w:rsid w:val="003A3B6F"/>
    <w:rsid w:val="003A57FA"/>
    <w:rsid w:val="003A5AE0"/>
    <w:rsid w:val="003A723C"/>
    <w:rsid w:val="003B17EE"/>
    <w:rsid w:val="003B1C66"/>
    <w:rsid w:val="003B3925"/>
    <w:rsid w:val="003B47E0"/>
    <w:rsid w:val="003B5041"/>
    <w:rsid w:val="003C07D9"/>
    <w:rsid w:val="003C0DA2"/>
    <w:rsid w:val="003C3B1C"/>
    <w:rsid w:val="003D5238"/>
    <w:rsid w:val="003E062D"/>
    <w:rsid w:val="003E1331"/>
    <w:rsid w:val="003E3FE8"/>
    <w:rsid w:val="003E5576"/>
    <w:rsid w:val="003E58EB"/>
    <w:rsid w:val="003E6D42"/>
    <w:rsid w:val="003E7587"/>
    <w:rsid w:val="003E784D"/>
    <w:rsid w:val="003E798B"/>
    <w:rsid w:val="003F0693"/>
    <w:rsid w:val="003F3CF3"/>
    <w:rsid w:val="003F77B1"/>
    <w:rsid w:val="004001AA"/>
    <w:rsid w:val="0040298F"/>
    <w:rsid w:val="004128A6"/>
    <w:rsid w:val="004128C5"/>
    <w:rsid w:val="00417D46"/>
    <w:rsid w:val="004208EE"/>
    <w:rsid w:val="0042246F"/>
    <w:rsid w:val="0042291A"/>
    <w:rsid w:val="00423E03"/>
    <w:rsid w:val="00426F36"/>
    <w:rsid w:val="00431651"/>
    <w:rsid w:val="00432673"/>
    <w:rsid w:val="00434259"/>
    <w:rsid w:val="00435F1C"/>
    <w:rsid w:val="00436E5C"/>
    <w:rsid w:val="00440799"/>
    <w:rsid w:val="00440F79"/>
    <w:rsid w:val="004414BB"/>
    <w:rsid w:val="004416A2"/>
    <w:rsid w:val="0044318D"/>
    <w:rsid w:val="004432E7"/>
    <w:rsid w:val="00444157"/>
    <w:rsid w:val="00445AF6"/>
    <w:rsid w:val="00447024"/>
    <w:rsid w:val="004504CB"/>
    <w:rsid w:val="0045171E"/>
    <w:rsid w:val="00452ED3"/>
    <w:rsid w:val="00460ABC"/>
    <w:rsid w:val="004627E6"/>
    <w:rsid w:val="004641A0"/>
    <w:rsid w:val="00464305"/>
    <w:rsid w:val="00464F3C"/>
    <w:rsid w:val="00467CB8"/>
    <w:rsid w:val="00471199"/>
    <w:rsid w:val="004748B0"/>
    <w:rsid w:val="004759B3"/>
    <w:rsid w:val="00482367"/>
    <w:rsid w:val="0048600E"/>
    <w:rsid w:val="004908FE"/>
    <w:rsid w:val="004914C6"/>
    <w:rsid w:val="00495892"/>
    <w:rsid w:val="00496A3B"/>
    <w:rsid w:val="00497678"/>
    <w:rsid w:val="004A1095"/>
    <w:rsid w:val="004A3765"/>
    <w:rsid w:val="004A444E"/>
    <w:rsid w:val="004A4ED4"/>
    <w:rsid w:val="004A6D1C"/>
    <w:rsid w:val="004A7BC9"/>
    <w:rsid w:val="004B0372"/>
    <w:rsid w:val="004B0D10"/>
    <w:rsid w:val="004B4A0C"/>
    <w:rsid w:val="004B71CD"/>
    <w:rsid w:val="004C1104"/>
    <w:rsid w:val="004C193D"/>
    <w:rsid w:val="004C3FBE"/>
    <w:rsid w:val="004C553F"/>
    <w:rsid w:val="004D2377"/>
    <w:rsid w:val="004D45C1"/>
    <w:rsid w:val="004D5603"/>
    <w:rsid w:val="004E04CB"/>
    <w:rsid w:val="004E15D7"/>
    <w:rsid w:val="004E3C07"/>
    <w:rsid w:val="004E4DCC"/>
    <w:rsid w:val="004F2BE7"/>
    <w:rsid w:val="004F3285"/>
    <w:rsid w:val="005011E5"/>
    <w:rsid w:val="00502F8B"/>
    <w:rsid w:val="005051B3"/>
    <w:rsid w:val="0050757D"/>
    <w:rsid w:val="00507B8F"/>
    <w:rsid w:val="005108AB"/>
    <w:rsid w:val="005112E1"/>
    <w:rsid w:val="00511B2D"/>
    <w:rsid w:val="00514279"/>
    <w:rsid w:val="00514577"/>
    <w:rsid w:val="00514A30"/>
    <w:rsid w:val="00515F1F"/>
    <w:rsid w:val="0052257C"/>
    <w:rsid w:val="00525D06"/>
    <w:rsid w:val="00527975"/>
    <w:rsid w:val="00533159"/>
    <w:rsid w:val="00534FA1"/>
    <w:rsid w:val="00537BB5"/>
    <w:rsid w:val="00540D7A"/>
    <w:rsid w:val="005443A0"/>
    <w:rsid w:val="00546B35"/>
    <w:rsid w:val="00550500"/>
    <w:rsid w:val="00550B0E"/>
    <w:rsid w:val="0055757A"/>
    <w:rsid w:val="00557B2A"/>
    <w:rsid w:val="00560343"/>
    <w:rsid w:val="005603B8"/>
    <w:rsid w:val="00563BD7"/>
    <w:rsid w:val="005660E2"/>
    <w:rsid w:val="0056695D"/>
    <w:rsid w:val="00566FF7"/>
    <w:rsid w:val="0056775F"/>
    <w:rsid w:val="00570BDF"/>
    <w:rsid w:val="00570DFE"/>
    <w:rsid w:val="005721D1"/>
    <w:rsid w:val="005765CC"/>
    <w:rsid w:val="005806E1"/>
    <w:rsid w:val="00583624"/>
    <w:rsid w:val="00586DDE"/>
    <w:rsid w:val="005A121A"/>
    <w:rsid w:val="005A186A"/>
    <w:rsid w:val="005A4301"/>
    <w:rsid w:val="005A7763"/>
    <w:rsid w:val="005B1A27"/>
    <w:rsid w:val="005B2B99"/>
    <w:rsid w:val="005B3A9B"/>
    <w:rsid w:val="005B6125"/>
    <w:rsid w:val="005C131E"/>
    <w:rsid w:val="005C4909"/>
    <w:rsid w:val="005C52D4"/>
    <w:rsid w:val="005C6CF6"/>
    <w:rsid w:val="005D0682"/>
    <w:rsid w:val="005E0E3D"/>
    <w:rsid w:val="005E196D"/>
    <w:rsid w:val="005E3CB4"/>
    <w:rsid w:val="005F4DFF"/>
    <w:rsid w:val="005F7F95"/>
    <w:rsid w:val="00601D08"/>
    <w:rsid w:val="00611309"/>
    <w:rsid w:val="0061467B"/>
    <w:rsid w:val="00614A20"/>
    <w:rsid w:val="006168DE"/>
    <w:rsid w:val="00620B58"/>
    <w:rsid w:val="006217A5"/>
    <w:rsid w:val="00622D08"/>
    <w:rsid w:val="00622FD0"/>
    <w:rsid w:val="0062564D"/>
    <w:rsid w:val="00626A79"/>
    <w:rsid w:val="0063011F"/>
    <w:rsid w:val="0063326C"/>
    <w:rsid w:val="006339ED"/>
    <w:rsid w:val="00634154"/>
    <w:rsid w:val="00641662"/>
    <w:rsid w:val="00641FB6"/>
    <w:rsid w:val="0064416C"/>
    <w:rsid w:val="00647E5D"/>
    <w:rsid w:val="006507B5"/>
    <w:rsid w:val="00652D08"/>
    <w:rsid w:val="00652D96"/>
    <w:rsid w:val="00657E8B"/>
    <w:rsid w:val="00660DE7"/>
    <w:rsid w:val="00661914"/>
    <w:rsid w:val="00675D16"/>
    <w:rsid w:val="0068091C"/>
    <w:rsid w:val="00681BE2"/>
    <w:rsid w:val="00682213"/>
    <w:rsid w:val="006852C0"/>
    <w:rsid w:val="006A0546"/>
    <w:rsid w:val="006A3284"/>
    <w:rsid w:val="006A5ECB"/>
    <w:rsid w:val="006B0567"/>
    <w:rsid w:val="006B74BA"/>
    <w:rsid w:val="006B7948"/>
    <w:rsid w:val="006C1939"/>
    <w:rsid w:val="006C6DA3"/>
    <w:rsid w:val="006D03DD"/>
    <w:rsid w:val="006D122C"/>
    <w:rsid w:val="006D292B"/>
    <w:rsid w:val="006D4E38"/>
    <w:rsid w:val="006E50BF"/>
    <w:rsid w:val="006E7AA4"/>
    <w:rsid w:val="006F00D8"/>
    <w:rsid w:val="006F1596"/>
    <w:rsid w:val="006F3CAC"/>
    <w:rsid w:val="006F54F1"/>
    <w:rsid w:val="006F582A"/>
    <w:rsid w:val="006F6585"/>
    <w:rsid w:val="006F7166"/>
    <w:rsid w:val="00702A5C"/>
    <w:rsid w:val="00704BA7"/>
    <w:rsid w:val="007055CD"/>
    <w:rsid w:val="007075B5"/>
    <w:rsid w:val="00710A65"/>
    <w:rsid w:val="007156E5"/>
    <w:rsid w:val="00715DD9"/>
    <w:rsid w:val="00717486"/>
    <w:rsid w:val="007220D8"/>
    <w:rsid w:val="00724BAF"/>
    <w:rsid w:val="0072627C"/>
    <w:rsid w:val="00731A12"/>
    <w:rsid w:val="00737016"/>
    <w:rsid w:val="00741355"/>
    <w:rsid w:val="00741694"/>
    <w:rsid w:val="00741A47"/>
    <w:rsid w:val="00742A5C"/>
    <w:rsid w:val="00743EAA"/>
    <w:rsid w:val="007530A4"/>
    <w:rsid w:val="00754754"/>
    <w:rsid w:val="00756D3C"/>
    <w:rsid w:val="007619A8"/>
    <w:rsid w:val="00762706"/>
    <w:rsid w:val="00765ED5"/>
    <w:rsid w:val="00766833"/>
    <w:rsid w:val="00774AFD"/>
    <w:rsid w:val="007756D4"/>
    <w:rsid w:val="00777B24"/>
    <w:rsid w:val="00777F6D"/>
    <w:rsid w:val="0078125D"/>
    <w:rsid w:val="00781397"/>
    <w:rsid w:val="00781F31"/>
    <w:rsid w:val="00785DEB"/>
    <w:rsid w:val="00785F7B"/>
    <w:rsid w:val="0079094B"/>
    <w:rsid w:val="007A3A19"/>
    <w:rsid w:val="007A5441"/>
    <w:rsid w:val="007A584A"/>
    <w:rsid w:val="007A664F"/>
    <w:rsid w:val="007A6BDC"/>
    <w:rsid w:val="007B039B"/>
    <w:rsid w:val="007B3AD9"/>
    <w:rsid w:val="007B6784"/>
    <w:rsid w:val="007B6FD4"/>
    <w:rsid w:val="007C3363"/>
    <w:rsid w:val="007C602D"/>
    <w:rsid w:val="007D5CA2"/>
    <w:rsid w:val="007E1949"/>
    <w:rsid w:val="007E19BC"/>
    <w:rsid w:val="007E2B8D"/>
    <w:rsid w:val="007E3929"/>
    <w:rsid w:val="007E4509"/>
    <w:rsid w:val="007E5C64"/>
    <w:rsid w:val="007E7ABC"/>
    <w:rsid w:val="007F25FB"/>
    <w:rsid w:val="007F7229"/>
    <w:rsid w:val="008009B2"/>
    <w:rsid w:val="00802654"/>
    <w:rsid w:val="00806550"/>
    <w:rsid w:val="00806A53"/>
    <w:rsid w:val="00807AEA"/>
    <w:rsid w:val="0081198C"/>
    <w:rsid w:val="008130CE"/>
    <w:rsid w:val="00814763"/>
    <w:rsid w:val="008150C3"/>
    <w:rsid w:val="00817379"/>
    <w:rsid w:val="00817ACF"/>
    <w:rsid w:val="0082221A"/>
    <w:rsid w:val="008228F2"/>
    <w:rsid w:val="00825B61"/>
    <w:rsid w:val="00831C2C"/>
    <w:rsid w:val="00831DAA"/>
    <w:rsid w:val="00831EC5"/>
    <w:rsid w:val="00837EC2"/>
    <w:rsid w:val="0084025B"/>
    <w:rsid w:val="00840342"/>
    <w:rsid w:val="008468C2"/>
    <w:rsid w:val="00850687"/>
    <w:rsid w:val="0085258C"/>
    <w:rsid w:val="008530AE"/>
    <w:rsid w:val="0085528B"/>
    <w:rsid w:val="008552A2"/>
    <w:rsid w:val="008617AE"/>
    <w:rsid w:val="008620EA"/>
    <w:rsid w:val="008639CE"/>
    <w:rsid w:val="00865C99"/>
    <w:rsid w:val="00866B92"/>
    <w:rsid w:val="0087137F"/>
    <w:rsid w:val="00873B1C"/>
    <w:rsid w:val="00881E1C"/>
    <w:rsid w:val="00885C62"/>
    <w:rsid w:val="00887221"/>
    <w:rsid w:val="00893A58"/>
    <w:rsid w:val="00893D4A"/>
    <w:rsid w:val="00894A12"/>
    <w:rsid w:val="00897160"/>
    <w:rsid w:val="008971CA"/>
    <w:rsid w:val="008A2409"/>
    <w:rsid w:val="008A3269"/>
    <w:rsid w:val="008A69D8"/>
    <w:rsid w:val="008B0FED"/>
    <w:rsid w:val="008B1E1D"/>
    <w:rsid w:val="008C0A90"/>
    <w:rsid w:val="008C23B0"/>
    <w:rsid w:val="008C2E40"/>
    <w:rsid w:val="008C6C89"/>
    <w:rsid w:val="008D0513"/>
    <w:rsid w:val="008D24C8"/>
    <w:rsid w:val="008D36CD"/>
    <w:rsid w:val="008D4338"/>
    <w:rsid w:val="008D6161"/>
    <w:rsid w:val="008D7470"/>
    <w:rsid w:val="008E019E"/>
    <w:rsid w:val="008E43DD"/>
    <w:rsid w:val="008E7063"/>
    <w:rsid w:val="008F722C"/>
    <w:rsid w:val="009006F1"/>
    <w:rsid w:val="009041B7"/>
    <w:rsid w:val="009075D8"/>
    <w:rsid w:val="00907AFE"/>
    <w:rsid w:val="00915B60"/>
    <w:rsid w:val="00924365"/>
    <w:rsid w:val="00927C6F"/>
    <w:rsid w:val="00927F58"/>
    <w:rsid w:val="009337EA"/>
    <w:rsid w:val="00935845"/>
    <w:rsid w:val="0093716C"/>
    <w:rsid w:val="00942F51"/>
    <w:rsid w:val="00943240"/>
    <w:rsid w:val="009505D7"/>
    <w:rsid w:val="00951F02"/>
    <w:rsid w:val="00952C59"/>
    <w:rsid w:val="00963E25"/>
    <w:rsid w:val="00965A99"/>
    <w:rsid w:val="0096636E"/>
    <w:rsid w:val="009701F9"/>
    <w:rsid w:val="00973061"/>
    <w:rsid w:val="0097361C"/>
    <w:rsid w:val="00974F62"/>
    <w:rsid w:val="0097538C"/>
    <w:rsid w:val="00980B27"/>
    <w:rsid w:val="009852AC"/>
    <w:rsid w:val="00997364"/>
    <w:rsid w:val="00997B58"/>
    <w:rsid w:val="009A0F89"/>
    <w:rsid w:val="009A1EC1"/>
    <w:rsid w:val="009B05D3"/>
    <w:rsid w:val="009B1E7A"/>
    <w:rsid w:val="009B5465"/>
    <w:rsid w:val="009B765F"/>
    <w:rsid w:val="009B7E7E"/>
    <w:rsid w:val="009D1C38"/>
    <w:rsid w:val="009D2BB2"/>
    <w:rsid w:val="009D3BC2"/>
    <w:rsid w:val="009E25BA"/>
    <w:rsid w:val="009E471C"/>
    <w:rsid w:val="009E603C"/>
    <w:rsid w:val="009E6648"/>
    <w:rsid w:val="009E7C37"/>
    <w:rsid w:val="009F3133"/>
    <w:rsid w:val="009F3782"/>
    <w:rsid w:val="00A00E97"/>
    <w:rsid w:val="00A0251E"/>
    <w:rsid w:val="00A042EE"/>
    <w:rsid w:val="00A06D50"/>
    <w:rsid w:val="00A07AD9"/>
    <w:rsid w:val="00A1114C"/>
    <w:rsid w:val="00A120A4"/>
    <w:rsid w:val="00A15E2E"/>
    <w:rsid w:val="00A163E3"/>
    <w:rsid w:val="00A23585"/>
    <w:rsid w:val="00A23D2B"/>
    <w:rsid w:val="00A350CB"/>
    <w:rsid w:val="00A36CA3"/>
    <w:rsid w:val="00A423AF"/>
    <w:rsid w:val="00A430E6"/>
    <w:rsid w:val="00A505A6"/>
    <w:rsid w:val="00A55CE9"/>
    <w:rsid w:val="00A5791B"/>
    <w:rsid w:val="00A607DE"/>
    <w:rsid w:val="00A65F71"/>
    <w:rsid w:val="00A840E2"/>
    <w:rsid w:val="00A84539"/>
    <w:rsid w:val="00A87939"/>
    <w:rsid w:val="00A92150"/>
    <w:rsid w:val="00A93788"/>
    <w:rsid w:val="00A93CB2"/>
    <w:rsid w:val="00A951C6"/>
    <w:rsid w:val="00A95C80"/>
    <w:rsid w:val="00AA3AB6"/>
    <w:rsid w:val="00AA3B02"/>
    <w:rsid w:val="00AA4BA9"/>
    <w:rsid w:val="00AA7CD8"/>
    <w:rsid w:val="00AB0868"/>
    <w:rsid w:val="00AB0B67"/>
    <w:rsid w:val="00AB391C"/>
    <w:rsid w:val="00AB69EC"/>
    <w:rsid w:val="00AB795A"/>
    <w:rsid w:val="00AC0F7C"/>
    <w:rsid w:val="00AC157B"/>
    <w:rsid w:val="00AC2021"/>
    <w:rsid w:val="00AC75D1"/>
    <w:rsid w:val="00AD1EA2"/>
    <w:rsid w:val="00AD1F82"/>
    <w:rsid w:val="00AE27BF"/>
    <w:rsid w:val="00AE5294"/>
    <w:rsid w:val="00AE711F"/>
    <w:rsid w:val="00AF2900"/>
    <w:rsid w:val="00AF4CFA"/>
    <w:rsid w:val="00B038FB"/>
    <w:rsid w:val="00B03FCA"/>
    <w:rsid w:val="00B06BB8"/>
    <w:rsid w:val="00B0799C"/>
    <w:rsid w:val="00B11343"/>
    <w:rsid w:val="00B1265B"/>
    <w:rsid w:val="00B1339E"/>
    <w:rsid w:val="00B13F2C"/>
    <w:rsid w:val="00B1559B"/>
    <w:rsid w:val="00B16DC4"/>
    <w:rsid w:val="00B176E1"/>
    <w:rsid w:val="00B37F04"/>
    <w:rsid w:val="00B409C8"/>
    <w:rsid w:val="00B43121"/>
    <w:rsid w:val="00B441D3"/>
    <w:rsid w:val="00B46667"/>
    <w:rsid w:val="00B466B2"/>
    <w:rsid w:val="00B4740F"/>
    <w:rsid w:val="00B54073"/>
    <w:rsid w:val="00B56BF4"/>
    <w:rsid w:val="00B657D3"/>
    <w:rsid w:val="00B73641"/>
    <w:rsid w:val="00B74F55"/>
    <w:rsid w:val="00B7520F"/>
    <w:rsid w:val="00B754F0"/>
    <w:rsid w:val="00B82722"/>
    <w:rsid w:val="00B91693"/>
    <w:rsid w:val="00B91BB5"/>
    <w:rsid w:val="00B95A4E"/>
    <w:rsid w:val="00BA400E"/>
    <w:rsid w:val="00BA6C5C"/>
    <w:rsid w:val="00BA6F01"/>
    <w:rsid w:val="00BA7C6D"/>
    <w:rsid w:val="00BB467D"/>
    <w:rsid w:val="00BB6790"/>
    <w:rsid w:val="00BB68F1"/>
    <w:rsid w:val="00BB7140"/>
    <w:rsid w:val="00BC3B6D"/>
    <w:rsid w:val="00BC6D39"/>
    <w:rsid w:val="00BC7E10"/>
    <w:rsid w:val="00BD149D"/>
    <w:rsid w:val="00BD5F00"/>
    <w:rsid w:val="00BD65B9"/>
    <w:rsid w:val="00BD6C34"/>
    <w:rsid w:val="00BD7C65"/>
    <w:rsid w:val="00BE29DB"/>
    <w:rsid w:val="00BE5A73"/>
    <w:rsid w:val="00BE63C1"/>
    <w:rsid w:val="00BF0BD8"/>
    <w:rsid w:val="00BF5856"/>
    <w:rsid w:val="00BF619C"/>
    <w:rsid w:val="00BF7755"/>
    <w:rsid w:val="00C02C94"/>
    <w:rsid w:val="00C0310B"/>
    <w:rsid w:val="00C03C6D"/>
    <w:rsid w:val="00C0535F"/>
    <w:rsid w:val="00C0721D"/>
    <w:rsid w:val="00C10BE2"/>
    <w:rsid w:val="00C11E2B"/>
    <w:rsid w:val="00C21298"/>
    <w:rsid w:val="00C2144C"/>
    <w:rsid w:val="00C2343E"/>
    <w:rsid w:val="00C24135"/>
    <w:rsid w:val="00C3072E"/>
    <w:rsid w:val="00C30A73"/>
    <w:rsid w:val="00C326C7"/>
    <w:rsid w:val="00C3396A"/>
    <w:rsid w:val="00C40972"/>
    <w:rsid w:val="00C40B06"/>
    <w:rsid w:val="00C4176C"/>
    <w:rsid w:val="00C45F18"/>
    <w:rsid w:val="00C53AAA"/>
    <w:rsid w:val="00C53DCE"/>
    <w:rsid w:val="00C60263"/>
    <w:rsid w:val="00C74804"/>
    <w:rsid w:val="00C82670"/>
    <w:rsid w:val="00C87894"/>
    <w:rsid w:val="00C87A50"/>
    <w:rsid w:val="00C92906"/>
    <w:rsid w:val="00CA053E"/>
    <w:rsid w:val="00CA0B1B"/>
    <w:rsid w:val="00CA2E8E"/>
    <w:rsid w:val="00CA60E0"/>
    <w:rsid w:val="00CB02A2"/>
    <w:rsid w:val="00CB089A"/>
    <w:rsid w:val="00CB0972"/>
    <w:rsid w:val="00CB6893"/>
    <w:rsid w:val="00CC0971"/>
    <w:rsid w:val="00CC1B32"/>
    <w:rsid w:val="00CC2FE1"/>
    <w:rsid w:val="00CC4921"/>
    <w:rsid w:val="00CC5565"/>
    <w:rsid w:val="00CD0A02"/>
    <w:rsid w:val="00CD35BF"/>
    <w:rsid w:val="00CD66FF"/>
    <w:rsid w:val="00CD7FD9"/>
    <w:rsid w:val="00CE635F"/>
    <w:rsid w:val="00CF305D"/>
    <w:rsid w:val="00CF4927"/>
    <w:rsid w:val="00CF5E73"/>
    <w:rsid w:val="00CF6B25"/>
    <w:rsid w:val="00CF7CE6"/>
    <w:rsid w:val="00D000D4"/>
    <w:rsid w:val="00D017B4"/>
    <w:rsid w:val="00D12B62"/>
    <w:rsid w:val="00D146D7"/>
    <w:rsid w:val="00D15353"/>
    <w:rsid w:val="00D15E97"/>
    <w:rsid w:val="00D237CC"/>
    <w:rsid w:val="00D26CC5"/>
    <w:rsid w:val="00D30AE1"/>
    <w:rsid w:val="00D311D1"/>
    <w:rsid w:val="00D31B51"/>
    <w:rsid w:val="00D327E6"/>
    <w:rsid w:val="00D32E6B"/>
    <w:rsid w:val="00D34C74"/>
    <w:rsid w:val="00D40CBC"/>
    <w:rsid w:val="00D42644"/>
    <w:rsid w:val="00D4296E"/>
    <w:rsid w:val="00D458AB"/>
    <w:rsid w:val="00D51029"/>
    <w:rsid w:val="00D51764"/>
    <w:rsid w:val="00D54372"/>
    <w:rsid w:val="00D5730F"/>
    <w:rsid w:val="00D57EA0"/>
    <w:rsid w:val="00D639C8"/>
    <w:rsid w:val="00D64C93"/>
    <w:rsid w:val="00D67401"/>
    <w:rsid w:val="00D67A00"/>
    <w:rsid w:val="00D67B2C"/>
    <w:rsid w:val="00D7459C"/>
    <w:rsid w:val="00D7768F"/>
    <w:rsid w:val="00D77A1A"/>
    <w:rsid w:val="00D81E43"/>
    <w:rsid w:val="00D85BAF"/>
    <w:rsid w:val="00D93237"/>
    <w:rsid w:val="00D93A62"/>
    <w:rsid w:val="00D97663"/>
    <w:rsid w:val="00DA26F0"/>
    <w:rsid w:val="00DB13B8"/>
    <w:rsid w:val="00DB1DA1"/>
    <w:rsid w:val="00DB1E93"/>
    <w:rsid w:val="00DB387B"/>
    <w:rsid w:val="00DB4293"/>
    <w:rsid w:val="00DB47B1"/>
    <w:rsid w:val="00DB7577"/>
    <w:rsid w:val="00DC5036"/>
    <w:rsid w:val="00DC5BE0"/>
    <w:rsid w:val="00DD415E"/>
    <w:rsid w:val="00DD5611"/>
    <w:rsid w:val="00DD5CED"/>
    <w:rsid w:val="00DD693F"/>
    <w:rsid w:val="00DE0D50"/>
    <w:rsid w:val="00DE2B28"/>
    <w:rsid w:val="00DE702E"/>
    <w:rsid w:val="00DF6241"/>
    <w:rsid w:val="00E00033"/>
    <w:rsid w:val="00E01213"/>
    <w:rsid w:val="00E045F4"/>
    <w:rsid w:val="00E06B36"/>
    <w:rsid w:val="00E10C6F"/>
    <w:rsid w:val="00E11480"/>
    <w:rsid w:val="00E12840"/>
    <w:rsid w:val="00E207BC"/>
    <w:rsid w:val="00E263D0"/>
    <w:rsid w:val="00E264AA"/>
    <w:rsid w:val="00E327D8"/>
    <w:rsid w:val="00E336E5"/>
    <w:rsid w:val="00E33EFE"/>
    <w:rsid w:val="00E36183"/>
    <w:rsid w:val="00E4149A"/>
    <w:rsid w:val="00E47E57"/>
    <w:rsid w:val="00E54733"/>
    <w:rsid w:val="00E55EE6"/>
    <w:rsid w:val="00E57A2A"/>
    <w:rsid w:val="00E60AC3"/>
    <w:rsid w:val="00E65FB5"/>
    <w:rsid w:val="00E71CDD"/>
    <w:rsid w:val="00E72CBF"/>
    <w:rsid w:val="00E730F8"/>
    <w:rsid w:val="00E8053B"/>
    <w:rsid w:val="00E81D32"/>
    <w:rsid w:val="00E84B59"/>
    <w:rsid w:val="00E9021F"/>
    <w:rsid w:val="00E90300"/>
    <w:rsid w:val="00E91519"/>
    <w:rsid w:val="00E91AB4"/>
    <w:rsid w:val="00E94C1A"/>
    <w:rsid w:val="00EA0F56"/>
    <w:rsid w:val="00EA0F71"/>
    <w:rsid w:val="00EA6AB2"/>
    <w:rsid w:val="00EA7653"/>
    <w:rsid w:val="00EA7805"/>
    <w:rsid w:val="00EA7FDD"/>
    <w:rsid w:val="00EB1ADD"/>
    <w:rsid w:val="00EB2982"/>
    <w:rsid w:val="00EB3016"/>
    <w:rsid w:val="00EC05C0"/>
    <w:rsid w:val="00EC359C"/>
    <w:rsid w:val="00EC418F"/>
    <w:rsid w:val="00EC6147"/>
    <w:rsid w:val="00ED185E"/>
    <w:rsid w:val="00ED30BC"/>
    <w:rsid w:val="00ED3932"/>
    <w:rsid w:val="00ED4378"/>
    <w:rsid w:val="00ED60F6"/>
    <w:rsid w:val="00EE7A81"/>
    <w:rsid w:val="00EF0FF0"/>
    <w:rsid w:val="00EF50C4"/>
    <w:rsid w:val="00EF6ABB"/>
    <w:rsid w:val="00EF73C3"/>
    <w:rsid w:val="00EF7B80"/>
    <w:rsid w:val="00F03F19"/>
    <w:rsid w:val="00F056EC"/>
    <w:rsid w:val="00F11E0B"/>
    <w:rsid w:val="00F14F72"/>
    <w:rsid w:val="00F20170"/>
    <w:rsid w:val="00F22C48"/>
    <w:rsid w:val="00F34B43"/>
    <w:rsid w:val="00F35FD5"/>
    <w:rsid w:val="00F369B0"/>
    <w:rsid w:val="00F4658F"/>
    <w:rsid w:val="00F46D82"/>
    <w:rsid w:val="00F4735F"/>
    <w:rsid w:val="00F50E65"/>
    <w:rsid w:val="00F51F85"/>
    <w:rsid w:val="00F56DFE"/>
    <w:rsid w:val="00F571B7"/>
    <w:rsid w:val="00F57706"/>
    <w:rsid w:val="00F61A0B"/>
    <w:rsid w:val="00F76BB6"/>
    <w:rsid w:val="00F77D8F"/>
    <w:rsid w:val="00F82D20"/>
    <w:rsid w:val="00F87CA6"/>
    <w:rsid w:val="00F909B0"/>
    <w:rsid w:val="00F91784"/>
    <w:rsid w:val="00F94566"/>
    <w:rsid w:val="00F94B27"/>
    <w:rsid w:val="00F9757A"/>
    <w:rsid w:val="00FA189C"/>
    <w:rsid w:val="00FB404B"/>
    <w:rsid w:val="00FB6661"/>
    <w:rsid w:val="00FC2FDE"/>
    <w:rsid w:val="00FC6577"/>
    <w:rsid w:val="00FC7E6C"/>
    <w:rsid w:val="00FD010F"/>
    <w:rsid w:val="00FD1661"/>
    <w:rsid w:val="00FD2831"/>
    <w:rsid w:val="00FD588F"/>
    <w:rsid w:val="00FD6260"/>
    <w:rsid w:val="00FE0859"/>
    <w:rsid w:val="00FE17C6"/>
    <w:rsid w:val="00FE4ED4"/>
    <w:rsid w:val="00FE71D7"/>
    <w:rsid w:val="00FE72F6"/>
    <w:rsid w:val="00FE7AA8"/>
    <w:rsid w:val="00FE7CA3"/>
    <w:rsid w:val="00FF081E"/>
    <w:rsid w:val="00FF0FEC"/>
    <w:rsid w:val="00FF290F"/>
    <w:rsid w:val="00FF2A80"/>
    <w:rsid w:val="00FF60DA"/>
    <w:rsid w:val="00FF779E"/>
    <w:rsid w:val="057E74F5"/>
    <w:rsid w:val="0FA54028"/>
    <w:rsid w:val="180F7021"/>
    <w:rsid w:val="363D46DF"/>
    <w:rsid w:val="399653FE"/>
    <w:rsid w:val="52A336C4"/>
    <w:rsid w:val="55537B6A"/>
    <w:rsid w:val="710D03B0"/>
    <w:rsid w:val="769A12BB"/>
    <w:rsid w:val="7CF36E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DAAE79"/>
  <w14:defaultImageDpi w14:val="32767"/>
  <w15:docId w15:val="{8AAB807F-9CBF-4C11-A03C-E282D9312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footer"/>
    <w:basedOn w:val="a"/>
    <w:link w:val="a6"/>
    <w:uiPriority w:val="99"/>
    <w:unhideWhenUsed/>
    <w:pPr>
      <w:tabs>
        <w:tab w:val="center" w:pos="4153"/>
        <w:tab w:val="right" w:pos="8306"/>
      </w:tabs>
      <w:snapToGrid w:val="0"/>
      <w:jc w:val="left"/>
    </w:pPr>
    <w:rPr>
      <w:sz w:val="18"/>
      <w:szCs w:val="18"/>
    </w:rPr>
  </w:style>
  <w:style w:type="paragraph" w:styleId="a7">
    <w:name w:val="header"/>
    <w:basedOn w:val="a"/>
    <w:link w:val="a8"/>
    <w:uiPriority w:val="99"/>
    <w:unhideWhenUsed/>
    <w:pPr>
      <w:tabs>
        <w:tab w:val="center" w:pos="4153"/>
        <w:tab w:val="right" w:pos="8306"/>
      </w:tabs>
      <w:snapToGrid w:val="0"/>
      <w:jc w:val="center"/>
    </w:pPr>
    <w:rPr>
      <w:sz w:val="18"/>
      <w:szCs w:val="18"/>
    </w:rPr>
  </w:style>
  <w:style w:type="paragraph" w:styleId="a9">
    <w:name w:val="annotation subject"/>
    <w:basedOn w:val="a3"/>
    <w:next w:val="a3"/>
    <w:link w:val="aa"/>
    <w:uiPriority w:val="99"/>
    <w:semiHidden/>
    <w:unhideWhenUsed/>
    <w:pPr>
      <w:jc w:val="both"/>
    </w:pPr>
    <w:rPr>
      <w:b/>
      <w:bCs/>
      <w:sz w:val="20"/>
      <w:szCs w:val="20"/>
    </w:rPr>
  </w:style>
  <w:style w:type="table" w:styleId="ab">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qFormat/>
    <w:rPr>
      <w:color w:val="0563C1" w:themeColor="hyperlink"/>
      <w:u w:val="single"/>
    </w:rPr>
  </w:style>
  <w:style w:type="character" w:styleId="ad">
    <w:name w:val="annotation reference"/>
    <w:basedOn w:val="a0"/>
    <w:uiPriority w:val="99"/>
    <w:semiHidden/>
    <w:unhideWhenUsed/>
    <w:rPr>
      <w:sz w:val="21"/>
      <w:szCs w:val="21"/>
    </w:rPr>
  </w:style>
  <w:style w:type="character" w:customStyle="1" w:styleId="Hyperlink0">
    <w:name w:val="Hyperlink.0"/>
    <w:qFormat/>
    <w:rPr>
      <w:rFonts w:ascii="Times New Roman" w:hAnsi="Times New Roman" w:cs="Times New Roman" w:hint="default"/>
      <w:color w:val="000000"/>
      <w:u w:color="000000"/>
      <w:lang w:val="en-US"/>
    </w:rPr>
  </w:style>
  <w:style w:type="character" w:styleId="ae">
    <w:name w:val="Placeholder Text"/>
    <w:basedOn w:val="a0"/>
    <w:uiPriority w:val="99"/>
    <w:semiHidden/>
    <w:rPr>
      <w:color w:val="808080"/>
    </w:rPr>
  </w:style>
  <w:style w:type="character" w:customStyle="1" w:styleId="a4">
    <w:name w:val="批注文字 字符"/>
    <w:basedOn w:val="a0"/>
    <w:link w:val="a3"/>
    <w:uiPriority w:val="99"/>
    <w:semiHidden/>
  </w:style>
  <w:style w:type="table" w:customStyle="1" w:styleId="1">
    <w:name w:val="网格型1"/>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网格型2"/>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pPr>
      <w:ind w:firstLineChars="200" w:firstLine="420"/>
    </w:pPr>
    <w:rPr>
      <w:rFonts w:asciiTheme="minorHAnsi" w:eastAsiaTheme="minorEastAsia" w:hAnsiTheme="minorHAnsi" w:cstheme="minorBidi"/>
      <w:szCs w:val="22"/>
      <w14:ligatures w14:val="standardContextual"/>
    </w:rPr>
  </w:style>
  <w:style w:type="paragraph" w:customStyle="1" w:styleId="LetPub31Text">
    <w:name w:val="LetPub_3.1_Text"/>
    <w:link w:val="LetPub31TextChar"/>
    <w:qFormat/>
    <w:pPr>
      <w:snapToGrid w:val="0"/>
      <w:spacing w:line="480" w:lineRule="auto"/>
      <w:contextualSpacing/>
    </w:pPr>
    <w:rPr>
      <w:rFonts w:eastAsia="Times New Roman"/>
      <w:sz w:val="24"/>
      <w:szCs w:val="24"/>
    </w:rPr>
  </w:style>
  <w:style w:type="character" w:customStyle="1" w:styleId="LetPub31TextChar">
    <w:name w:val="LetPub_3.1_Text Char"/>
    <w:basedOn w:val="a0"/>
    <w:link w:val="LetPub31Text"/>
    <w:rPr>
      <w:rFonts w:eastAsia="Times New Roman"/>
      <w:sz w:val="24"/>
      <w:szCs w:val="24"/>
    </w:rPr>
  </w:style>
  <w:style w:type="paragraph" w:customStyle="1" w:styleId="LetPub14Correspondence">
    <w:name w:val="LetPub_1.4_Correspondence"/>
    <w:basedOn w:val="LetPub31Text"/>
    <w:next w:val="LetPub31Text"/>
    <w:link w:val="LetPub14CorrespondenceChar"/>
    <w:qFormat/>
    <w:rPr>
      <w:rFonts w:eastAsiaTheme="minorEastAsia"/>
    </w:rPr>
  </w:style>
  <w:style w:type="character" w:customStyle="1" w:styleId="LetPub14CorrespondenceChar">
    <w:name w:val="LetPub_1.4_Correspondence Char"/>
    <w:basedOn w:val="LetPub31TextChar"/>
    <w:link w:val="LetPub14Correspondence"/>
    <w:rPr>
      <w:rFonts w:eastAsiaTheme="minorEastAsia"/>
      <w:sz w:val="24"/>
      <w:szCs w:val="24"/>
    </w:rPr>
  </w:style>
  <w:style w:type="paragraph" w:customStyle="1" w:styleId="LetPub13Affiliation">
    <w:name w:val="LetPub_1.3_Affiliation"/>
    <w:basedOn w:val="LetPub31Text"/>
    <w:next w:val="LetPub31Text"/>
    <w:link w:val="LetPub13AffiliationChar"/>
    <w:qFormat/>
    <w:rPr>
      <w:i/>
    </w:rPr>
  </w:style>
  <w:style w:type="character" w:customStyle="1" w:styleId="LetPub13AffiliationChar">
    <w:name w:val="LetPub_1.3_Affiliation Char"/>
    <w:basedOn w:val="LetPub31TextChar"/>
    <w:link w:val="LetPub13Affiliation"/>
    <w:rPr>
      <w:rFonts w:eastAsia="Times New Roman"/>
      <w:i/>
      <w:sz w:val="24"/>
      <w:szCs w:val="24"/>
    </w:rPr>
  </w:style>
  <w:style w:type="paragraph" w:customStyle="1" w:styleId="LetPub51TableCaption">
    <w:name w:val="LetPub_5.1_TableCaption"/>
    <w:basedOn w:val="a"/>
    <w:link w:val="LetPub51TableCaptionChar"/>
    <w:qFormat/>
    <w:pPr>
      <w:snapToGrid w:val="0"/>
      <w:spacing w:beforeLines="100" w:line="480" w:lineRule="auto"/>
      <w:contextualSpacing/>
    </w:pPr>
    <w:rPr>
      <w:rFonts w:eastAsia="Times New Roman"/>
    </w:rPr>
  </w:style>
  <w:style w:type="character" w:customStyle="1" w:styleId="LetPub51TableCaptionChar">
    <w:name w:val="LetPub_5.1_TableCaption Char"/>
    <w:basedOn w:val="a0"/>
    <w:link w:val="LetPub51TableCaption"/>
    <w:rPr>
      <w:rFonts w:eastAsia="Times New Roman"/>
      <w:kern w:val="2"/>
      <w:sz w:val="24"/>
      <w:szCs w:val="24"/>
    </w:rPr>
  </w:style>
  <w:style w:type="character" w:customStyle="1" w:styleId="a8">
    <w:name w:val="页眉 字符"/>
    <w:basedOn w:val="a0"/>
    <w:link w:val="a7"/>
    <w:uiPriority w:val="99"/>
    <w:rPr>
      <w:kern w:val="2"/>
      <w:sz w:val="18"/>
      <w:szCs w:val="18"/>
    </w:rPr>
  </w:style>
  <w:style w:type="character" w:customStyle="1" w:styleId="a6">
    <w:name w:val="页脚 字符"/>
    <w:basedOn w:val="a0"/>
    <w:link w:val="a5"/>
    <w:uiPriority w:val="99"/>
    <w:rPr>
      <w:kern w:val="2"/>
      <w:sz w:val="18"/>
      <w:szCs w:val="18"/>
    </w:rPr>
  </w:style>
  <w:style w:type="paragraph" w:customStyle="1" w:styleId="LetPub52TableBody">
    <w:name w:val="LetPub_5.2_TableBody"/>
    <w:basedOn w:val="LetPub31Text"/>
    <w:next w:val="LetPub31Text"/>
    <w:link w:val="LetPub52TableBodyChar"/>
    <w:qFormat/>
    <w:pPr>
      <w:widowControl w:val="0"/>
      <w:jc w:val="both"/>
    </w:pPr>
    <w:rPr>
      <w:kern w:val="2"/>
    </w:rPr>
  </w:style>
  <w:style w:type="character" w:customStyle="1" w:styleId="LetPub52TableBodyChar">
    <w:name w:val="LetPub_5.2_TableBody Char"/>
    <w:basedOn w:val="a0"/>
    <w:link w:val="LetPub52TableBody"/>
    <w:rPr>
      <w:rFonts w:eastAsia="Times New Roman"/>
      <w:kern w:val="2"/>
      <w:sz w:val="24"/>
      <w:szCs w:val="24"/>
    </w:rPr>
  </w:style>
  <w:style w:type="paragraph" w:customStyle="1" w:styleId="LetPub42FigureCaption">
    <w:name w:val="LetPub_4.2_FigureCaption"/>
    <w:basedOn w:val="a"/>
    <w:link w:val="LetPub42FigureCaptionChar"/>
    <w:qFormat/>
    <w:pPr>
      <w:snapToGrid w:val="0"/>
      <w:spacing w:afterLines="100" w:line="480" w:lineRule="auto"/>
    </w:pPr>
    <w:rPr>
      <w:rFonts w:eastAsiaTheme="minorEastAsia"/>
    </w:rPr>
  </w:style>
  <w:style w:type="character" w:customStyle="1" w:styleId="LetPub42FigureCaptionChar">
    <w:name w:val="LetPub_4.2_FigureCaption Char"/>
    <w:basedOn w:val="a0"/>
    <w:link w:val="LetPub42FigureCaption"/>
    <w:rPr>
      <w:rFonts w:eastAsiaTheme="minorEastAsia"/>
      <w:kern w:val="2"/>
      <w:sz w:val="24"/>
      <w:szCs w:val="24"/>
    </w:rPr>
  </w:style>
  <w:style w:type="paragraph" w:customStyle="1" w:styleId="LetPub71References">
    <w:name w:val="LetPub_7.1_References"/>
    <w:basedOn w:val="a"/>
    <w:next w:val="a"/>
    <w:link w:val="LetPub71ReferencesChar"/>
    <w:qFormat/>
    <w:pPr>
      <w:snapToGrid w:val="0"/>
      <w:spacing w:beforeLines="100" w:afterLines="100" w:line="480" w:lineRule="auto"/>
      <w:outlineLvl w:val="0"/>
    </w:pPr>
    <w:rPr>
      <w:rFonts w:eastAsia="Times New Roman"/>
      <w:b/>
      <w:sz w:val="28"/>
    </w:rPr>
  </w:style>
  <w:style w:type="character" w:customStyle="1" w:styleId="LetPub71ReferencesChar">
    <w:name w:val="LetPub_7.1_References Char"/>
    <w:basedOn w:val="a0"/>
    <w:link w:val="LetPub71References"/>
    <w:rPr>
      <w:rFonts w:eastAsia="Times New Roman"/>
      <w:b/>
      <w:kern w:val="2"/>
      <w:sz w:val="28"/>
      <w:szCs w:val="24"/>
    </w:rPr>
  </w:style>
  <w:style w:type="paragraph" w:customStyle="1" w:styleId="EndNoteBibliography">
    <w:name w:val="EndNote Bibliography"/>
    <w:basedOn w:val="a"/>
    <w:link w:val="EndNoteBibliography0"/>
    <w:pPr>
      <w:snapToGrid w:val="0"/>
      <w:contextualSpacing/>
    </w:pPr>
    <w:rPr>
      <w:rFonts w:eastAsia="Times New Roman"/>
    </w:rPr>
  </w:style>
  <w:style w:type="character" w:customStyle="1" w:styleId="EndNoteBibliography0">
    <w:name w:val="EndNote Bibliography 字符"/>
    <w:basedOn w:val="a0"/>
    <w:link w:val="EndNoteBibliography"/>
    <w:rPr>
      <w:rFonts w:eastAsia="Times New Roman"/>
      <w:kern w:val="2"/>
      <w:sz w:val="24"/>
      <w:szCs w:val="24"/>
    </w:rPr>
  </w:style>
  <w:style w:type="character" w:customStyle="1" w:styleId="10">
    <w:name w:val="未处理的提及1"/>
    <w:basedOn w:val="a0"/>
    <w:uiPriority w:val="99"/>
    <w:semiHidden/>
    <w:unhideWhenUsed/>
    <w:rPr>
      <w:color w:val="605E5C"/>
      <w:shd w:val="clear" w:color="auto" w:fill="E1DFDD"/>
    </w:rPr>
  </w:style>
  <w:style w:type="paragraph" w:customStyle="1" w:styleId="LetPub11ArticleTitle">
    <w:name w:val="LetPub_1.1_ArticleTitle"/>
    <w:basedOn w:val="LetPub31Text"/>
    <w:next w:val="LetPub31Text"/>
    <w:link w:val="LetPub11ArticleTitleChar"/>
    <w:qFormat/>
    <w:pPr>
      <w:spacing w:before="326" w:after="326"/>
      <w:outlineLvl w:val="0"/>
    </w:pPr>
    <w:rPr>
      <w:rFonts w:eastAsiaTheme="minorEastAsia"/>
      <w:b/>
    </w:rPr>
  </w:style>
  <w:style w:type="character" w:customStyle="1" w:styleId="LetPub11ArticleTitleChar">
    <w:name w:val="LetPub_1.1_ArticleTitle Char"/>
    <w:basedOn w:val="a0"/>
    <w:link w:val="LetPub11ArticleTitle"/>
    <w:rPr>
      <w:rFonts w:eastAsiaTheme="minorEastAsia"/>
      <w:b/>
      <w:sz w:val="24"/>
      <w:szCs w:val="24"/>
    </w:rPr>
  </w:style>
  <w:style w:type="character" w:customStyle="1" w:styleId="aa">
    <w:name w:val="批注主题 字符"/>
    <w:basedOn w:val="a4"/>
    <w:link w:val="a9"/>
    <w:uiPriority w:val="99"/>
    <w:semiHidden/>
    <w:rPr>
      <w:b/>
      <w:bCs/>
      <w:kern w:val="2"/>
    </w:rPr>
  </w:style>
  <w:style w:type="paragraph" w:customStyle="1" w:styleId="11">
    <w:name w:val="修订1"/>
    <w:hidden/>
    <w:uiPriority w:val="99"/>
    <w:unhideWhenUsed/>
    <w:rPr>
      <w:kern w:val="2"/>
      <w:sz w:val="24"/>
      <w:szCs w:val="24"/>
    </w:rPr>
  </w:style>
  <w:style w:type="paragraph" w:styleId="af0">
    <w:name w:val="Revision"/>
    <w:hidden/>
    <w:uiPriority w:val="99"/>
    <w:unhideWhenUsed/>
    <w:rsid w:val="007619A8"/>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tiff"/><Relationship Id="rId18" Type="http://schemas.openxmlformats.org/officeDocument/2006/relationships/image" Target="media/image11.png"/><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image" Target="media/image14.tiff"/><Relationship Id="rId7" Type="http://schemas.openxmlformats.org/officeDocument/2006/relationships/footer" Target="footer1.xml"/><Relationship Id="rId12" Type="http://schemas.openxmlformats.org/officeDocument/2006/relationships/image" Target="media/image5.tiff"/><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tiff"/><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eader" Target="header1.xml"/><Relationship Id="rId28" Type="http://schemas.openxmlformats.org/officeDocument/2006/relationships/footer" Target="footer4.xml"/><Relationship Id="rId10" Type="http://schemas.openxmlformats.org/officeDocument/2006/relationships/image" Target="media/image3.tiff"/><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tiff"/><Relationship Id="rId22" Type="http://schemas.openxmlformats.org/officeDocument/2006/relationships/image" Target="media/image15.png"/><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19</Pages>
  <Words>1586</Words>
  <Characters>8486</Characters>
  <Application>Microsoft Office Word</Application>
  <DocSecurity>0</DocSecurity>
  <Lines>70</Lines>
  <Paragraphs>20</Paragraphs>
  <ScaleCrop>false</ScaleCrop>
  <Company/>
  <LinksUpToDate>false</LinksUpToDate>
  <CharactersWithSpaces>10052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Zhang Zihang</dc:creator>
  <cp:lastModifiedBy>tian huang</cp:lastModifiedBy>
  <cp:revision>13</cp:revision>
  <dcterms:created xsi:type="dcterms:W3CDTF">2026-02-07T03:03:00Z</dcterms:created>
  <dcterms:modified xsi:type="dcterms:W3CDTF">2026-02-25T02:58:00Z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2052-6.4.0.8550</vt:lpwstr>
  </property>
  <property fmtid="{D5CDD505-2E9C-101B-9397-08002B2CF9AE}" pid="3" name="ICV">
    <vt:lpwstr>FECEF7661BC236DAA53A84695C18DF6D_43</vt:lpwstr>
  </property>
</Properties>
</file>