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B1F41B">
      <w:bookmarkStart w:id="0" w:name="OLE_LINK12"/>
      <w:r>
        <w:t>Electronic Supplementary Material</w:t>
      </w:r>
    </w:p>
    <w:bookmarkEnd w:id="0"/>
    <w:p w14:paraId="3DF15E27">
      <w:r>
        <w:t xml:space="preserve">Optimization of kinetic mechanism for hydrogen combustion based on machine learning </w:t>
      </w:r>
    </w:p>
    <w:p w14:paraId="6FB5D6A8">
      <w:r>
        <w:t>Shuangshuang Cao</w:t>
      </w:r>
      <w:r>
        <w:rPr>
          <w:vertAlign w:val="superscript"/>
        </w:rPr>
        <w:t>1</w:t>
      </w:r>
      <w:r>
        <w:t>, Houjun Zhang</w:t>
      </w:r>
      <w:r>
        <w:rPr>
          <w:vertAlign w:val="superscript"/>
        </w:rPr>
        <w:t>1</w:t>
      </w:r>
      <w:r>
        <w:t>, Haoyang Liu</w:t>
      </w:r>
      <w:r>
        <w:rPr>
          <w:vertAlign w:val="superscript"/>
        </w:rPr>
        <w:t>3</w:t>
      </w:r>
      <w:r>
        <w:t>, Zhiyuan Lyu</w:t>
      </w:r>
      <w:r>
        <w:rPr>
          <w:vertAlign w:val="superscript"/>
        </w:rPr>
        <w:t>3</w:t>
      </w:r>
      <w:r>
        <w:t>, Xiangyuan Li</w:t>
      </w:r>
      <w:r>
        <w:rPr>
          <w:vertAlign w:val="superscript"/>
        </w:rPr>
        <w:t>2</w:t>
      </w:r>
      <w:r>
        <w:t xml:space="preserve">, Bin Zhang </w:t>
      </w:r>
      <w:r>
        <w:rPr>
          <w:b/>
        </w:rPr>
        <w:t>(</w:t>
      </w:r>
      <w:r>
        <w:rPr>
          <w:rFonts w:eastAsia="MS Gothic"/>
          <w:b/>
        </w:rPr>
        <w:sym w:font="Wingdings" w:char="F02A"/>
      </w:r>
      <w:r>
        <w:rPr>
          <w:b/>
        </w:rPr>
        <w:t>)</w:t>
      </w:r>
      <w:r>
        <w:rPr>
          <w:vertAlign w:val="superscript"/>
        </w:rPr>
        <w:t>3</w:t>
      </w:r>
      <w:r>
        <w:t xml:space="preserve">, You Han </w:t>
      </w:r>
      <w:r>
        <w:rPr>
          <w:b/>
        </w:rPr>
        <w:t>(</w:t>
      </w:r>
      <w:r>
        <w:rPr>
          <w:rFonts w:eastAsia="MS Gothic"/>
          <w:b/>
        </w:rPr>
        <w:sym w:font="Wingdings" w:char="F02A"/>
      </w:r>
      <w:r>
        <w:rPr>
          <w:b/>
        </w:rPr>
        <w:t>)</w:t>
      </w:r>
      <w:r>
        <w:rPr>
          <w:vertAlign w:val="superscript"/>
        </w:rPr>
        <w:t>1</w:t>
      </w:r>
    </w:p>
    <w:p w14:paraId="2DF8D8BA">
      <w:r>
        <w:t>1 School of Chemical Engineering and Technology, Tianjin University, Tianjin 300072, China</w:t>
      </w:r>
    </w:p>
    <w:p w14:paraId="3E9F2E6A">
      <w:r>
        <w:t>2 School of Chemical Engineering, Sichuan University, Chengdu 610065, China</w:t>
      </w:r>
    </w:p>
    <w:p w14:paraId="7BC45FFC">
      <w:r>
        <w:t xml:space="preserve">3 School of Aeronautics and Astronautics, Shanghai Jiao Tong University, Shanghai 200240, China </w:t>
      </w:r>
    </w:p>
    <w:p w14:paraId="0F81B29E"/>
    <w:p w14:paraId="2965B3BC">
      <w:pPr>
        <w:pStyle w:val="2"/>
      </w:pPr>
      <w:r>
        <w:t xml:space="preserve">E-mails: </w:t>
      </w:r>
      <w:r>
        <w:fldChar w:fldCharType="begin"/>
      </w:r>
      <w:r>
        <w:instrText xml:space="preserve"> HYPERLINK "mailto:zhangbin1983@sjtu.edu.cn" </w:instrText>
      </w:r>
      <w:r>
        <w:fldChar w:fldCharType="separate"/>
      </w:r>
      <w:r>
        <w:rPr>
          <w:color w:val="0563C1"/>
          <w:u w:val="single"/>
        </w:rPr>
        <w:t>zhangbin1983@sjtu.edu.cn</w:t>
      </w:r>
      <w:r>
        <w:rPr>
          <w:color w:val="0563C1"/>
          <w:u w:val="single"/>
        </w:rPr>
        <w:fldChar w:fldCharType="end"/>
      </w:r>
      <w:r>
        <w:rPr>
          <w:u w:val="single"/>
        </w:rPr>
        <w:t xml:space="preserve"> (Zhang B</w:t>
      </w:r>
      <w:r>
        <w:t xml:space="preserve">); </w:t>
      </w:r>
      <w:r>
        <w:fldChar w:fldCharType="begin"/>
      </w:r>
      <w:r>
        <w:instrText xml:space="preserve"> HYPERLINK "mailto:yhan@tju.edu.cn" </w:instrText>
      </w:r>
      <w:r>
        <w:fldChar w:fldCharType="separate"/>
      </w:r>
      <w:r>
        <w:rPr>
          <w:u w:val="single"/>
        </w:rPr>
        <w:t>yhan@tju.edu.cn</w:t>
      </w:r>
      <w:r>
        <w:rPr>
          <w:u w:val="single"/>
        </w:rPr>
        <w:fldChar w:fldCharType="end"/>
      </w:r>
      <w:r>
        <w:rPr>
          <w:u w:val="single"/>
        </w:rPr>
        <w:t xml:space="preserve"> (Han Y</w:t>
      </w:r>
      <w:r>
        <w:t>)</w:t>
      </w:r>
    </w:p>
    <w:p w14:paraId="3DACFD2D">
      <w:pPr>
        <w:pStyle w:val="2"/>
      </w:pPr>
    </w:p>
    <w:p w14:paraId="79D83863">
      <w:pPr>
        <w:pStyle w:val="2"/>
      </w:pPr>
      <w:r>
        <w:drawing>
          <wp:inline distT="0" distB="0" distL="0" distR="0">
            <wp:extent cx="2880360" cy="2203450"/>
            <wp:effectExtent l="0" t="0" r="0" b="6350"/>
            <wp:docPr id="14104050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05021" name="图片 4"/>
                    <pic:cNvPicPr>
                      <a:picLocks noChangeAspect="1"/>
                    </pic:cNvPicPr>
                  </pic:nvPicPr>
                  <pic:blipFill>
                    <a:blip r:embed="rId6"/>
                    <a:stretch>
                      <a:fillRect/>
                    </a:stretch>
                  </pic:blipFill>
                  <pic:spPr>
                    <a:xfrm>
                      <a:off x="0" y="0"/>
                      <a:ext cx="2880360" cy="2203704"/>
                    </a:xfrm>
                    <a:prstGeom prst="rect">
                      <a:avLst/>
                    </a:prstGeom>
                  </pic:spPr>
                </pic:pic>
              </a:graphicData>
            </a:graphic>
          </wp:inline>
        </w:drawing>
      </w:r>
    </w:p>
    <w:p w14:paraId="2298C2C3">
      <w:pPr>
        <w:rPr>
          <w:shd w:val="clear" w:color="auto" w:fill="FFFFFF"/>
        </w:rPr>
      </w:pPr>
      <w:bookmarkStart w:id="1" w:name="_Hlk165917663"/>
      <w:bookmarkStart w:id="2" w:name="_Hlk165917636"/>
      <w:r>
        <w:rPr>
          <w:b/>
          <w:bCs/>
          <w:shd w:val="clear" w:color="auto" w:fill="FFFFFF"/>
        </w:rPr>
        <w:t>Fig. S1</w:t>
      </w:r>
      <w:r>
        <w:rPr>
          <w:shd w:val="clear" w:color="auto" w:fill="FFFFFF"/>
        </w:rPr>
        <w:t>. The prediction performance of the Optimized mechanism for different weight coefficient of IDTs and LFSs for 5:5, 6:4, 7:3</w:t>
      </w:r>
    </w:p>
    <w:bookmarkEnd w:id="1"/>
    <w:p w14:paraId="0EC95F5C">
      <w:pPr>
        <w:rPr>
          <w:shd w:val="clear" w:color="auto" w:fill="FFFFFF"/>
        </w:rPr>
      </w:pPr>
      <w:r>
        <w:rPr>
          <w:shd w:val="clear" w:color="auto" w:fill="FFFFFF"/>
        </w:rPr>
        <w:t>In the process of optimizing mechanism for H</w:t>
      </w:r>
      <w:r>
        <w:rPr>
          <w:shd w:val="clear" w:color="auto" w:fill="FFFFFF"/>
          <w:vertAlign w:val="subscript"/>
        </w:rPr>
        <w:t>2</w:t>
      </w:r>
      <w:r>
        <w:rPr>
          <w:shd w:val="clear" w:color="auto" w:fill="FFFFFF"/>
        </w:rPr>
        <w:t xml:space="preserve"> combustion, the weight coefficients of ignition delay time (IDTs) and laminar flame speed (LFSs) in the objective function are very crucial. We hope that the optimized mechanism will show good prediction performance in both IDTs and LFSs. If the weight coefficient of a physical quantity is too high, the prediction performance of the other physical quantity will become worse. Considering the number of experimental data and the magnitude of error of IDTs and LFSs, several weight coefficient sets of IDTs and LFSs of 5:5,6:4 and 7:3 were selected. Five indexes of the total mean error of IDTs and LFSs, the mean and maximum error of IDTs, and the mean and maximum error of LFSs were selected to determine the weight coefficient used in the objective function. </w:t>
      </w:r>
      <w:r>
        <w:rPr>
          <w:b/>
          <w:bCs/>
          <w:shd w:val="clear" w:color="auto" w:fill="FFFFFF"/>
        </w:rPr>
        <w:t>Fig. S1</w:t>
      </w:r>
      <w:r>
        <w:rPr>
          <w:shd w:val="clear" w:color="auto" w:fill="FFFFFF"/>
        </w:rPr>
        <w:t xml:space="preserve"> shows the performance of the Optimized mechanism obtained using different weight coefficients under 10000 sample data points. As shown in </w:t>
      </w:r>
      <w:r>
        <w:rPr>
          <w:b/>
          <w:bCs/>
          <w:shd w:val="clear" w:color="auto" w:fill="FFFFFF"/>
        </w:rPr>
        <w:t>Fig. S1</w:t>
      </w:r>
      <w:r>
        <w:rPr>
          <w:shd w:val="clear" w:color="auto" w:fill="FFFFFF"/>
        </w:rPr>
        <w:t xml:space="preserve"> , the Optimized mechanism obtained by the weight coefficient of 6:4 has minimum values in the total mean error, the mean error of LFSs, and the maximum error of IDTs and LFSs.Therefore, the weight coefficient of 6:4 is the most appropriate weight coefficient in the optimization process.</w:t>
      </w:r>
      <w:bookmarkEnd w:id="2"/>
    </w:p>
    <w:p w14:paraId="762C1A17">
      <w:pPr>
        <w:pStyle w:val="2"/>
        <w:rPr>
          <w:shd w:val="clear" w:color="auto" w:fill="FFFFFF"/>
        </w:rPr>
      </w:pPr>
      <w:r>
        <w:rPr>
          <w:shd w:val="clear" w:color="auto" w:fill="FFFFFF"/>
        </w:rPr>
        <w:drawing>
          <wp:inline distT="0" distB="0" distL="0" distR="0">
            <wp:extent cx="2880360" cy="2206625"/>
            <wp:effectExtent l="0" t="0" r="0" b="3175"/>
            <wp:docPr id="6279829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982919" name="图片 5"/>
                    <pic:cNvPicPr>
                      <a:picLocks noChangeAspect="1"/>
                    </pic:cNvPicPr>
                  </pic:nvPicPr>
                  <pic:blipFill>
                    <a:blip r:embed="rId7"/>
                    <a:stretch>
                      <a:fillRect/>
                    </a:stretch>
                  </pic:blipFill>
                  <pic:spPr>
                    <a:xfrm>
                      <a:off x="0" y="0"/>
                      <a:ext cx="2880360" cy="2206752"/>
                    </a:xfrm>
                    <a:prstGeom prst="rect">
                      <a:avLst/>
                    </a:prstGeom>
                  </pic:spPr>
                </pic:pic>
              </a:graphicData>
            </a:graphic>
          </wp:inline>
        </w:drawing>
      </w:r>
    </w:p>
    <w:p w14:paraId="14F1EBAE">
      <w:pPr>
        <w:rPr>
          <w:shd w:val="clear" w:color="auto" w:fill="FFFFFF"/>
        </w:rPr>
      </w:pPr>
      <w:r>
        <w:rPr>
          <w:b/>
          <w:bCs/>
          <w:shd w:val="clear" w:color="auto" w:fill="FFFFFF"/>
        </w:rPr>
        <w:t>Fig. S2</w:t>
      </w:r>
      <w:r>
        <w:rPr>
          <w:shd w:val="clear" w:color="auto" w:fill="FFFFFF"/>
        </w:rPr>
        <w:t>. Relative error for mechanism during iteration.</w:t>
      </w:r>
    </w:p>
    <w:p w14:paraId="7D75BAC5">
      <w:pPr>
        <w:rPr>
          <w:shd w:val="clear" w:color="auto" w:fill="FFFFFF"/>
        </w:rPr>
      </w:pPr>
      <w:r>
        <w:rPr>
          <w:shd w:val="clear" w:color="auto" w:fill="FFFFFF"/>
        </w:rPr>
        <w:t xml:space="preserve">As illustrated in </w:t>
      </w:r>
      <w:r>
        <w:rPr>
          <w:b/>
          <w:bCs/>
          <w:shd w:val="clear" w:color="auto" w:fill="FFFFFF"/>
        </w:rPr>
        <w:t>Fig. S2</w:t>
      </w:r>
      <w:r>
        <w:rPr>
          <w:shd w:val="clear" w:color="auto" w:fill="FFFFFF"/>
        </w:rPr>
        <w:t>, the objective function, prediction mean error of IDTs and LFSs present the fluctuating downward trend with iterations in the first 20 iterations. The values of the objective function have changed very little after 40 iterations. It can be seen that the terminal condition is satisfied at the 79th iteration.</w:t>
      </w:r>
    </w:p>
    <w:p w14:paraId="1B569F82">
      <w:pPr>
        <w:pStyle w:val="2"/>
      </w:pPr>
      <w:r>
        <w:rPr>
          <w:b/>
          <w:bCs/>
        </w:rPr>
        <w:t>Table S1.</w:t>
      </w:r>
      <w:r>
        <w:t xml:space="preserve"> Ignition delay time measurements of hydrogen-oxygen mixtures</w:t>
      </w:r>
    </w:p>
    <w:tbl>
      <w:tblPr>
        <w:tblStyle w:val="5"/>
        <w:tblW w:w="8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7"/>
        <w:gridCol w:w="1165"/>
        <w:gridCol w:w="1881"/>
        <w:gridCol w:w="1769"/>
        <w:gridCol w:w="1861"/>
      </w:tblGrid>
      <w:tr w14:paraId="1A598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96" w:type="dxa"/>
            <w:shd w:val="clear" w:color="auto" w:fill="auto"/>
          </w:tcPr>
          <w:p w14:paraId="6532016F">
            <w:r>
              <w:t>Number of data</w:t>
            </w:r>
          </w:p>
        </w:tc>
        <w:tc>
          <w:tcPr>
            <w:tcW w:w="918" w:type="dxa"/>
            <w:shd w:val="clear" w:color="auto" w:fill="auto"/>
          </w:tcPr>
          <w:p w14:paraId="4A6DFCE7">
            <w:r>
              <w:t>Diluents</w:t>
            </w:r>
          </w:p>
        </w:tc>
        <w:tc>
          <w:tcPr>
            <w:tcW w:w="1925" w:type="dxa"/>
            <w:shd w:val="clear" w:color="auto" w:fill="auto"/>
          </w:tcPr>
          <w:p w14:paraId="788C143D">
            <w:r>
              <w:t>Temperature (K)</w:t>
            </w:r>
          </w:p>
        </w:tc>
        <w:tc>
          <w:tcPr>
            <w:tcW w:w="1828" w:type="dxa"/>
            <w:shd w:val="clear" w:color="auto" w:fill="auto"/>
          </w:tcPr>
          <w:p w14:paraId="30F15EB3">
            <w:r>
              <w:t>Pressure (atm)</w:t>
            </w:r>
          </w:p>
        </w:tc>
        <w:tc>
          <w:tcPr>
            <w:tcW w:w="1906" w:type="dxa"/>
            <w:shd w:val="clear" w:color="auto" w:fill="auto"/>
          </w:tcPr>
          <w:p w14:paraId="36CABA4A">
            <w:r>
              <w:t>Equivalence ratio</w:t>
            </w:r>
          </w:p>
        </w:tc>
      </w:tr>
      <w:tr w14:paraId="5814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8373" w:type="dxa"/>
            <w:gridSpan w:val="5"/>
            <w:shd w:val="clear" w:color="auto" w:fill="auto"/>
          </w:tcPr>
          <w:p w14:paraId="782C570A">
            <w:r>
              <w:t xml:space="preserve">Herzler et al. (2009) </w:t>
            </w:r>
            <w:r>
              <w:fldChar w:fldCharType="begin"/>
            </w:r>
            <w:r>
              <w:instrText xml:space="preserve"> ADDIN EN.CITE &lt;EndNote&gt;&lt;Cite&gt;&lt;Author&gt;Herzler&lt;/Author&gt;&lt;Year&gt;2009&lt;/Year&gt;&lt;RecNum&gt;89&lt;/RecNum&gt;&lt;DisplayText&gt;&lt;style font="Times New Roman" size="12"&gt;[1]&lt;/style&gt;&lt;/DisplayText&gt;&lt;record&gt;&lt;rec-number&gt;89&lt;/rec-number&gt;&lt;foreign-keys&gt;&lt;key app="EN" db-id="xssf90rsqz9sx4ezzwo505ejefwtapppzde5" timestamp="1700032539"&gt;89&lt;/key&gt;&lt;/foreign-keys&gt;&lt;ref-type name="Journal Article"&gt;17&lt;/ref-type&gt;&lt;contributors&gt;&lt;authors&gt;&lt;author&gt;Herzler, J.&lt;/author&gt;&lt;author&gt;Naumann, C.&lt;/author&gt;&lt;/authors&gt;&lt;/contributors&gt;&lt;titles&gt;&lt;title&gt;Shock-tube study of the ignition of methane/ethane/hydrogen mixtures with hydrogen contents from 0% to 100% at different pressures&lt;/title&gt;&lt;secondary-title&gt;Proceedings of the Combustion Institute&lt;/secondary-title&gt;&lt;/titles&gt;&lt;periodical&gt;&lt;full-title&gt;Proceedings of the Combustion Institute&lt;/full-title&gt;&lt;/periodical&gt;&lt;pages&gt;213-220&lt;/pages&gt;&lt;volume&gt;32&lt;/volume&gt;&lt;number&gt;1&lt;/number&gt;&lt;keywords&gt;&lt;keyword&gt;Hydrogen&lt;/keyword&gt;&lt;keyword&gt;Methane&lt;/keyword&gt;&lt;keyword&gt;Ethane&lt;/keyword&gt;&lt;keyword&gt;Ignition&lt;/keyword&gt;&lt;keyword&gt;Shock tube&lt;/keyword&gt;&lt;/keywords&gt;&lt;dates&gt;&lt;year&gt;2009&lt;/year&gt;&lt;pub-dates&gt;&lt;date&gt;2009/01/01/&lt;/date&gt;&lt;/pub-dates&gt;&lt;/dates&gt;&lt;isbn&gt;1540-7489&lt;/isbn&gt;&lt;urls&gt;&lt;related-urls&gt;&lt;url&gt;https://www.sciencedirect.com/science/article/pii/S1540748908003155&lt;/url&gt;&lt;/related-urls&gt;&lt;/urls&gt;&lt;electronic-resource-num&gt;https://doi.org/10.1016/j.proci.2008.07.034&lt;/electronic-resource-num&gt;&lt;/record&gt;&lt;/Cite&gt;&lt;/EndNote&gt;</w:instrText>
            </w:r>
            <w:r>
              <w:fldChar w:fldCharType="separate"/>
            </w:r>
            <w:r>
              <w:t>[1]</w:t>
            </w:r>
            <w:r>
              <w:fldChar w:fldCharType="end"/>
            </w:r>
            <w:r>
              <w:t xml:space="preserve"> </w:t>
            </w:r>
          </w:p>
        </w:tc>
      </w:tr>
      <w:tr w14:paraId="7D0D8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36DD6EA">
            <w:r>
              <w:t>30</w:t>
            </w:r>
          </w:p>
        </w:tc>
        <w:tc>
          <w:tcPr>
            <w:tcW w:w="918" w:type="dxa"/>
            <w:shd w:val="clear" w:color="auto" w:fill="auto"/>
          </w:tcPr>
          <w:p w14:paraId="77DA7B36">
            <w:r>
              <w:t>AR</w:t>
            </w:r>
          </w:p>
        </w:tc>
        <w:tc>
          <w:tcPr>
            <w:tcW w:w="1925" w:type="dxa"/>
            <w:shd w:val="clear" w:color="auto" w:fill="auto"/>
          </w:tcPr>
          <w:p w14:paraId="13B5CD44">
            <w:r>
              <w:t>956-1456</w:t>
            </w:r>
          </w:p>
        </w:tc>
        <w:tc>
          <w:tcPr>
            <w:tcW w:w="1828" w:type="dxa"/>
            <w:shd w:val="clear" w:color="auto" w:fill="auto"/>
          </w:tcPr>
          <w:p w14:paraId="40906CEA">
            <w:r>
              <w:t>0.87-4.12</w:t>
            </w:r>
          </w:p>
        </w:tc>
        <w:tc>
          <w:tcPr>
            <w:tcW w:w="1906" w:type="dxa"/>
            <w:shd w:val="clear" w:color="auto" w:fill="auto"/>
          </w:tcPr>
          <w:p w14:paraId="7FAF2439">
            <w:r>
              <w:t>0.5-1</w:t>
            </w:r>
          </w:p>
        </w:tc>
      </w:tr>
      <w:tr w14:paraId="68616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0B4EC828">
            <w:r>
              <w:t xml:space="preserve">Zhang et al. (2012) </w:t>
            </w:r>
            <w:r>
              <w:fldChar w:fldCharType="begin"/>
            </w:r>
            <w:r>
              <w:instrText xml:space="preserve"> ADDIN EN.CITE &lt;EndNote&gt;&lt;Cite&gt;&lt;Author&gt;Zhang&lt;/Author&gt;&lt;Year&gt;2012&lt;/Year&gt;&lt;RecNum&gt;90&lt;/RecNum&gt;&lt;DisplayText&gt;&lt;style font="Times New Roman" size="12"&gt;[2]&lt;/style&gt;&lt;/DisplayText&gt;&lt;record&gt;&lt;rec-number&gt;90&lt;/rec-number&gt;&lt;foreign-keys&gt;&lt;key app="EN" db-id="9xxtaevabwv2tjex095x05rq9v0padvps90f" timestamp="1700034111"&gt;90&lt;/key&gt;&lt;/foreign-keys&gt;&lt;ref-type name="Journal Article"&gt;17&lt;/ref-type&gt;&lt;contributors&gt;&lt;authors&gt;&lt;author&gt;Zhang, Yingjia&lt;/author&gt;&lt;author&gt;Huang, Zuohua&lt;/author&gt;&lt;author&gt;Wei, Liangjie&lt;/author&gt;&lt;author&gt;Zhang, Jiaxiang&lt;/author&gt;&lt;author&gt;Law, Chung K.&lt;/author&gt;&lt;/authors&gt;&lt;/contributors&gt;&lt;titles&gt;&lt;title&gt;Experimental and modeling study on ignition delays of lean mixtures of methane, hydrogen, oxygen, and argon at elevated pressures&lt;/title&gt;&lt;secondary-title&gt;Combustion and Flame&lt;/secondary-title&gt;&lt;/titles&gt;&lt;pages&gt;918-931&lt;/pages&gt;&lt;volume&gt;159&lt;/volume&gt;&lt;number&gt;3&lt;/number&gt;&lt;keywords&gt;&lt;keyword&gt;Ignition delay&lt;/keyword&gt;&lt;keyword&gt;Methane&lt;/keyword&gt;&lt;keyword&gt;Hydrogen&lt;/keyword&gt;&lt;keyword&gt;Shock tube&lt;/keyword&gt;&lt;keyword&gt;Chemical kinetics&lt;/keyword&gt;&lt;/keywords&gt;&lt;dates&gt;&lt;year&gt;2012&lt;/year&gt;&lt;pub-dates&gt;&lt;date&gt;2012/03/01/&lt;/date&gt;&lt;/pub-dates&gt;&lt;/dates&gt;&lt;isbn&gt;0010-2180&lt;/isbn&gt;&lt;urls&gt;&lt;related-urls&gt;&lt;url&gt;https://www.sciencedirect.com/science/article/pii/S0010218011002951&lt;/url&gt;&lt;/related-urls&gt;&lt;/urls&gt;&lt;electronic-resource-num&gt;https://doi.org/10.1016/j.combustflame.2011.09.010&lt;/electronic-resource-num&gt;&lt;/record&gt;&lt;/Cite&gt;&lt;/EndNote&gt;</w:instrText>
            </w:r>
            <w:r>
              <w:fldChar w:fldCharType="separate"/>
            </w:r>
            <w:r>
              <w:t>[2]</w:t>
            </w:r>
            <w:r>
              <w:fldChar w:fldCharType="end"/>
            </w:r>
          </w:p>
        </w:tc>
      </w:tr>
      <w:tr w14:paraId="072BE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CE02CB3">
            <w:r>
              <w:t>11</w:t>
            </w:r>
          </w:p>
        </w:tc>
        <w:tc>
          <w:tcPr>
            <w:tcW w:w="918" w:type="dxa"/>
            <w:shd w:val="clear" w:color="auto" w:fill="auto"/>
          </w:tcPr>
          <w:p w14:paraId="3F1FDC44">
            <w:r>
              <w:t>AR</w:t>
            </w:r>
          </w:p>
        </w:tc>
        <w:tc>
          <w:tcPr>
            <w:tcW w:w="1925" w:type="dxa"/>
            <w:shd w:val="clear" w:color="auto" w:fill="auto"/>
          </w:tcPr>
          <w:p w14:paraId="445205AD">
            <w:r>
              <w:t>1065-1267</w:t>
            </w:r>
          </w:p>
        </w:tc>
        <w:tc>
          <w:tcPr>
            <w:tcW w:w="1828" w:type="dxa"/>
            <w:shd w:val="clear" w:color="auto" w:fill="auto"/>
          </w:tcPr>
          <w:p w14:paraId="19B0AA0C">
            <w:r>
              <w:t>10-20</w:t>
            </w:r>
          </w:p>
        </w:tc>
        <w:tc>
          <w:tcPr>
            <w:tcW w:w="1906" w:type="dxa"/>
            <w:shd w:val="clear" w:color="auto" w:fill="auto"/>
          </w:tcPr>
          <w:p w14:paraId="29784CED">
            <w:r>
              <w:t>0.5</w:t>
            </w:r>
          </w:p>
        </w:tc>
      </w:tr>
      <w:tr w14:paraId="4C761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B3A73B7">
            <w:r>
              <w:t xml:space="preserve">Kéromnès et al. (2013) </w:t>
            </w:r>
            <w:r>
              <w:fldChar w:fldCharType="begin"/>
            </w:r>
            <w:r>
              <w:instrText xml:space="preserve"> ADDIN EN.CITE &lt;EndNote&gt;&lt;Cite&gt;&lt;Author&gt;Kéromnès&lt;/Author&gt;&lt;Year&gt;2013&lt;/Year&gt;&lt;RecNum&gt;91&lt;/RecNum&gt;&lt;DisplayText&gt;&lt;style font="Times New Roman" size="12"&gt;[3]&lt;/style&gt;&lt;/DisplayText&gt;&lt;record&gt;&lt;rec-number&gt;91&lt;/rec-number&gt;&lt;foreign-keys&gt;&lt;key app="EN" db-id="xssf90rsqz9sx4ezzwo505ejefwtapppzde5" timestamp="1700034890"&gt;91&lt;/key&gt;&lt;/foreign-keys&gt;&lt;ref-type name="Journal Article"&gt;17&lt;/ref-type&gt;&lt;contributors&gt;&lt;authors&gt;&lt;author&gt;Kéromnès, Alan&lt;/author&gt;&lt;author&gt;Metcalfe, Wayne K.&lt;/author&gt;&lt;author&gt;Heufer, Karl A.&lt;/author&gt;&lt;author&gt;Donohoe, Nicola&lt;/author&gt;&lt;author&gt;Das, Apurba K.&lt;/author&gt;&lt;author&gt;Sung, Chih-Jen&lt;/author&gt;&lt;author&gt;Herzler, Jürgen&lt;/author&gt;&lt;author&gt;Naumann, Clemens&lt;/author&gt;&lt;author&gt;Griebel, Peter&lt;/author&gt;&lt;author&gt;Mathieu, Olivier&lt;/author&gt;&lt;author&gt;Krejci, Michael C.&lt;/author&gt;&lt;author&gt;Petersen, Eric L.&lt;/author&gt;&lt;author&gt;Pitz, William J.&lt;/author&gt;&lt;author&gt;Curran, Henry J.&lt;/author&gt;&lt;/authors&gt;&lt;/contributors&gt;&lt;titles&gt;&lt;title&gt;An experimental and detailed chemical kinetic modeling study of hydrogen and syngas mixture oxidation at elevated pressures&lt;/title&gt;&lt;secondary-title&gt;Combustion and Flame&lt;/secondary-title&gt;&lt;/titles&gt;&lt;periodical&gt;&lt;full-title&gt;Combustion and Flame&lt;/full-title&gt;&lt;/periodical&gt;&lt;pages&gt;995-1011&lt;/pages&gt;&lt;volume&gt;160&lt;/volume&gt;&lt;number&gt;6&lt;/number&gt;&lt;keywords&gt;&lt;keyword&gt;Hydrogen&lt;/keyword&gt;&lt;keyword&gt;Syngas&lt;/keyword&gt;&lt;keyword&gt;Kinetic mechanism&lt;/keyword&gt;&lt;keyword&gt;Ignition delay times&lt;/keyword&gt;&lt;keyword&gt;Flame speed&lt;/keyword&gt;&lt;/keywords&gt;&lt;dates&gt;&lt;year&gt;2013&lt;/year&gt;&lt;pub-dates&gt;&lt;date&gt;2013/06/01/&lt;/date&gt;&lt;/pub-dates&gt;&lt;/dates&gt;&lt;isbn&gt;0010-2180&lt;/isbn&gt;&lt;urls&gt;&lt;related-urls&gt;&lt;url&gt;https://www.sciencedirect.com/science/article/pii/S0010218013000023&lt;/url&gt;&lt;/related-urls&gt;&lt;/urls&gt;&lt;electronic-resource-num&gt;https://doi.org/10.1016/j.combustflame.2013.01.001&lt;/electronic-resource-num&gt;&lt;/record&gt;&lt;/Cite&gt;&lt;/EndNote&gt;</w:instrText>
            </w:r>
            <w:r>
              <w:fldChar w:fldCharType="separate"/>
            </w:r>
            <w:r>
              <w:t>[3]</w:t>
            </w:r>
            <w:r>
              <w:fldChar w:fldCharType="end"/>
            </w:r>
          </w:p>
        </w:tc>
      </w:tr>
      <w:tr w14:paraId="6E243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8BBAB05">
            <w:r>
              <w:t>102</w:t>
            </w:r>
          </w:p>
        </w:tc>
        <w:tc>
          <w:tcPr>
            <w:tcW w:w="918" w:type="dxa"/>
            <w:shd w:val="clear" w:color="auto" w:fill="auto"/>
          </w:tcPr>
          <w:p w14:paraId="029CBE47">
            <w:r>
              <w:t>AR</w:t>
            </w:r>
          </w:p>
        </w:tc>
        <w:tc>
          <w:tcPr>
            <w:tcW w:w="1925" w:type="dxa"/>
            <w:shd w:val="clear" w:color="auto" w:fill="auto"/>
          </w:tcPr>
          <w:p w14:paraId="523C6D01">
            <w:r>
              <w:t>966-1739</w:t>
            </w:r>
          </w:p>
        </w:tc>
        <w:tc>
          <w:tcPr>
            <w:tcW w:w="1828" w:type="dxa"/>
            <w:shd w:val="clear" w:color="auto" w:fill="auto"/>
          </w:tcPr>
          <w:p w14:paraId="732E9694">
            <w:r>
              <w:t>1.43-34.67</w:t>
            </w:r>
          </w:p>
        </w:tc>
        <w:tc>
          <w:tcPr>
            <w:tcW w:w="1906" w:type="dxa"/>
            <w:shd w:val="clear" w:color="auto" w:fill="auto"/>
          </w:tcPr>
          <w:p w14:paraId="5D53AD17">
            <w:r>
              <w:t>0.3-1</w:t>
            </w:r>
          </w:p>
        </w:tc>
      </w:tr>
      <w:tr w14:paraId="62C7D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EAA9EB1">
            <w:r>
              <w:t>21</w:t>
            </w:r>
          </w:p>
        </w:tc>
        <w:tc>
          <w:tcPr>
            <w:tcW w:w="918" w:type="dxa"/>
            <w:shd w:val="clear" w:color="auto" w:fill="auto"/>
          </w:tcPr>
          <w:p w14:paraId="7296DE6A">
            <w:r>
              <w:t>N</w:t>
            </w:r>
            <w:r>
              <w:rPr>
                <w:vertAlign w:val="subscript"/>
              </w:rPr>
              <w:t>2</w:t>
            </w:r>
          </w:p>
        </w:tc>
        <w:tc>
          <w:tcPr>
            <w:tcW w:w="1925" w:type="dxa"/>
            <w:shd w:val="clear" w:color="auto" w:fill="auto"/>
          </w:tcPr>
          <w:p w14:paraId="20DF7AED">
            <w:r>
              <w:t>974-1954</w:t>
            </w:r>
          </w:p>
        </w:tc>
        <w:tc>
          <w:tcPr>
            <w:tcW w:w="1828" w:type="dxa"/>
            <w:shd w:val="clear" w:color="auto" w:fill="auto"/>
          </w:tcPr>
          <w:p w14:paraId="387B97A9">
            <w:r>
              <w:t>0.96-16</w:t>
            </w:r>
          </w:p>
        </w:tc>
        <w:tc>
          <w:tcPr>
            <w:tcW w:w="1906" w:type="dxa"/>
            <w:shd w:val="clear" w:color="auto" w:fill="auto"/>
          </w:tcPr>
          <w:p w14:paraId="787605C2">
            <w:r>
              <w:t>0.5</w:t>
            </w:r>
          </w:p>
        </w:tc>
      </w:tr>
      <w:tr w14:paraId="138A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2845A9AB">
            <w:r>
              <w:t xml:space="preserve">Pang et al. (2009) </w:t>
            </w:r>
            <w:r>
              <w:fldChar w:fldCharType="begin"/>
            </w:r>
            <w:r>
              <w:instrText xml:space="preserve"> ADDIN EN.CITE &lt;EndNote&gt;&lt;Cite&gt;&lt;Author&gt;Pang&lt;/Author&gt;&lt;Year&gt;2009&lt;/Year&gt;&lt;RecNum&gt;92&lt;/RecNum&gt;&lt;DisplayText&gt;&lt;style font="Times New Roman" size="12"&gt;[4]&lt;/style&gt;&lt;/DisplayText&gt;&lt;record&gt;&lt;rec-number&gt;92&lt;/rec-number&gt;&lt;foreign-keys&gt;&lt;key app="EN" db-id="xssf90rsqz9sx4ezzwo505ejefwtapppzde5" timestamp="1700035106"&gt;92&lt;/key&gt;&lt;/foreign-keys&gt;&lt;ref-type name="Journal Article"&gt;17&lt;/ref-type&gt;&lt;contributors&gt;&lt;authors&gt;&lt;author&gt;Pang, G. A.&lt;/author&gt;&lt;author&gt;Davidson, D. F.&lt;/author&gt;&lt;author&gt;Hanson, R. K.&lt;/author&gt;&lt;/authors&gt;&lt;/contributors&gt;&lt;titles&gt;&lt;title&gt;Experimental study and modeling of shock tube ignition delay times for hydrogen–oxygen–argon mixtures at low temperatures&lt;/title&gt;&lt;secondary-title&gt;Proceedings of the Combustion Institute&lt;/secondary-title&gt;&lt;/titles&gt;&lt;periodical&gt;&lt;full-title&gt;Proceedings of the Combustion Institute&lt;/full-title&gt;&lt;/periodical&gt;&lt;pages&gt;181-188&lt;/pages&gt;&lt;volume&gt;32&lt;/volume&gt;&lt;number&gt;1&lt;/number&gt;&lt;keywords&gt;&lt;keyword&gt;Shock tube&lt;/keyword&gt;&lt;keyword&gt;Ignition delay time&lt;/keyword&gt;&lt;keyword&gt;Hydrogen–Oxygen&lt;/keyword&gt;&lt;/keywords&gt;&lt;dates&gt;&lt;year&gt;2009&lt;/year&gt;&lt;pub-dates&gt;&lt;date&gt;2009/01/01/&lt;/date&gt;&lt;/pub-dates&gt;&lt;/dates&gt;&lt;isbn&gt;1540-7489&lt;/isbn&gt;&lt;urls&gt;&lt;related-urls&gt;&lt;url&gt;https://www.sciencedirect.com/science/article/pii/S1540748908000230&lt;/url&gt;&lt;/related-urls&gt;&lt;/urls&gt;&lt;electronic-resource-num&gt;https://doi.org/10.1016/j.proci.2008.06.014&lt;/electronic-resource-num&gt;&lt;/record&gt;&lt;/Cite&gt;&lt;/EndNote&gt;</w:instrText>
            </w:r>
            <w:r>
              <w:fldChar w:fldCharType="separate"/>
            </w:r>
            <w:r>
              <w:t>[4]</w:t>
            </w:r>
            <w:r>
              <w:fldChar w:fldCharType="end"/>
            </w:r>
          </w:p>
        </w:tc>
      </w:tr>
      <w:tr w14:paraId="23F24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4F0BD265">
            <w:r>
              <w:t>15</w:t>
            </w:r>
          </w:p>
        </w:tc>
        <w:tc>
          <w:tcPr>
            <w:tcW w:w="918" w:type="dxa"/>
            <w:shd w:val="clear" w:color="auto" w:fill="auto"/>
          </w:tcPr>
          <w:p w14:paraId="139354D8">
            <w:bookmarkStart w:id="3" w:name="OLE_LINK20"/>
            <w:r>
              <w:t>AR</w:t>
            </w:r>
            <w:bookmarkEnd w:id="3"/>
          </w:p>
        </w:tc>
        <w:tc>
          <w:tcPr>
            <w:tcW w:w="1925" w:type="dxa"/>
            <w:shd w:val="clear" w:color="auto" w:fill="auto"/>
          </w:tcPr>
          <w:p w14:paraId="162AA861">
            <w:r>
              <w:t>963-1118</w:t>
            </w:r>
          </w:p>
        </w:tc>
        <w:tc>
          <w:tcPr>
            <w:tcW w:w="1828" w:type="dxa"/>
            <w:shd w:val="clear" w:color="auto" w:fill="auto"/>
          </w:tcPr>
          <w:p w14:paraId="7D8A56C5">
            <w:r>
              <w:t>3-3.7</w:t>
            </w:r>
          </w:p>
        </w:tc>
        <w:tc>
          <w:tcPr>
            <w:tcW w:w="1906" w:type="dxa"/>
            <w:shd w:val="clear" w:color="auto" w:fill="auto"/>
          </w:tcPr>
          <w:p w14:paraId="3F2FB2FC">
            <w:r>
              <w:t>0.42-1</w:t>
            </w:r>
          </w:p>
        </w:tc>
      </w:tr>
      <w:tr w14:paraId="05ED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213EEBEA">
            <w:r>
              <w:t xml:space="preserve">Pavlov et al. </w:t>
            </w:r>
            <w:bookmarkStart w:id="4" w:name="OLE_LINK21"/>
            <w:r>
              <w:t>(2011)</w:t>
            </w:r>
            <w:bookmarkEnd w:id="4"/>
            <w:r>
              <w:t xml:space="preserve"> </w:t>
            </w:r>
            <w:r>
              <w:fldChar w:fldCharType="begin"/>
            </w:r>
            <w:r>
              <w:instrText xml:space="preserve"> ADDIN EN.CITE &lt;EndNote&gt;&lt;Cite&gt;&lt;Author&gt;Pavlov&lt;/Author&gt;&lt;Year&gt;2011&lt;/Year&gt;&lt;RecNum&gt;93&lt;/RecNum&gt;&lt;DisplayText&gt;&lt;style font="Times New Roman" size="12"&gt;[5]&lt;/style&gt;&lt;/DisplayText&gt;&lt;record&gt;&lt;rec-number&gt;93&lt;/rec-number&gt;&lt;foreign-keys&gt;&lt;key app="EN" db-id="9xxtaevabwv2tjex095x05rq9v0padvps90f" timestamp="1700035594"&gt;93&lt;/key&gt;&lt;/foreign-keys&gt;&lt;ref-type name="Journal Article"&gt;17&lt;/ref-type&gt;&lt;contributors&gt;&lt;authors&gt;&lt;author&gt;Pavlov, V. A.&lt;/author&gt;&lt;author&gt;Shatalov, O. P.&lt;/author&gt;&lt;/authors&gt;&lt;/contributors&gt;&lt;titles&gt;&lt;title&gt;Measuring the ignition delay time for hydrogen-oxygen mixtures behind the front of an incident shock wave&lt;/title&gt;&lt;secondary-title&gt;Kinetics and Catalysis&lt;/secondary-title&gt;&lt;/titles&gt;&lt;pages&gt;157-165&lt;/pages&gt;&lt;volume&gt;52&lt;/volume&gt;&lt;number&gt;2&lt;/number&gt;&lt;dates&gt;&lt;year&gt;2011&lt;/year&gt;&lt;pub-dates&gt;&lt;date&gt;2011/03/01&lt;/date&gt;&lt;/pub-dates&gt;&lt;/dates&gt;&lt;isbn&gt;1608-3210&lt;/isbn&gt;&lt;urls&gt;&lt;related-urls&gt;&lt;url&gt;https://doi.org/10.1134/S0023158411020157&lt;/url&gt;&lt;/related-urls&gt;&lt;/urls&gt;&lt;electronic-resource-num&gt;10.1134/S0023158411020157&lt;/electronic-resource-num&gt;&lt;/record&gt;&lt;/Cite&gt;&lt;/EndNote&gt;</w:instrText>
            </w:r>
            <w:r>
              <w:fldChar w:fldCharType="separate"/>
            </w:r>
            <w:r>
              <w:t>[5]</w:t>
            </w:r>
            <w:r>
              <w:fldChar w:fldCharType="end"/>
            </w:r>
          </w:p>
        </w:tc>
      </w:tr>
      <w:tr w14:paraId="3A40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7C74313">
            <w:r>
              <w:t>15</w:t>
            </w:r>
          </w:p>
        </w:tc>
        <w:tc>
          <w:tcPr>
            <w:tcW w:w="918" w:type="dxa"/>
            <w:shd w:val="clear" w:color="auto" w:fill="auto"/>
          </w:tcPr>
          <w:p w14:paraId="32652AB6">
            <w:r>
              <w:t>AR</w:t>
            </w:r>
          </w:p>
        </w:tc>
        <w:tc>
          <w:tcPr>
            <w:tcW w:w="1925" w:type="dxa"/>
            <w:shd w:val="clear" w:color="auto" w:fill="auto"/>
          </w:tcPr>
          <w:p w14:paraId="6E2456DD">
            <w:r>
              <w:t>963-1902</w:t>
            </w:r>
          </w:p>
        </w:tc>
        <w:tc>
          <w:tcPr>
            <w:tcW w:w="1828" w:type="dxa"/>
            <w:shd w:val="clear" w:color="auto" w:fill="auto"/>
          </w:tcPr>
          <w:p w14:paraId="032558D2">
            <w:r>
              <w:t>0.64-1.34</w:t>
            </w:r>
          </w:p>
        </w:tc>
        <w:tc>
          <w:tcPr>
            <w:tcW w:w="1906" w:type="dxa"/>
            <w:shd w:val="clear" w:color="auto" w:fill="auto"/>
          </w:tcPr>
          <w:p w14:paraId="4ACD1F92">
            <w:r>
              <w:t>1</w:t>
            </w:r>
          </w:p>
        </w:tc>
      </w:tr>
      <w:tr w14:paraId="056CF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682242E3">
            <w:r>
              <w:t xml:space="preserve">Pan et al. (2014) </w:t>
            </w:r>
            <w:r>
              <w:fldChar w:fldCharType="begin"/>
            </w:r>
            <w:r>
              <w:instrText xml:space="preserve"> ADDIN EN.CITE &lt;EndNote&gt;&lt;Cite&gt;&lt;Author&gt;Pan&lt;/Author&gt;&lt;Year&gt;2014&lt;/Year&gt;&lt;RecNum&gt;95&lt;/RecNum&gt;&lt;DisplayText&gt;&lt;style font="Times New Roman" size="12"&gt;[6]&lt;/style&gt;&lt;/DisplayText&gt;&lt;record&gt;&lt;rec-number&gt;95&lt;/rec-number&gt;&lt;foreign-keys&gt;&lt;key app="EN" db-id="xssf90rsqz9sx4ezzwo505ejefwtapppzde5" timestamp="1700036081"&gt;95&lt;/key&gt;&lt;/foreign-keys&gt;&lt;ref-type name="Journal Article"&gt;17&lt;/ref-type&gt;&lt;contributors&gt;&lt;authors&gt;&lt;author&gt;Pan, Lun&lt;/author&gt;&lt;author&gt;Zhang, Yingjia&lt;/author&gt;&lt;author&gt;Zhang, Jiaxiang&lt;/author&gt;&lt;author&gt;Tian, Zemin&lt;/author&gt;&lt;author&gt;Huang, Zuohua&lt;/author&gt;&lt;/authors&gt;&lt;/contributors&gt;&lt;titles&gt;&lt;title&gt;&lt;style face="normal" font="default" size="100%"&gt;Shock tube and kinetic study of C&lt;/style&gt;&lt;style face="subscript" font="default" size="100%"&gt;2&lt;/style&gt;&lt;style face="normal" font="default" size="100%"&gt;H&lt;/style&gt;&lt;style face="subscript" font="default" size="100%"&gt;6&lt;/style&gt;&lt;style face="normal" font="default" size="100%"&gt;/H&lt;/style&gt;&lt;style face="subscript" font="default" size="100%"&gt;2&lt;/style&gt;&lt;style face="normal" font="default" size="100%"&gt;/O&lt;/style&gt;&lt;style face="subscript" font="default" size="100%"&gt;2&lt;/style&gt;&lt;style face="normal" font="default" size="100%"&gt;/Ar mixtures at elevated pressures&lt;/style&gt;&lt;/title&gt;&lt;secondary-title&gt;International Journal of Hydrogen Energy&lt;/secondary-title&gt;&lt;/titles&gt;&lt;periodical&gt;&lt;full-title&gt;International Journal of Hydrogen Energy&lt;/full-title&gt;&lt;/periodical&gt;&lt;pages&gt;6024-6033&lt;/pages&gt;&lt;volume&gt;39&lt;/volume&gt;&lt;number&gt;11&lt;/number&gt;&lt;keywords&gt;&lt;keyword&gt;Ignition delay time&lt;/keyword&gt;&lt;keyword&gt;Ethane&lt;/keyword&gt;&lt;keyword&gt;Hydrogen&lt;/keyword&gt;&lt;keyword&gt;Shock tube&lt;/keyword&gt;&lt;keyword&gt;Chemical kinetics&lt;/keyword&gt;&lt;/keywords&gt;&lt;dates&gt;&lt;year&gt;2014&lt;/year&gt;&lt;pub-dates&gt;&lt;date&gt;2014/04/04/&lt;/date&gt;&lt;/pub-dates&gt;&lt;/dates&gt;&lt;isbn&gt;0360-3199&lt;/isbn&gt;&lt;urls&gt;&lt;related-urls&gt;&lt;url&gt;https://www.sciencedirect.com/science/article/pii/S0360319914002377&lt;/url&gt;&lt;/related-urls&gt;&lt;/urls&gt;&lt;electronic-resource-num&gt;https://doi.org/10.1016/j.ijhydene.2014.01.157&lt;/electronic-resource-num&gt;&lt;/record&gt;&lt;/Cite&gt;&lt;/EndNote&gt;</w:instrText>
            </w:r>
            <w:r>
              <w:fldChar w:fldCharType="separate"/>
            </w:r>
            <w:r>
              <w:t>[6]</w:t>
            </w:r>
            <w:r>
              <w:fldChar w:fldCharType="end"/>
            </w:r>
          </w:p>
        </w:tc>
      </w:tr>
      <w:tr w14:paraId="2DAB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40F43D7C">
            <w:r>
              <w:t>28</w:t>
            </w:r>
          </w:p>
        </w:tc>
        <w:tc>
          <w:tcPr>
            <w:tcW w:w="918" w:type="dxa"/>
            <w:shd w:val="clear" w:color="auto" w:fill="auto"/>
          </w:tcPr>
          <w:p w14:paraId="74E78CF2">
            <w:r>
              <w:t>AR</w:t>
            </w:r>
          </w:p>
        </w:tc>
        <w:tc>
          <w:tcPr>
            <w:tcW w:w="1925" w:type="dxa"/>
            <w:shd w:val="clear" w:color="auto" w:fill="auto"/>
          </w:tcPr>
          <w:p w14:paraId="72170404">
            <w:r>
              <w:t>915-1457</w:t>
            </w:r>
          </w:p>
        </w:tc>
        <w:tc>
          <w:tcPr>
            <w:tcW w:w="1828" w:type="dxa"/>
            <w:shd w:val="clear" w:color="auto" w:fill="auto"/>
          </w:tcPr>
          <w:p w14:paraId="78020110">
            <w:r>
              <w:t>1.2-16.7</w:t>
            </w:r>
          </w:p>
        </w:tc>
        <w:tc>
          <w:tcPr>
            <w:tcW w:w="1906" w:type="dxa"/>
            <w:shd w:val="clear" w:color="auto" w:fill="auto"/>
          </w:tcPr>
          <w:p w14:paraId="7FEFCD80">
            <w:r>
              <w:t>1</w:t>
            </w:r>
          </w:p>
        </w:tc>
      </w:tr>
      <w:tr w14:paraId="4E885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2E8F67A7">
            <w:bookmarkStart w:id="5" w:name="bau005-profile"/>
            <w:r>
              <w:fldChar w:fldCharType="begin"/>
            </w:r>
            <w:r>
              <w:instrText xml:space="preserve">HYPERLINK "https://www.sciencedirect.com/author/24559193700/cheng-long-tang"</w:instrText>
            </w:r>
            <w:r>
              <w:fldChar w:fldCharType="separate"/>
            </w:r>
            <w:r>
              <w:t>Tang</w:t>
            </w:r>
            <w:r>
              <w:fldChar w:fldCharType="end"/>
            </w:r>
            <w:bookmarkEnd w:id="5"/>
            <w:r>
              <w:t xml:space="preserve"> et al. (2013) </w:t>
            </w:r>
            <w:r>
              <w:fldChar w:fldCharType="begin"/>
            </w:r>
            <w:r>
              <w:instrText xml:space="preserve"> ADDIN EN.CITE &lt;EndNote&gt;&lt;Cite&gt;&lt;Author&gt;Tang&lt;/Author&gt;&lt;Year&gt;2013&lt;/Year&gt;&lt;RecNum&gt;96&lt;/RecNum&gt;&lt;DisplayText&gt;&lt;style font="Times New Roman" size="12"&gt;[7]&lt;/style&gt;&lt;/DisplayText&gt;&lt;record&gt;&lt;rec-number&gt;96&lt;/rec-number&gt;&lt;foreign-keys&gt;&lt;key app="EN" db-id="9xxtaevabwv2tjex095x05rq9v0padvps90f" timestamp="1700036503"&gt;96&lt;/key&gt;&lt;/foreign-keys&gt;&lt;ref-type name="Journal Article"&gt;17&lt;/ref-type&gt;&lt;contributors&gt;&lt;authors&gt;&lt;author&gt;Tang, Chenglong&lt;/author&gt;&lt;author&gt;Man, Xingjia&lt;/author&gt;&lt;author&gt;Wei, Liangjie&lt;/author&gt;&lt;author&gt;Pan, Lun&lt;/author&gt;&lt;author&gt;Huang, Zuohua&lt;/author&gt;&lt;/authors&gt;&lt;/contributors&gt;&lt;titles&gt;&lt;title&gt;Further study on the ignition delay times of propane–hydrogen–oxygen–argon mixtures: effect of equivalence ratio&lt;/title&gt;&lt;secondary-title&gt;Combustion and Flame&lt;/secondary-title&gt;&lt;/titles&gt;&lt;pages&gt;2283-2290&lt;/pages&gt;&lt;volume&gt;160&lt;/volume&gt;&lt;number&gt;11&lt;/number&gt;&lt;keywords&gt;&lt;keyword&gt;Ignition delay times&lt;/keyword&gt;&lt;keyword&gt;Hydrogen fraction&lt;/keyword&gt;&lt;keyword&gt;Shock tube measurement&lt;/keyword&gt;&lt;keyword&gt;Equivalence ratio dependence&lt;/keyword&gt;&lt;keyword&gt;Chemical kinetic&lt;/keyword&gt;&lt;/keywords&gt;&lt;dates&gt;&lt;year&gt;2013&lt;/year&gt;&lt;pub-dates&gt;&lt;date&gt;2013/11/01/&lt;/date&gt;&lt;/pub-dates&gt;&lt;/dates&gt;&lt;isbn&gt;0010-2180&lt;/isbn&gt;&lt;urls&gt;&lt;related-urls&gt;&lt;url&gt;https://www.sciencedirect.com/science/article/pii/S0010218013001879&lt;/url&gt;&lt;/related-urls&gt;&lt;/urls&gt;&lt;electronic-resource-num&gt;https://doi.org/10.1016/j.combustflame.2013.05.012&lt;/electronic-resource-num&gt;&lt;/record&gt;&lt;/Cite&gt;&lt;/EndNote&gt;</w:instrText>
            </w:r>
            <w:r>
              <w:fldChar w:fldCharType="separate"/>
            </w:r>
            <w:r>
              <w:t>[7]</w:t>
            </w:r>
            <w:r>
              <w:fldChar w:fldCharType="end"/>
            </w:r>
          </w:p>
        </w:tc>
      </w:tr>
      <w:tr w14:paraId="09C75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E91A2B7">
            <w:r>
              <w:t>34</w:t>
            </w:r>
          </w:p>
        </w:tc>
        <w:tc>
          <w:tcPr>
            <w:tcW w:w="918" w:type="dxa"/>
            <w:shd w:val="clear" w:color="auto" w:fill="auto"/>
          </w:tcPr>
          <w:p w14:paraId="141C2E2F">
            <w:bookmarkStart w:id="6" w:name="OLE_LINK22"/>
            <w:r>
              <w:t>AR</w:t>
            </w:r>
            <w:bookmarkEnd w:id="6"/>
          </w:p>
        </w:tc>
        <w:tc>
          <w:tcPr>
            <w:tcW w:w="1925" w:type="dxa"/>
            <w:shd w:val="clear" w:color="auto" w:fill="auto"/>
          </w:tcPr>
          <w:p w14:paraId="1824838A">
            <w:r>
              <w:t>930-1465</w:t>
            </w:r>
          </w:p>
        </w:tc>
        <w:tc>
          <w:tcPr>
            <w:tcW w:w="1828" w:type="dxa"/>
            <w:shd w:val="clear" w:color="auto" w:fill="auto"/>
          </w:tcPr>
          <w:p w14:paraId="4BD6FD07">
            <w:r>
              <w:t>1.12-10.67</w:t>
            </w:r>
          </w:p>
        </w:tc>
        <w:tc>
          <w:tcPr>
            <w:tcW w:w="1906" w:type="dxa"/>
            <w:shd w:val="clear" w:color="auto" w:fill="auto"/>
          </w:tcPr>
          <w:p w14:paraId="11B5E2B7">
            <w:r>
              <w:t>0.5-2</w:t>
            </w:r>
          </w:p>
        </w:tc>
      </w:tr>
      <w:tr w14:paraId="116DA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EC4729C">
            <w:r>
              <w:t xml:space="preserve">Pan </w:t>
            </w:r>
            <w:bookmarkStart w:id="7" w:name="OLE_LINK23"/>
            <w:r>
              <w:t>et al.</w:t>
            </w:r>
            <w:bookmarkEnd w:id="7"/>
            <w:r>
              <w:t xml:space="preserve"> (2014) </w:t>
            </w:r>
            <w:r>
              <w:fldChar w:fldCharType="begin"/>
            </w:r>
            <w:r>
              <w:instrText xml:space="preserve"> ADDIN EN.CITE &lt;EndNote&gt;&lt;Cite&gt;&lt;Author&gt;Pan&lt;/Author&gt;&lt;Year&gt;2014&lt;/Year&gt;&lt;RecNum&gt;97&lt;/RecNum&gt;&lt;DisplayText&gt;&lt;style font="Times New Roman" size="12"&gt;[8]&lt;/style&gt;&lt;/DisplayText&gt;&lt;record&gt;&lt;rec-number&gt;97&lt;/rec-number&gt;&lt;foreign-keys&gt;&lt;key app="EN" db-id="9xxtaevabwv2tjex095x05rq9v0padvps90f" timestamp="1700036885"&gt;97&lt;/key&gt;&lt;/foreign-keys&gt;&lt;ref-type name="Journal Article"&gt;17&lt;/ref-type&gt;&lt;contributors&gt;&lt;authors&gt;&lt;author&gt;Pan, Lun&lt;/author&gt;&lt;author&gt;Hu, Erjiang&lt;/author&gt;&lt;author&gt;Zhang, Jiaxiang&lt;/author&gt;&lt;author&gt;Zhang, Zihang&lt;/author&gt;&lt;author&gt;Huang, Zuohua&lt;/author&gt;&lt;/authors&gt;&lt;/contributors&gt;&lt;titles&gt;&lt;title&gt;&lt;style face="normal" font="default" size="100%"&gt;Experimental and kinetic study on ignition delay times of DME/H&lt;/style&gt;&lt;style face="subscript" font="default" size="100%"&gt;2&lt;/style&gt;&lt;style face="normal" font="default" size="100%"&gt;/O&lt;/style&gt;&lt;style face="subscript" font="default" size="100%"&gt;2&lt;/style&gt;&lt;style face="normal" font="default" size="100%"&gt;/Ar mixtures&lt;/style&gt;&lt;/title&gt;&lt;secondary-title&gt;Combustion and Flame&lt;/secondary-title&gt;&lt;/titles&gt;&lt;pages&gt;735-747&lt;/pages&gt;&lt;volume&gt;161&lt;/volume&gt;&lt;number&gt;3&lt;/number&gt;&lt;keywords&gt;&lt;keyword&gt;Ignition delay time&lt;/keyword&gt;&lt;keyword&gt;Hydrogen blending ratio&lt;/keyword&gt;&lt;keyword&gt;Shock tube&lt;/keyword&gt;&lt;keyword&gt;Non-linear effect&lt;/keyword&gt;&lt;keyword&gt;Chemical kinetics&lt;/keyword&gt;&lt;/keywords&gt;&lt;dates&gt;&lt;year&gt;2014&lt;/year&gt;&lt;pub-dates&gt;&lt;date&gt;2014/03/01/&lt;/date&gt;&lt;/pub-dates&gt;&lt;/dates&gt;&lt;isbn&gt;0010-2180&lt;/isbn&gt;&lt;urls&gt;&lt;related-urls&gt;&lt;url&gt;https://www.sciencedirect.com/science/article/pii/S0010218013003891&lt;/url&gt;&lt;/related-urls&gt;&lt;/urls&gt;&lt;electronic-resource-num&gt;https://doi.org/10.1016/j.combustflame.2013.10.015&lt;/electronic-resource-num&gt;&lt;/record&gt;&lt;/Cite&gt;&lt;/EndNote&gt;</w:instrText>
            </w:r>
            <w:r>
              <w:fldChar w:fldCharType="separate"/>
            </w:r>
            <w:r>
              <w:t>[8]</w:t>
            </w:r>
            <w:r>
              <w:fldChar w:fldCharType="end"/>
            </w:r>
          </w:p>
        </w:tc>
      </w:tr>
      <w:tr w14:paraId="2F469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78C18E8">
            <w:r>
              <w:t>24</w:t>
            </w:r>
          </w:p>
        </w:tc>
        <w:tc>
          <w:tcPr>
            <w:tcW w:w="918" w:type="dxa"/>
            <w:shd w:val="clear" w:color="auto" w:fill="auto"/>
          </w:tcPr>
          <w:p w14:paraId="14A45899">
            <w:r>
              <w:t>AR</w:t>
            </w:r>
          </w:p>
        </w:tc>
        <w:tc>
          <w:tcPr>
            <w:tcW w:w="1925" w:type="dxa"/>
            <w:shd w:val="clear" w:color="auto" w:fill="auto"/>
          </w:tcPr>
          <w:p w14:paraId="7FE790AA">
            <w:r>
              <w:t>937-1313</w:t>
            </w:r>
          </w:p>
        </w:tc>
        <w:tc>
          <w:tcPr>
            <w:tcW w:w="1828" w:type="dxa"/>
            <w:shd w:val="clear" w:color="auto" w:fill="auto"/>
          </w:tcPr>
          <w:p w14:paraId="71A5B49A">
            <w:r>
              <w:t>1.19-10.54</w:t>
            </w:r>
          </w:p>
        </w:tc>
        <w:tc>
          <w:tcPr>
            <w:tcW w:w="1906" w:type="dxa"/>
            <w:shd w:val="clear" w:color="auto" w:fill="auto"/>
          </w:tcPr>
          <w:p w14:paraId="7D0E790B">
            <w:r>
              <w:t>0.5-2</w:t>
            </w:r>
          </w:p>
        </w:tc>
      </w:tr>
      <w:tr w14:paraId="7A825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28EC758">
            <w:r>
              <w:t xml:space="preserve">Petersen et al. (1996) </w:t>
            </w:r>
            <w:r>
              <w:fldChar w:fldCharType="begin"/>
            </w:r>
            <w:r>
              <w:instrText xml:space="preserve"> ADDIN EN.CITE &lt;EndNote&gt;&lt;Cite&gt;&lt;Author&gt;Petersen&lt;/Author&gt;&lt;Year&gt;1996&lt;/Year&gt;&lt;RecNum&gt;98&lt;/RecNum&gt;&lt;DisplayText&gt;&lt;style font="Times New Roman" size="12"&gt;[9]&lt;/style&gt;&lt;/DisplayText&gt;&lt;record&gt;&lt;rec-number&gt;98&lt;/rec-number&gt;&lt;foreign-keys&gt;&lt;key app="EN" db-id="9xxtaevabwv2tjex095x05rq9v0padvps90f" timestamp="1700037935"&gt;98&lt;/key&gt;&lt;/foreign-keys&gt;&lt;ref-type name="Journal Article"&gt;17&lt;/ref-type&gt;&lt;contributors&gt;&lt;authors&gt;&lt;author&gt;Petersen, Eric L.&lt;/author&gt;&lt;author&gt;Röhrig, Michael&lt;/author&gt;&lt;author&gt;Davidson, David F.&lt;/author&gt;&lt;author&gt;Hanson, Ronald K.&lt;/author&gt;&lt;author&gt;Bowman, Craig T.&lt;/author&gt;&lt;/authors&gt;&lt;/contributors&gt;&lt;titles&gt;&lt;title&gt;High-pressure methane oxidation behind reflected shock waves&lt;/title&gt;&lt;secondary-title&gt;Symposium (International) on Combustion&lt;/secondary-title&gt;&lt;/titles&gt;&lt;pages&gt;799-806&lt;/pages&gt;&lt;volume&gt;26&lt;/volume&gt;&lt;number&gt;1&lt;/number&gt;&lt;dates&gt;&lt;year&gt;1996&lt;/year&gt;&lt;pub-dates&gt;&lt;date&gt;1996/01/01/&lt;/date&gt;&lt;/pub-dates&gt;&lt;/dates&gt;&lt;isbn&gt;0082-0784&lt;/isbn&gt;&lt;urls&gt;&lt;related-urls&gt;&lt;url&gt;https://www.sciencedirect.com/science/article/pii/S008207849680289X&lt;/url&gt;&lt;/related-urls&gt;&lt;/urls&gt;&lt;electronic-resource-num&gt;https://doi.org/10.1016/S0082-0784(96)80289-X&lt;/electronic-resource-num&gt;&lt;/record&gt;&lt;/Cite&gt;&lt;/EndNote&gt;</w:instrText>
            </w:r>
            <w:r>
              <w:fldChar w:fldCharType="separate"/>
            </w:r>
            <w:r>
              <w:t>[9]</w:t>
            </w:r>
            <w:r>
              <w:fldChar w:fldCharType="end"/>
            </w:r>
          </w:p>
        </w:tc>
      </w:tr>
      <w:tr w14:paraId="30C43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458823D">
            <w:r>
              <w:t>64</w:t>
            </w:r>
          </w:p>
        </w:tc>
        <w:tc>
          <w:tcPr>
            <w:tcW w:w="918" w:type="dxa"/>
            <w:shd w:val="clear" w:color="auto" w:fill="auto"/>
          </w:tcPr>
          <w:p w14:paraId="028962B6">
            <w:r>
              <w:t>AR</w:t>
            </w:r>
          </w:p>
        </w:tc>
        <w:tc>
          <w:tcPr>
            <w:tcW w:w="1925" w:type="dxa"/>
            <w:shd w:val="clear" w:color="auto" w:fill="auto"/>
          </w:tcPr>
          <w:p w14:paraId="6B9CA007">
            <w:r>
              <w:t>1189-1930</w:t>
            </w:r>
          </w:p>
        </w:tc>
        <w:tc>
          <w:tcPr>
            <w:tcW w:w="1828" w:type="dxa"/>
            <w:shd w:val="clear" w:color="auto" w:fill="auto"/>
          </w:tcPr>
          <w:p w14:paraId="72B42A6C">
            <w:r>
              <w:t>33-87</w:t>
            </w:r>
          </w:p>
        </w:tc>
        <w:tc>
          <w:tcPr>
            <w:tcW w:w="1906" w:type="dxa"/>
            <w:shd w:val="clear" w:color="auto" w:fill="auto"/>
          </w:tcPr>
          <w:p w14:paraId="04CC6826">
            <w:r>
              <w:t>1</w:t>
            </w:r>
          </w:p>
        </w:tc>
      </w:tr>
      <w:tr w14:paraId="3B6A8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7290E33D">
            <w:r>
              <w:t xml:space="preserve">Cheng et al. (1984) </w:t>
            </w:r>
            <w:r>
              <w:fldChar w:fldCharType="begin"/>
            </w:r>
            <w:r>
              <w:instrText xml:space="preserve"> ADDIN EN.CITE &lt;EndNote&gt;&lt;Cite&gt;&lt;Author&gt;Cheng&lt;/Author&gt;&lt;Year&gt;1984&lt;/Year&gt;&lt;RecNum&gt;104&lt;/RecNum&gt;&lt;DisplayText&gt;&lt;style font="Times New Roman" size="12"&gt;[10]&lt;/style&gt;&lt;/DisplayText&gt;&lt;record&gt;&lt;rec-number&gt;104&lt;/rec-number&gt;&lt;foreign-keys&gt;&lt;key app="EN" db-id="9xxtaevabwv2tjex095x05rq9v0padvps90f" timestamp="1700039650"&gt;104&lt;/key&gt;&lt;/foreign-keys&gt;&lt;ref-type name="Journal Article"&gt;17&lt;/ref-type&gt;&lt;contributors&gt;&lt;authors&gt;&lt;author&gt;Cheng, R. K.&lt;/author&gt;&lt;author&gt;Oppenheim, A. K.&lt;/author&gt;&lt;/authors&gt;&lt;/contributors&gt;&lt;titles&gt;&lt;title&gt;Autoignition in methanehydrogen mixtures&lt;/title&gt;&lt;secondary-title&gt;Combustion and Flame&lt;/secondary-title&gt;&lt;/titles&gt;&lt;pages&gt;125-139&lt;/pages&gt;&lt;volume&gt;58&lt;/volume&gt;&lt;number&gt;2&lt;/number&gt;&lt;dates&gt;&lt;year&gt;1984&lt;/year&gt;&lt;pub-dates&gt;&lt;date&gt;1984/11/01/&lt;/date&gt;&lt;/pub-dates&gt;&lt;/dates&gt;&lt;isbn&gt;0010-2180&lt;/isbn&gt;&lt;urls&gt;&lt;related-urls&gt;&lt;url&gt;https://www.sciencedirect.com/science/article/pii/0010218084900889&lt;/url&gt;&lt;/related-urls&gt;&lt;/urls&gt;&lt;electronic-resource-num&gt;https://doi.org/10.1016/0010-2180(84)90088-9&lt;/electronic-resource-num&gt;&lt;/record&gt;&lt;/Cite&gt;&lt;/EndNote&gt;</w:instrText>
            </w:r>
            <w:r>
              <w:fldChar w:fldCharType="separate"/>
            </w:r>
            <w:r>
              <w:t>[10]</w:t>
            </w:r>
            <w:r>
              <w:fldChar w:fldCharType="end"/>
            </w:r>
          </w:p>
        </w:tc>
      </w:tr>
      <w:tr w14:paraId="727E2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0044F9A9">
            <w:r>
              <w:t>105</w:t>
            </w:r>
          </w:p>
        </w:tc>
        <w:tc>
          <w:tcPr>
            <w:tcW w:w="918" w:type="dxa"/>
            <w:shd w:val="clear" w:color="auto" w:fill="auto"/>
          </w:tcPr>
          <w:p w14:paraId="712A8888">
            <w:bookmarkStart w:id="8" w:name="OLE_LINK24"/>
            <w:r>
              <w:t>AR</w:t>
            </w:r>
            <w:bookmarkEnd w:id="8"/>
          </w:p>
        </w:tc>
        <w:tc>
          <w:tcPr>
            <w:tcW w:w="1925" w:type="dxa"/>
            <w:shd w:val="clear" w:color="auto" w:fill="auto"/>
          </w:tcPr>
          <w:p w14:paraId="07C4B5D5">
            <w:r>
              <w:t>1004-1427</w:t>
            </w:r>
          </w:p>
        </w:tc>
        <w:tc>
          <w:tcPr>
            <w:tcW w:w="1828" w:type="dxa"/>
            <w:shd w:val="clear" w:color="auto" w:fill="auto"/>
          </w:tcPr>
          <w:p w14:paraId="208067F3">
            <w:r>
              <w:t>1.35-2.9</w:t>
            </w:r>
          </w:p>
        </w:tc>
        <w:tc>
          <w:tcPr>
            <w:tcW w:w="1906" w:type="dxa"/>
            <w:shd w:val="clear" w:color="auto" w:fill="auto"/>
          </w:tcPr>
          <w:p w14:paraId="79209843">
            <w:r>
              <w:t>0.5;1</w:t>
            </w:r>
          </w:p>
        </w:tc>
      </w:tr>
      <w:tr w14:paraId="0C71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6D4508D9">
            <w:bookmarkStart w:id="9" w:name="OLE_LINK13"/>
            <w:r>
              <w:t>Cohen</w:t>
            </w:r>
            <w:bookmarkEnd w:id="9"/>
            <w:r>
              <w:t xml:space="preserve"> et al. (1967) </w:t>
            </w:r>
            <w:r>
              <w:fldChar w:fldCharType="begin"/>
            </w:r>
            <w:r>
              <w:instrText xml:space="preserve"> ADDIN EN.CITE &lt;EndNote&gt;&lt;Cite&gt;&lt;Author&gt;Cohen&lt;/Author&gt;&lt;Year&gt;1986&lt;/Year&gt;&lt;RecNum&gt;100&lt;/RecNum&gt;&lt;DisplayText&gt;&lt;style font="Times New Roman" size="12"&gt;[11]&lt;/style&gt;&lt;/DisplayText&gt;&lt;record&gt;&lt;rec-number&gt;100&lt;/rec-number&gt;&lt;foreign-keys&gt;&lt;key app="EN" db-id="xssf90rsqz9sx4ezzwo505ejefwtapppzde5" timestamp="1700038177"&gt;100&lt;/key&gt;&lt;/foreign-keys&gt;&lt;ref-type name="Journal Article"&gt;17&lt;/ref-type&gt;&lt;contributors&gt;&lt;authors&gt;&lt;author&gt;Cohen, Stephen F.&lt;/author&gt;&lt;/authors&gt;&lt;/contributors&gt;&lt;titles&gt;&lt;title&gt;[no-title]&lt;/title&gt;&lt;secondary-title&gt;Slavic Review&lt;/secondary-title&gt;&lt;/titles&gt;&lt;periodical&gt;&lt;full-title&gt;Slavic Review&lt;/full-title&gt;&lt;/periodical&gt;&lt;pages&gt;298-298&lt;/pages&gt;&lt;volume&gt;45&lt;/volume&gt;&lt;number&gt;2&lt;/number&gt;&lt;edition&gt;2017/01/27&lt;/edition&gt;&lt;dates&gt;&lt;year&gt;1986&lt;/year&gt;&lt;/dates&gt;&lt;publisher&gt;Cambridge University Press&lt;/publisher&gt;&lt;isbn&gt;0037-6779&lt;/isbn&gt;&lt;urls&gt;&lt;related-urls&gt;&lt;url&gt;https://www.cambridge.org/core/article/notitle/2DFAB08CB3E7706F0A7CF8D57091E86D&lt;/url&gt;&lt;/related-urls&gt;&lt;/urls&gt;&lt;electronic-resource-num&gt;10.1017/S0037677900105637&lt;/electronic-resource-num&gt;&lt;remote-database-name&gt;Cambridge Core&lt;/remote-database-name&gt;&lt;remote-database-provider&gt;Cambridge University Press&lt;/remote-database-provider&gt;&lt;/record&gt;&lt;/Cite&gt;&lt;/EndNote&gt;</w:instrText>
            </w:r>
            <w:r>
              <w:fldChar w:fldCharType="separate"/>
            </w:r>
            <w:r>
              <w:t>[11]</w:t>
            </w:r>
            <w:r>
              <w:fldChar w:fldCharType="end"/>
            </w:r>
          </w:p>
        </w:tc>
      </w:tr>
      <w:tr w14:paraId="1B83B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5E10A7B">
            <w:r>
              <w:t>20</w:t>
            </w:r>
          </w:p>
        </w:tc>
        <w:tc>
          <w:tcPr>
            <w:tcW w:w="918" w:type="dxa"/>
            <w:shd w:val="clear" w:color="auto" w:fill="auto"/>
          </w:tcPr>
          <w:p w14:paraId="555BFF47">
            <w:r>
              <w:t>AR</w:t>
            </w:r>
          </w:p>
        </w:tc>
        <w:tc>
          <w:tcPr>
            <w:tcW w:w="1925" w:type="dxa"/>
            <w:shd w:val="clear" w:color="auto" w:fill="auto"/>
          </w:tcPr>
          <w:p w14:paraId="455D2487">
            <w:r>
              <w:t>941-1583</w:t>
            </w:r>
          </w:p>
        </w:tc>
        <w:tc>
          <w:tcPr>
            <w:tcW w:w="1828" w:type="dxa"/>
            <w:shd w:val="clear" w:color="auto" w:fill="auto"/>
          </w:tcPr>
          <w:p w14:paraId="214F31CD">
            <w:r>
              <w:t>0.25-1.44</w:t>
            </w:r>
          </w:p>
        </w:tc>
        <w:tc>
          <w:tcPr>
            <w:tcW w:w="1906" w:type="dxa"/>
            <w:shd w:val="clear" w:color="auto" w:fill="auto"/>
          </w:tcPr>
          <w:p w14:paraId="76364861">
            <w:r>
              <w:t>1</w:t>
            </w:r>
          </w:p>
        </w:tc>
      </w:tr>
      <w:tr w14:paraId="7D6BB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2768E025">
            <w:r>
              <w:fldChar w:fldCharType="begin"/>
            </w:r>
            <w:r>
              <w:instrText xml:space="preserve"> HYPERLINK "javascript:;" </w:instrText>
            </w:r>
            <w:r>
              <w:fldChar w:fldCharType="separate"/>
            </w:r>
            <w:r>
              <w:t>Skinner</w:t>
            </w:r>
            <w:r>
              <w:fldChar w:fldCharType="end"/>
            </w:r>
            <w:r>
              <w:t xml:space="preserve"> et al. (2004) </w:t>
            </w:r>
            <w:r>
              <w:fldChar w:fldCharType="begin"/>
            </w:r>
            <w:r>
              <w:instrText xml:space="preserve"> ADDIN EN.CITE &lt;EndNote&gt;&lt;Cite&gt;&lt;Author&gt;Skinner&lt;/Author&gt;&lt;Year&gt;2004&lt;/Year&gt;&lt;RecNum&gt;102&lt;/RecNum&gt;&lt;DisplayText&gt;&lt;style font="Times New Roman" size="12"&gt;[12]&lt;/style&gt;&lt;/DisplayText&gt;&lt;record&gt;&lt;rec-number&gt;102&lt;/rec-number&gt;&lt;foreign-keys&gt;&lt;key app="EN" db-id="xssf90rsqz9sx4ezzwo505ejefwtapppzde5" timestamp="1700038900"&gt;102&lt;/key&gt;&lt;/foreign-keys&gt;&lt;ref-type name="Journal Article"&gt;17&lt;/ref-type&gt;&lt;contributors&gt;&lt;authors&gt;&lt;author&gt;Skinner, Gordon B.&lt;/author&gt;&lt;author&gt;Ringrose, Gordon H.&lt;/author&gt;&lt;/authors&gt;&lt;/contributors&gt;&lt;titles&gt;&lt;title&gt;Ignition delays of a hydrogen—oxygen—argon mixture at relatively low temperatures&lt;/title&gt;&lt;secondary-title&gt;The Journal of Chemical Physics&lt;/secondary-title&gt;&lt;/titles&gt;&lt;periodical&gt;&lt;full-title&gt;The Journal of Chemical Physics&lt;/full-title&gt;&lt;/periodical&gt;&lt;pages&gt;2190-2192&lt;/pages&gt;&lt;volume&gt;42&lt;/volume&gt;&lt;number&gt;6&lt;/number&gt;&lt;dates&gt;&lt;year&gt;2004&lt;/year&gt;&lt;/dates&gt;&lt;isbn&gt;0021-9606&lt;/isbn&gt;&lt;urls&gt;&lt;related-urls&gt;&lt;url&gt;https://doi.org/10.1063/1.1696266&lt;/url&gt;&lt;/related-urls&gt;&lt;/urls&gt;&lt;electronic-resource-num&gt;10.1063/1.1696266&lt;/electronic-resource-num&gt;&lt;access-date&gt;11/15/2023&lt;/access-date&gt;&lt;/record&gt;&lt;/Cite&gt;&lt;/EndNote&gt;</w:instrText>
            </w:r>
            <w:r>
              <w:fldChar w:fldCharType="separate"/>
            </w:r>
            <w:r>
              <w:t>[12]</w:t>
            </w:r>
            <w:r>
              <w:fldChar w:fldCharType="end"/>
            </w:r>
          </w:p>
        </w:tc>
      </w:tr>
      <w:tr w14:paraId="3D98C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28CFE019">
            <w:r>
              <w:t>3</w:t>
            </w:r>
          </w:p>
        </w:tc>
        <w:tc>
          <w:tcPr>
            <w:tcW w:w="918" w:type="dxa"/>
            <w:shd w:val="clear" w:color="auto" w:fill="auto"/>
          </w:tcPr>
          <w:p w14:paraId="49D4F8C5">
            <w:r>
              <w:t>AR</w:t>
            </w:r>
          </w:p>
        </w:tc>
        <w:tc>
          <w:tcPr>
            <w:tcW w:w="1925" w:type="dxa"/>
            <w:shd w:val="clear" w:color="auto" w:fill="auto"/>
          </w:tcPr>
          <w:p w14:paraId="0A5887AB">
            <w:r>
              <w:t>1004-1075</w:t>
            </w:r>
          </w:p>
        </w:tc>
        <w:tc>
          <w:tcPr>
            <w:tcW w:w="1828" w:type="dxa"/>
            <w:shd w:val="clear" w:color="auto" w:fill="auto"/>
          </w:tcPr>
          <w:p w14:paraId="01596665">
            <w:r>
              <w:t>5</w:t>
            </w:r>
          </w:p>
        </w:tc>
        <w:tc>
          <w:tcPr>
            <w:tcW w:w="1906" w:type="dxa"/>
            <w:shd w:val="clear" w:color="auto" w:fill="auto"/>
          </w:tcPr>
          <w:p w14:paraId="5DB9D7CD">
            <w:r>
              <w:t>2</w:t>
            </w:r>
          </w:p>
        </w:tc>
      </w:tr>
      <w:tr w14:paraId="5A09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29EF3D24">
            <w:r>
              <w:t xml:space="preserve">Schott </w:t>
            </w:r>
            <w:bookmarkStart w:id="10" w:name="OLE_LINK25"/>
            <w:r>
              <w:t>et al.</w:t>
            </w:r>
            <w:bookmarkEnd w:id="10"/>
            <w:r>
              <w:t xml:space="preserve"> (2004) </w:t>
            </w:r>
            <w:r>
              <w:fldChar w:fldCharType="begin"/>
            </w:r>
            <w:r>
              <w:instrText xml:space="preserve"> ADDIN EN.CITE &lt;EndNote&gt;&lt;Cite&gt;&lt;Author&gt;Schott&lt;/Author&gt;&lt;Year&gt;2004&lt;/Year&gt;&lt;RecNum&gt;103&lt;/RecNum&gt;&lt;DisplayText&gt;&lt;style font="Times New Roman" size="12"&gt;[13]&lt;/style&gt;&lt;/DisplayText&gt;&lt;record&gt;&lt;rec-number&gt;103&lt;/rec-number&gt;&lt;foreign-keys&gt;&lt;key app="EN" db-id="9xxtaevabwv2tjex095x05rq9v0padvps90f" timestamp="1700039134"&gt;103&lt;/key&gt;&lt;/foreign-keys&gt;&lt;ref-type name="Journal Article"&gt;17&lt;/ref-type&gt;&lt;contributors&gt;&lt;authors&gt;&lt;author&gt;Schott, G. L.&lt;/author&gt;&lt;author&gt;Kinsey, J. L.&lt;/author&gt;&lt;/authors&gt;&lt;/contributors&gt;&lt;titles&gt;&lt;title&gt;Kinetic studies of hydroxyl radicals in shock waves. II. induction times in the hydrogen‐oxygen reaction&lt;/title&gt;&lt;secondary-title&gt;The Journal of Chemical Physics&lt;/secondary-title&gt;&lt;/titles&gt;&lt;pages&gt;1177-1182&lt;/pages&gt;&lt;volume&gt;29&lt;/volume&gt;&lt;number&gt;5&lt;/number&gt;&lt;dates&gt;&lt;year&gt;2004&lt;/year&gt;&lt;/dates&gt;&lt;isbn&gt;0021-9606&lt;/isbn&gt;&lt;urls&gt;&lt;related-urls&gt;&lt;url&gt;https://doi.org/10.1063/1.1744674&lt;/url&gt;&lt;/related-urls&gt;&lt;/urls&gt;&lt;electronic-resource-num&gt;10.1063/1.1744674&lt;/electronic-resource-num&gt;&lt;access-date&gt;11/15/2023&lt;/access-date&gt;&lt;/record&gt;&lt;/Cite&gt;&lt;/EndNote&gt;</w:instrText>
            </w:r>
            <w:r>
              <w:fldChar w:fldCharType="separate"/>
            </w:r>
            <w:r>
              <w:t>[13]</w:t>
            </w:r>
            <w:r>
              <w:fldChar w:fldCharType="end"/>
            </w:r>
          </w:p>
        </w:tc>
      </w:tr>
      <w:tr w14:paraId="006F3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52F5C31">
            <w:r>
              <w:t>17</w:t>
            </w:r>
          </w:p>
        </w:tc>
        <w:tc>
          <w:tcPr>
            <w:tcW w:w="918" w:type="dxa"/>
            <w:shd w:val="clear" w:color="auto" w:fill="auto"/>
          </w:tcPr>
          <w:p w14:paraId="74F09445">
            <w:r>
              <w:t>AR</w:t>
            </w:r>
          </w:p>
        </w:tc>
        <w:tc>
          <w:tcPr>
            <w:tcW w:w="1925" w:type="dxa"/>
            <w:shd w:val="clear" w:color="auto" w:fill="auto"/>
          </w:tcPr>
          <w:p w14:paraId="4C751E6A">
            <w:r>
              <w:t>1086-1836</w:t>
            </w:r>
          </w:p>
        </w:tc>
        <w:tc>
          <w:tcPr>
            <w:tcW w:w="1828" w:type="dxa"/>
            <w:shd w:val="clear" w:color="auto" w:fill="auto"/>
          </w:tcPr>
          <w:p w14:paraId="441CB262">
            <w:r>
              <w:t>0.74-2</w:t>
            </w:r>
          </w:p>
        </w:tc>
        <w:tc>
          <w:tcPr>
            <w:tcW w:w="1906" w:type="dxa"/>
            <w:shd w:val="clear" w:color="auto" w:fill="auto"/>
          </w:tcPr>
          <w:p w14:paraId="1BF42655">
            <w:r>
              <w:t>0.25</w:t>
            </w:r>
          </w:p>
        </w:tc>
      </w:tr>
      <w:tr w14:paraId="1B1AB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6B7FABB">
            <w:r>
              <w:t xml:space="preserve">Slack </w:t>
            </w:r>
            <w:bookmarkStart w:id="11" w:name="OLE_LINK26"/>
            <w:r>
              <w:t>et al.</w:t>
            </w:r>
            <w:bookmarkEnd w:id="11"/>
            <w:r>
              <w:t xml:space="preserve"> (1977) </w:t>
            </w:r>
            <w:r>
              <w:fldChar w:fldCharType="begin"/>
            </w:r>
            <w:r>
              <w:instrText xml:space="preserve"> ADDIN EN.CITE &lt;EndNote&gt;&lt;Cite&gt;&lt;Author&gt;Slack&lt;/Author&gt;&lt;Year&gt;1977&lt;/Year&gt;&lt;RecNum&gt;105&lt;/RecNum&gt;&lt;DisplayText&gt;&lt;style font="Times New Roman" size="12"&gt;[14]&lt;/style&gt;&lt;/DisplayText&gt;&lt;record&gt;&lt;rec-number&gt;105&lt;/rec-number&gt;&lt;foreign-keys&gt;&lt;key app="EN" db-id="9xxtaevabwv2tjex095x05rq9v0padvps90f" timestamp="1700040061"&gt;105&lt;/key&gt;&lt;/foreign-keys&gt;&lt;ref-type name="Journal Article"&gt;17&lt;/ref-type&gt;&lt;contributors&gt;&lt;authors&gt;&lt;author&gt;Slack, M. W.&lt;/author&gt;&lt;/authors&gt;&lt;/contributors&gt;&lt;titles&gt;&lt;title&gt;&lt;style face="normal" font="default" size="100%"&gt;Rate coefficient for H + O&lt;/style&gt;&lt;style face="subscript" font="default" size="100%"&gt;2&lt;/style&gt;&lt;style face="normal" font="default" size="100%"&gt; + M = HO&lt;/style&gt;&lt;style face="subscript" font="default" size="100%"&gt;2&lt;/style&gt;&lt;style face="normal" font="default" size="100%"&gt; + M evaluated from shock tube measurements of induction times&lt;/style&gt;&lt;/title&gt;&lt;secondary-title&gt;Combustion and Flame&lt;/secondary-title&gt;&lt;/titles&gt;&lt;pages&gt;241-249&lt;/pages&gt;&lt;volume&gt;28&lt;/volume&gt;&lt;dates&gt;&lt;year&gt;1977&lt;/year&gt;&lt;pub-dates&gt;&lt;date&gt;1977/01/01/&lt;/date&gt;&lt;/pub-dates&gt;&lt;/dates&gt;&lt;isbn&gt;0010-2180&lt;/isbn&gt;&lt;urls&gt;&lt;related-urls&gt;&lt;url&gt;https://www.sciencedirect.com/science/article/pii/0010218077900311&lt;/url&gt;&lt;/related-urls&gt;&lt;/urls&gt;&lt;electronic-resource-num&gt;https://doi.org/10.1016/0010-2180(77)90031-1&lt;/electronic-resource-num&gt;&lt;/record&gt;&lt;/Cite&gt;&lt;/EndNote&gt;</w:instrText>
            </w:r>
            <w:r>
              <w:fldChar w:fldCharType="separate"/>
            </w:r>
            <w:r>
              <w:t>[14]</w:t>
            </w:r>
            <w:r>
              <w:fldChar w:fldCharType="end"/>
            </w:r>
          </w:p>
        </w:tc>
      </w:tr>
      <w:tr w14:paraId="085EC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A1196D7">
            <w:r>
              <w:t>15</w:t>
            </w:r>
          </w:p>
        </w:tc>
        <w:tc>
          <w:tcPr>
            <w:tcW w:w="918" w:type="dxa"/>
            <w:shd w:val="clear" w:color="auto" w:fill="auto"/>
          </w:tcPr>
          <w:p w14:paraId="3FD4A034">
            <w:r>
              <w:t>N</w:t>
            </w:r>
            <w:r>
              <w:rPr>
                <w:vertAlign w:val="subscript"/>
              </w:rPr>
              <w:t>2</w:t>
            </w:r>
          </w:p>
        </w:tc>
        <w:tc>
          <w:tcPr>
            <w:tcW w:w="1925" w:type="dxa"/>
            <w:shd w:val="clear" w:color="auto" w:fill="auto"/>
          </w:tcPr>
          <w:p w14:paraId="5B12CC85">
            <w:r>
              <w:t>984-1184</w:t>
            </w:r>
          </w:p>
        </w:tc>
        <w:tc>
          <w:tcPr>
            <w:tcW w:w="1828" w:type="dxa"/>
            <w:shd w:val="clear" w:color="auto" w:fill="auto"/>
          </w:tcPr>
          <w:p w14:paraId="7B3CFE27">
            <w:r>
              <w:t>2</w:t>
            </w:r>
          </w:p>
        </w:tc>
        <w:tc>
          <w:tcPr>
            <w:tcW w:w="1906" w:type="dxa"/>
            <w:shd w:val="clear" w:color="auto" w:fill="auto"/>
          </w:tcPr>
          <w:p w14:paraId="6DEF1753">
            <w:r>
              <w:t>1</w:t>
            </w:r>
          </w:p>
        </w:tc>
      </w:tr>
      <w:tr w14:paraId="0023E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60886B0">
            <w:r>
              <w:t xml:space="preserve">Petersen et al. (2004) </w:t>
            </w:r>
            <w:r>
              <w:fldChar w:fldCharType="begin"/>
            </w:r>
            <w:r>
              <w:instrText xml:space="preserve"> ADDIN EN.CITE &lt;EndNote&gt;&lt;Cite&gt;&lt;Author&gt;Petersen&lt;/Author&gt;&lt;Year&gt;2003&lt;/Year&gt;&lt;RecNum&gt;106&lt;/RecNum&gt;&lt;DisplayText&gt;&lt;style font="Times New Roman" size="12"&gt;[15]&lt;/style&gt;&lt;/DisplayText&gt;&lt;record&gt;&lt;rec-number&gt;106&lt;/rec-number&gt;&lt;foreign-keys&gt;&lt;key app="EN" db-id="9xxtaevabwv2tjex095x05rq9v0padvps90f" timestamp="1700040345"&gt;106&lt;/key&gt;&lt;/foreign-keys&gt;&lt;ref-type name="Book Section"&gt;5&lt;/ref-type&gt;&lt;contributors&gt;&lt;authors&gt;&lt;author&gt;Petersen, Eric&lt;/author&gt;&lt;author&gt;Kalitan, Danielle&lt;/author&gt;&lt;author&gt;Rickard, Matthew&lt;/author&gt;&lt;/authors&gt;&lt;/contributors&gt;&lt;titles&gt;&lt;title&gt;Calibration and chemical kinetics modeling of an OH chemiluminesence diagnostic&lt;/title&gt;&lt;secondary-title&gt;39th AIAA/ASME/SAE/ASEE Joint Propulsion Conference and Exhibit&lt;/secondary-title&gt;&lt;tertiary-title&gt;Joint Propulsion Conferences&lt;/tertiary-title&gt;&lt;/titles&gt;&lt;num-vols&gt;0&lt;/num-vols&gt;&lt;dates&gt;&lt;year&gt;2003&lt;/year&gt;&lt;/dates&gt;&lt;publisher&gt;American Institute of Aeronautics and Astronautics&lt;/publisher&gt;&lt;urls&gt;&lt;related-urls&gt;&lt;url&gt;https://doi.org/10.2514/6.2003-4493&lt;/url&gt;&lt;/related-urls&gt;&lt;/urls&gt;&lt;electronic-resource-num&gt;doi:10.2514/6.2003-4493&amp;#xD;10.2514/6.2003-4493&lt;/electronic-resource-num&gt;&lt;access-date&gt;2023/11/15&lt;/access-date&gt;&lt;/record&gt;&lt;/Cite&gt;&lt;/EndNote&gt;</w:instrText>
            </w:r>
            <w:r>
              <w:fldChar w:fldCharType="separate"/>
            </w:r>
            <w:r>
              <w:t>[15]</w:t>
            </w:r>
            <w:r>
              <w:fldChar w:fldCharType="end"/>
            </w:r>
          </w:p>
        </w:tc>
      </w:tr>
      <w:tr w14:paraId="32779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BA7F8A9">
            <w:r>
              <w:t>28</w:t>
            </w:r>
          </w:p>
        </w:tc>
        <w:tc>
          <w:tcPr>
            <w:tcW w:w="918" w:type="dxa"/>
            <w:shd w:val="clear" w:color="auto" w:fill="auto"/>
          </w:tcPr>
          <w:p w14:paraId="75FB6D52">
            <w:r>
              <w:t>AR</w:t>
            </w:r>
          </w:p>
        </w:tc>
        <w:tc>
          <w:tcPr>
            <w:tcW w:w="1925" w:type="dxa"/>
            <w:shd w:val="clear" w:color="auto" w:fill="auto"/>
          </w:tcPr>
          <w:p w14:paraId="499DC9AA">
            <w:r>
              <w:t>1009-1511</w:t>
            </w:r>
          </w:p>
        </w:tc>
        <w:tc>
          <w:tcPr>
            <w:tcW w:w="1828" w:type="dxa"/>
            <w:shd w:val="clear" w:color="auto" w:fill="auto"/>
          </w:tcPr>
          <w:p w14:paraId="454E67BB">
            <w:r>
              <w:t>1</w:t>
            </w:r>
          </w:p>
        </w:tc>
        <w:tc>
          <w:tcPr>
            <w:tcW w:w="1906" w:type="dxa"/>
            <w:shd w:val="clear" w:color="auto" w:fill="auto"/>
          </w:tcPr>
          <w:p w14:paraId="6BEE5D21">
            <w:r>
              <w:t>1-1.5</w:t>
            </w:r>
          </w:p>
        </w:tc>
      </w:tr>
      <w:tr w14:paraId="2D7D0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23EC7A0">
            <w:r>
              <w:t xml:space="preserve">Bhaskaran et al. (1973) </w:t>
            </w:r>
            <w:r>
              <w:fldChar w:fldCharType="begin"/>
            </w:r>
            <w:r>
              <w:instrText xml:space="preserve"> ADDIN EN.CITE &lt;EndNote&gt;&lt;Cite&gt;&lt;Author&gt;Bhaskaran&lt;/Author&gt;&lt;Year&gt;1973&lt;/Year&gt;&lt;RecNum&gt;107&lt;/RecNum&gt;&lt;DisplayText&gt;&lt;style font="Times New Roman" size="12"&gt;[16]&lt;/style&gt;&lt;/DisplayText&gt;&lt;record&gt;&lt;rec-number&gt;107&lt;/rec-number&gt;&lt;foreign-keys&gt;&lt;key app="EN" db-id="9xxtaevabwv2tjex095x05rq9v0padvps90f" timestamp="1700048214"&gt;107&lt;/key&gt;&lt;/foreign-keys&gt;&lt;ref-type name="Journal Article"&gt;17&lt;/ref-type&gt;&lt;contributors&gt;&lt;authors&gt;&lt;author&gt;Bhaskaran, K. A.&lt;/author&gt;&lt;author&gt;Gupta, M. C.&lt;/author&gt;&lt;author&gt;Just, Th&lt;/author&gt;&lt;/authors&gt;&lt;/contributors&gt;&lt;titles&gt;&lt;title&gt;Shock tube study of the effect of unsymmetric dimethyl hydrazine on the ignition characteristics of hydrogen-air mixtures&lt;/title&gt;&lt;secondary-title&gt;Combustion and Flame&lt;/secondary-title&gt;&lt;/titles&gt;&lt;pages&gt;45-48&lt;/pages&gt;&lt;volume&gt;21&lt;/volume&gt;&lt;number&gt;1&lt;/number&gt;&lt;dates&gt;&lt;year&gt;1973&lt;/year&gt;&lt;pub-dates&gt;&lt;date&gt;1973/08/01/&lt;/date&gt;&lt;/pub-dates&gt;&lt;/dates&gt;&lt;isbn&gt;0010-2180&lt;/isbn&gt;&lt;urls&gt;&lt;related-urls&gt;&lt;url&gt;https://www.sciencedirect.com/science/article/pii/0010218073900059&lt;/url&gt;&lt;/related-urls&gt;&lt;/urls&gt;&lt;electronic-resource-num&gt;https://doi.org/10.1016/0010-2180(73)90005-9&lt;/electronic-resource-num&gt;&lt;/record&gt;&lt;/Cite&gt;&lt;/EndNote&gt;</w:instrText>
            </w:r>
            <w:r>
              <w:fldChar w:fldCharType="separate"/>
            </w:r>
            <w:r>
              <w:t>[16]</w:t>
            </w:r>
            <w:r>
              <w:fldChar w:fldCharType="end"/>
            </w:r>
          </w:p>
        </w:tc>
      </w:tr>
      <w:tr w14:paraId="5B4AC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2FE98BA4">
            <w:r>
              <w:t>13</w:t>
            </w:r>
          </w:p>
        </w:tc>
        <w:tc>
          <w:tcPr>
            <w:tcW w:w="918" w:type="dxa"/>
            <w:shd w:val="clear" w:color="auto" w:fill="auto"/>
          </w:tcPr>
          <w:p w14:paraId="2D9EEE97">
            <w:r>
              <w:t>N2</w:t>
            </w:r>
          </w:p>
        </w:tc>
        <w:tc>
          <w:tcPr>
            <w:tcW w:w="1925" w:type="dxa"/>
            <w:shd w:val="clear" w:color="auto" w:fill="auto"/>
          </w:tcPr>
          <w:p w14:paraId="4533F2CB">
            <w:r>
              <w:t>1067-1323</w:t>
            </w:r>
          </w:p>
        </w:tc>
        <w:tc>
          <w:tcPr>
            <w:tcW w:w="1828" w:type="dxa"/>
            <w:shd w:val="clear" w:color="auto" w:fill="auto"/>
          </w:tcPr>
          <w:p w14:paraId="74F62AB6">
            <w:r>
              <w:t>2.5</w:t>
            </w:r>
          </w:p>
        </w:tc>
        <w:tc>
          <w:tcPr>
            <w:tcW w:w="1906" w:type="dxa"/>
            <w:shd w:val="clear" w:color="auto" w:fill="auto"/>
          </w:tcPr>
          <w:p w14:paraId="22D18793">
            <w:r>
              <w:t>1</w:t>
            </w:r>
          </w:p>
        </w:tc>
      </w:tr>
      <w:tr w14:paraId="37A63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5E6DDC38">
            <w:r>
              <w:t xml:space="preserve">Wang </w:t>
            </w:r>
            <w:bookmarkStart w:id="12" w:name="OLE_LINK27"/>
            <w:r>
              <w:t xml:space="preserve">et al. </w:t>
            </w:r>
            <w:bookmarkEnd w:id="12"/>
            <w:r>
              <w:t xml:space="preserve">(2003) </w:t>
            </w:r>
            <w:r>
              <w:fldChar w:fldCharType="begin"/>
            </w:r>
            <w:r>
              <w:instrText xml:space="preserve"> ADDIN EN.CITE &lt;EndNote&gt;&lt;Cite&gt;&lt;Author&gt;Wang&lt;/Author&gt;&lt;Year&gt;2003&lt;/Year&gt;&lt;RecNum&gt;108&lt;/RecNum&gt;&lt;DisplayText&gt;&lt;style font="Times New Roman" size="12"&gt;[17]&lt;/style&gt;&lt;/DisplayText&gt;&lt;record&gt;&lt;rec-number&gt;108&lt;/rec-number&gt;&lt;foreign-keys&gt;&lt;key app="EN" db-id="9xxtaevabwv2tjex095x05rq9v0padvps90f" timestamp="1700048635"&gt;108&lt;/key&gt;&lt;/foreign-keys&gt;&lt;ref-type name="Journal Article"&gt;17&lt;/ref-type&gt;&lt;contributors&gt;&lt;authors&gt;&lt;author&gt;Wang, B. L.&lt;/author&gt;&lt;author&gt;Olivier, H.&lt;/author&gt;&lt;author&gt;Grönig, H.&lt;/author&gt;&lt;/authors&gt;&lt;/contributors&gt;&lt;titles&gt;&lt;title&gt;&lt;style face="normal" font="default" size="100%"&gt;Ignition of shock-heated H&lt;/style&gt;&lt;style face="subscript" font="default" size="100%"&gt;2&lt;/style&gt;&lt;style face="normal" font="default" size="100%"&gt;-air-steam mixtures&lt;/style&gt;&lt;/title&gt;&lt;secondary-title&gt;Combustion and Flame&lt;/secondary-title&gt;&lt;/titles&gt;&lt;pages&gt;93-106&lt;/pages&gt;&lt;volume&gt;133&lt;/volume&gt;&lt;number&gt;1&lt;/number&gt;&lt;keywords&gt;&lt;keyword&gt;Ignition delay time&lt;/keyword&gt;&lt;keyword&gt;DDT&lt;/keyword&gt;&lt;keyword&gt;Chemical kinetic data&lt;/keyword&gt;&lt;keyword&gt;Shock tube&lt;/keyword&gt;&lt;/keywords&gt;&lt;dates&gt;&lt;year&gt;2003&lt;/year&gt;&lt;pub-dates&gt;&lt;date&gt;2003/04/01/&lt;/date&gt;&lt;/pub-dates&gt;&lt;/dates&gt;&lt;isbn&gt;0010-2180&lt;/isbn&gt;&lt;urls&gt;&lt;related-urls&gt;&lt;url&gt;https://www.sciencedirect.com/science/article/pii/S0010218002005527&lt;/url&gt;&lt;/related-urls&gt;&lt;/urls&gt;&lt;electronic-resource-num&gt;https://doi.org/10.1016/S0010-2180(02)00552-7&lt;/electronic-resource-num&gt;&lt;/record&gt;&lt;/Cite&gt;&lt;/EndNote&gt;</w:instrText>
            </w:r>
            <w:r>
              <w:fldChar w:fldCharType="separate"/>
            </w:r>
            <w:r>
              <w:t>[17]</w:t>
            </w:r>
            <w:r>
              <w:fldChar w:fldCharType="end"/>
            </w:r>
          </w:p>
        </w:tc>
      </w:tr>
      <w:tr w14:paraId="2777C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F817E27">
            <w:r>
              <w:t>10</w:t>
            </w:r>
          </w:p>
        </w:tc>
        <w:tc>
          <w:tcPr>
            <w:tcW w:w="918" w:type="dxa"/>
            <w:shd w:val="clear" w:color="auto" w:fill="auto"/>
          </w:tcPr>
          <w:p w14:paraId="25D19B3A">
            <w:r>
              <w:t>N</w:t>
            </w:r>
            <w:r>
              <w:rPr>
                <w:vertAlign w:val="subscript"/>
              </w:rPr>
              <w:t>2</w:t>
            </w:r>
          </w:p>
        </w:tc>
        <w:tc>
          <w:tcPr>
            <w:tcW w:w="1925" w:type="dxa"/>
            <w:shd w:val="clear" w:color="auto" w:fill="auto"/>
          </w:tcPr>
          <w:p w14:paraId="753CB9B0">
            <w:r>
              <w:t>1019-1173</w:t>
            </w:r>
          </w:p>
        </w:tc>
        <w:tc>
          <w:tcPr>
            <w:tcW w:w="1828" w:type="dxa"/>
            <w:shd w:val="clear" w:color="auto" w:fill="auto"/>
          </w:tcPr>
          <w:p w14:paraId="35AC88ED">
            <w:r>
              <w:t>4</w:t>
            </w:r>
          </w:p>
        </w:tc>
        <w:tc>
          <w:tcPr>
            <w:tcW w:w="1906" w:type="dxa"/>
            <w:shd w:val="clear" w:color="auto" w:fill="auto"/>
          </w:tcPr>
          <w:p w14:paraId="370DCCD5">
            <w:r>
              <w:t>0.42</w:t>
            </w:r>
          </w:p>
        </w:tc>
      </w:tr>
      <w:tr w14:paraId="7FC89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A253441">
            <w:r>
              <w:t>37</w:t>
            </w:r>
          </w:p>
        </w:tc>
        <w:tc>
          <w:tcPr>
            <w:tcW w:w="918" w:type="dxa"/>
            <w:shd w:val="clear" w:color="auto" w:fill="auto"/>
          </w:tcPr>
          <w:p w14:paraId="40526BF1">
            <w:r>
              <w:t>N</w:t>
            </w:r>
            <w:r>
              <w:rPr>
                <w:vertAlign w:val="subscript"/>
              </w:rPr>
              <w:t>2</w:t>
            </w:r>
            <w:r>
              <w:t>/H</w:t>
            </w:r>
            <w:r>
              <w:rPr>
                <w:vertAlign w:val="subscript"/>
              </w:rPr>
              <w:t>2</w:t>
            </w:r>
            <w:r>
              <w:t>O</w:t>
            </w:r>
          </w:p>
        </w:tc>
        <w:tc>
          <w:tcPr>
            <w:tcW w:w="1925" w:type="dxa"/>
            <w:shd w:val="clear" w:color="auto" w:fill="auto"/>
          </w:tcPr>
          <w:p w14:paraId="3503DD95">
            <w:r>
              <w:t>1080-1252</w:t>
            </w:r>
          </w:p>
        </w:tc>
        <w:tc>
          <w:tcPr>
            <w:tcW w:w="1828" w:type="dxa"/>
            <w:shd w:val="clear" w:color="auto" w:fill="auto"/>
          </w:tcPr>
          <w:p w14:paraId="70587F95">
            <w:r>
              <w:t>4-16</w:t>
            </w:r>
          </w:p>
        </w:tc>
        <w:tc>
          <w:tcPr>
            <w:tcW w:w="1906" w:type="dxa"/>
            <w:shd w:val="clear" w:color="auto" w:fill="auto"/>
          </w:tcPr>
          <w:p w14:paraId="0E236AE6">
            <w:r>
              <w:t>0.42</w:t>
            </w:r>
          </w:p>
        </w:tc>
      </w:tr>
      <w:tr w14:paraId="73F26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E8C35A2">
            <w:r>
              <w:t xml:space="preserve">Asaba et al. (1965) </w:t>
            </w:r>
            <w:r>
              <w:fldChar w:fldCharType="begin"/>
            </w:r>
            <w:r>
              <w:instrText xml:space="preserve"> ADDIN EN.CITE &lt;EndNote&gt;&lt;Cite&gt;&lt;Author&gt;Asaba&lt;/Author&gt;&lt;Year&gt;1965&lt;/Year&gt;&lt;RecNum&gt;109&lt;/RecNum&gt;&lt;DisplayText&gt;&lt;style font="Times New Roman" size="12"&gt;[18]&lt;/style&gt;&lt;/DisplayText&gt;&lt;record&gt;&lt;rec-number&gt;109&lt;/rec-number&gt;&lt;foreign-keys&gt;&lt;key app="EN" db-id="9xxtaevabwv2tjex095x05rq9v0padvps90f" timestamp="1700049401"&gt;109&lt;/key&gt;&lt;/foreign-keys&gt;&lt;ref-type name="Journal Article"&gt;17&lt;/ref-type&gt;&lt;contributors&gt;&lt;authors&gt;&lt;author&gt;Asaba, T.&lt;/author&gt;&lt;author&gt;Gardiner, W. C.&lt;/author&gt;&lt;author&gt;Stubbeman, R. F.&lt;/author&gt;&lt;/authors&gt;&lt;/contributors&gt;&lt;titles&gt;&lt;title&gt;Shock-tube study of the hydrogen-oxygen reaction&lt;/title&gt;&lt;secondary-title&gt;Symposium (International) on Combustion&lt;/secondary-title&gt;&lt;/titles&gt;&lt;pages&gt;295-302&lt;/pages&gt;&lt;volume&gt;10&lt;/volume&gt;&lt;number&gt;1&lt;/number&gt;&lt;dates&gt;&lt;year&gt;1965&lt;/year&gt;&lt;pub-dates&gt;&lt;date&gt;1965/01/01/&lt;/date&gt;&lt;/pub-dates&gt;&lt;/dates&gt;&lt;isbn&gt;0082-0784&lt;/isbn&gt;&lt;urls&gt;&lt;related-urls&gt;&lt;url&gt;https://www.sciencedirect.com/science/article/pii/S0082078465801758&lt;/url&gt;&lt;/related-urls&gt;&lt;/urls&gt;&lt;electronic-resource-num&gt;https://doi.org/10.1016/S0082-0784(65)80175-8&lt;/electronic-resource-num&gt;&lt;/record&gt;&lt;/Cite&gt;&lt;/EndNote&gt;</w:instrText>
            </w:r>
            <w:r>
              <w:fldChar w:fldCharType="separate"/>
            </w:r>
            <w:r>
              <w:t>[18]</w:t>
            </w:r>
            <w:r>
              <w:fldChar w:fldCharType="end"/>
            </w:r>
          </w:p>
        </w:tc>
      </w:tr>
      <w:tr w14:paraId="16C90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46C970B">
            <w:r>
              <w:t>15</w:t>
            </w:r>
          </w:p>
        </w:tc>
        <w:tc>
          <w:tcPr>
            <w:tcW w:w="918" w:type="dxa"/>
            <w:shd w:val="clear" w:color="auto" w:fill="auto"/>
          </w:tcPr>
          <w:p w14:paraId="44EB4FBF">
            <w:r>
              <w:t>AR</w:t>
            </w:r>
          </w:p>
        </w:tc>
        <w:tc>
          <w:tcPr>
            <w:tcW w:w="1925" w:type="dxa"/>
            <w:shd w:val="clear" w:color="auto" w:fill="auto"/>
          </w:tcPr>
          <w:p w14:paraId="125F288F">
            <w:r>
              <w:t>1602-2554</w:t>
            </w:r>
          </w:p>
        </w:tc>
        <w:tc>
          <w:tcPr>
            <w:tcW w:w="1828" w:type="dxa"/>
            <w:shd w:val="clear" w:color="auto" w:fill="auto"/>
          </w:tcPr>
          <w:p w14:paraId="67A3A514">
            <w:r>
              <w:t>0.27-0.46</w:t>
            </w:r>
          </w:p>
        </w:tc>
        <w:tc>
          <w:tcPr>
            <w:tcW w:w="1906" w:type="dxa"/>
            <w:shd w:val="clear" w:color="auto" w:fill="auto"/>
          </w:tcPr>
          <w:p w14:paraId="0C00D3C6">
            <w:r>
              <w:t>0.5</w:t>
            </w:r>
          </w:p>
        </w:tc>
      </w:tr>
      <w:tr w14:paraId="31CBB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A4986F8">
            <w:r>
              <w:t xml:space="preserve">Naumann et al. (2011) </w:t>
            </w:r>
            <w:r>
              <w:fldChar w:fldCharType="begin"/>
            </w:r>
            <w:r>
              <w:instrText xml:space="preserve"> ADDIN EN.CITE &lt;EndNote&gt;&lt;Cite&gt;&lt;Author&gt;Naumann C&lt;/Author&gt;&lt;Year&gt;2011&lt;/Year&gt;&lt;RecNum&gt;169&lt;/RecNum&gt;&lt;DisplayText&gt;&lt;style font="Times New Roman" size="12"&gt;[19]&lt;/style&gt;&lt;/DisplayText&gt;&lt;record&gt;&lt;rec-number&gt;169&lt;/rec-number&gt;&lt;foreign-keys&gt;&lt;key app="EN" db-id="9xxtaevabwv2tjex095x05rq9v0padvps90f" timestamp="1715662109"&gt;169&lt;/key&gt;&lt;/foreign-keys&gt;&lt;ref-type name="Report"&gt;27&lt;/ref-type&gt;&lt;contributors&gt;&lt;authors&gt;&lt;author&gt;Naumann C, &lt;/author&gt;&lt;author&gt; Herzler J,  &lt;/author&gt;&lt;author&gt;Griebel P,  &lt;/author&gt;&lt;author&gt;Curran H J, &lt;/author&gt;&lt;author&gt;Kéromnès A&lt;/author&gt;&lt;/authors&gt;&lt;/contributors&gt;&lt;titles&gt;&lt;title&gt;Results of ignition delay times for hydrogen-rich and syngas fuel mixtures measured&lt;/title&gt;&lt;secondary-title&gt;7th Framework Programme FP7-Energy-2008-Tren-1 Energy-2008-6-Clean Coal Technologies&lt;/secondary-title&gt;&lt;/titles&gt;&lt;dates&gt;&lt;year&gt;2011&lt;/year&gt;&lt;/dates&gt;&lt;urls&gt;&lt;/urls&gt;&lt;/record&gt;&lt;/Cite&gt;&lt;/EndNote&gt;</w:instrText>
            </w:r>
            <w:r>
              <w:fldChar w:fldCharType="separate"/>
            </w:r>
            <w:r>
              <w:t>[19]</w:t>
            </w:r>
            <w:r>
              <w:fldChar w:fldCharType="end"/>
            </w:r>
          </w:p>
        </w:tc>
      </w:tr>
      <w:tr w14:paraId="5DF8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E36B257">
            <w:r>
              <w:t>105</w:t>
            </w:r>
          </w:p>
        </w:tc>
        <w:tc>
          <w:tcPr>
            <w:tcW w:w="918" w:type="dxa"/>
            <w:shd w:val="clear" w:color="auto" w:fill="auto"/>
          </w:tcPr>
          <w:p w14:paraId="43649AEF">
            <w:r>
              <w:t>AR</w:t>
            </w:r>
          </w:p>
        </w:tc>
        <w:tc>
          <w:tcPr>
            <w:tcW w:w="1925" w:type="dxa"/>
            <w:shd w:val="clear" w:color="auto" w:fill="auto"/>
          </w:tcPr>
          <w:p w14:paraId="059888E3">
            <w:r>
              <w:t>911-2136</w:t>
            </w:r>
          </w:p>
        </w:tc>
        <w:tc>
          <w:tcPr>
            <w:tcW w:w="1828" w:type="dxa"/>
            <w:shd w:val="clear" w:color="auto" w:fill="auto"/>
          </w:tcPr>
          <w:p w14:paraId="47C81992">
            <w:r>
              <w:t>0.68-17.57</w:t>
            </w:r>
          </w:p>
        </w:tc>
        <w:tc>
          <w:tcPr>
            <w:tcW w:w="1906" w:type="dxa"/>
            <w:shd w:val="clear" w:color="auto" w:fill="auto"/>
          </w:tcPr>
          <w:p w14:paraId="6289DD37">
            <w:r>
              <w:t>0.1-4</w:t>
            </w:r>
          </w:p>
        </w:tc>
      </w:tr>
      <w:tr w14:paraId="1AC8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D568213">
            <w:r>
              <w:t xml:space="preserve">Pan et al. (2014) </w:t>
            </w:r>
            <w:r>
              <w:fldChar w:fldCharType="begin"/>
            </w:r>
            <w:r>
              <w:instrText xml:space="preserve"> ADDIN EN.CITE &lt;EndNote&gt;&lt;Cite&gt;&lt;Author&gt;Pan&lt;/Author&gt;&lt;Year&gt;2014&lt;/Year&gt;&lt;RecNum&gt;110&lt;/RecNum&gt;&lt;DisplayText&gt;&lt;style font="Times New Roman" size="12"&gt;[20]&lt;/style&gt;&lt;/DisplayText&gt;&lt;record&gt;&lt;rec-number&gt;110&lt;/rec-number&gt;&lt;foreign-keys&gt;&lt;key app="EN" db-id="xssf90rsqz9sx4ezzwo505ejefwtapppzde5" timestamp="1700049691"&gt;110&lt;/key&gt;&lt;/foreign-keys&gt;&lt;ref-type name="Journal Article"&gt;17&lt;/ref-type&gt;&lt;contributors&gt;&lt;authors&gt;&lt;author&gt;Pan, Lun&lt;/author&gt;&lt;author&gt;Hu, Erjiang&lt;/author&gt;&lt;author&gt;Deng, Fuquan&lt;/author&gt;&lt;author&gt;Zhang, Zihang&lt;/author&gt;&lt;author&gt;Huang, Zuohua&lt;/author&gt;&lt;/authors&gt;&lt;/contributors&gt;&lt;titles&gt;&lt;title&gt;Effect of pressure and equivalence ratio on the ignition characteristics of dimethyl ether-hydrogen mixtures&lt;/title&gt;&lt;secondary-title&gt;International Journal of Hydrogen Energy&lt;/secondary-title&gt;&lt;/titles&gt;&lt;periodical&gt;&lt;full-title&gt;International Journal of Hydrogen Energy&lt;/full-title&gt;&lt;/periodical&gt;&lt;pages&gt;19212-19223&lt;/pages&gt;&lt;volume&gt;39&lt;/volume&gt;&lt;number&gt;33&lt;/number&gt;&lt;keywords&gt;&lt;keyword&gt;Ignition delay times&lt;/keyword&gt;&lt;keyword&gt;Hydrogen fraction&lt;/keyword&gt;&lt;keyword&gt;Shock tube&lt;/keyword&gt;&lt;keyword&gt;Equivalence ratio dependence&lt;/keyword&gt;&lt;keyword&gt;Pressure dependence&lt;/keyword&gt;&lt;keyword&gt;Chemical kinetic&lt;/keyword&gt;&lt;/keywords&gt;&lt;dates&gt;&lt;year&gt;2014&lt;/year&gt;&lt;pub-dates&gt;&lt;date&gt;2014/11/11/&lt;/date&gt;&lt;/pub-dates&gt;&lt;/dates&gt;&lt;isbn&gt;0360-3199&lt;/isbn&gt;&lt;urls&gt;&lt;related-urls&gt;&lt;url&gt;https://www.sciencedirect.com/science/article/pii/S0360319914026573&lt;/url&gt;&lt;/related-urls&gt;&lt;/urls&gt;&lt;electronic-resource-num&gt;https://doi.org/10.1016/j.ijhydene.2014.09.098&lt;/electronic-resource-num&gt;&lt;/record&gt;&lt;/Cite&gt;&lt;/EndNote&gt;</w:instrText>
            </w:r>
            <w:r>
              <w:fldChar w:fldCharType="separate"/>
            </w:r>
            <w:r>
              <w:t>[20]</w:t>
            </w:r>
            <w:r>
              <w:fldChar w:fldCharType="end"/>
            </w:r>
          </w:p>
        </w:tc>
      </w:tr>
      <w:tr w14:paraId="7E159A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25F04C13">
            <w:r>
              <w:t>28</w:t>
            </w:r>
          </w:p>
        </w:tc>
        <w:tc>
          <w:tcPr>
            <w:tcW w:w="918" w:type="dxa"/>
            <w:shd w:val="clear" w:color="auto" w:fill="auto"/>
          </w:tcPr>
          <w:p w14:paraId="0EA329A8">
            <w:r>
              <w:t>AR</w:t>
            </w:r>
          </w:p>
        </w:tc>
        <w:tc>
          <w:tcPr>
            <w:tcW w:w="1925" w:type="dxa"/>
            <w:shd w:val="clear" w:color="auto" w:fill="auto"/>
          </w:tcPr>
          <w:p w14:paraId="2481C0B7">
            <w:r>
              <w:t>921.3-1465</w:t>
            </w:r>
          </w:p>
        </w:tc>
        <w:tc>
          <w:tcPr>
            <w:tcW w:w="1828" w:type="dxa"/>
            <w:shd w:val="clear" w:color="auto" w:fill="auto"/>
          </w:tcPr>
          <w:p w14:paraId="20CAE62D">
            <w:r>
              <w:t>1.19-4.25</w:t>
            </w:r>
          </w:p>
        </w:tc>
        <w:tc>
          <w:tcPr>
            <w:tcW w:w="1906" w:type="dxa"/>
            <w:shd w:val="clear" w:color="auto" w:fill="auto"/>
          </w:tcPr>
          <w:p w14:paraId="22ED20F2">
            <w:r>
              <w:t>0.5-2</w:t>
            </w:r>
          </w:p>
        </w:tc>
      </w:tr>
      <w:tr w14:paraId="1D56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DC80438">
            <w:r>
              <w:t xml:space="preserve">Drakon </w:t>
            </w:r>
            <w:bookmarkStart w:id="13" w:name="OLE_LINK28"/>
            <w:r>
              <w:t xml:space="preserve">et al. </w:t>
            </w:r>
            <w:bookmarkEnd w:id="13"/>
            <w:r>
              <w:t xml:space="preserve">(2017) </w:t>
            </w:r>
            <w:r>
              <w:fldChar w:fldCharType="begin"/>
            </w:r>
            <w:r>
              <w:instrText xml:space="preserve"> ADDIN EN.CITE &lt;EndNote&gt;&lt;Cite&gt;&lt;Author&gt;Drakon&lt;/Author&gt;&lt;Year&gt;2017&lt;/Year&gt;&lt;RecNum&gt;111&lt;/RecNum&gt;&lt;DisplayText&gt;&lt;style font="Times New Roman" size="12"&gt;[21]&lt;/style&gt;&lt;/DisplayText&gt;&lt;record&gt;&lt;rec-number&gt;111&lt;/rec-number&gt;&lt;foreign-keys&gt;&lt;key app="EN" db-id="xssf90rsqz9sx4ezzwo505ejefwtapppzde5" timestamp="1700050227"&gt;111&lt;/key&gt;&lt;/foreign-keys&gt;&lt;ref-type name="Journal Article"&gt;17&lt;/ref-type&gt;&lt;contributors&gt;&lt;authors&gt;&lt;author&gt;Drakon, Alexander&lt;/author&gt;&lt;author&gt;Eremin, Alexander&lt;/author&gt;&lt;author&gt;Matveeva, Natalia&lt;/author&gt;&lt;author&gt;Mikheyeva, Ekaterina&lt;/author&gt;&lt;/authors&gt;&lt;/contributors&gt;&lt;titles&gt;&lt;title&gt;The opposite influences of flame suppressants on the ignition of combustible mixtures behind shock waves&lt;/title&gt;&lt;secondary-title&gt;Combustion and Flame&lt;/secondary-title&gt;&lt;/titles&gt;&lt;periodical&gt;&lt;full-title&gt;Combustion and Flame&lt;/full-title&gt;&lt;/periodical&gt;&lt;pages&gt;592-598&lt;/pages&gt;&lt;volume&gt;176&lt;/volume&gt;&lt;keywords&gt;&lt;keyword&gt;Shock waves&lt;/keyword&gt;&lt;keyword&gt;Ignition&lt;/keyword&gt;&lt;keyword&gt;Flame suppressants&lt;/keyword&gt;&lt;keyword&gt;Inhibition&lt;/keyword&gt;&lt;keyword&gt;Promotion&lt;/keyword&gt;&lt;/keywords&gt;&lt;dates&gt;&lt;year&gt;2017&lt;/year&gt;&lt;pub-dates&gt;&lt;date&gt;2017/02/01/&lt;/date&gt;&lt;/pub-dates&gt;&lt;/dates&gt;&lt;isbn&gt;0010-2180&lt;/isbn&gt;&lt;urls&gt;&lt;related-urls&gt;&lt;url&gt;https://www.sciencedirect.com/science/article/pii/S0010218016303418&lt;/url&gt;&lt;/related-urls&gt;&lt;/urls&gt;&lt;electronic-resource-num&gt;https://doi.org/10.1016/j.combustflame.2016.11.001&lt;/electronic-resource-num&gt;&lt;/record&gt;&lt;/Cite&gt;&lt;/EndNote&gt;</w:instrText>
            </w:r>
            <w:r>
              <w:fldChar w:fldCharType="separate"/>
            </w:r>
            <w:r>
              <w:t>[21]</w:t>
            </w:r>
            <w:r>
              <w:fldChar w:fldCharType="end"/>
            </w:r>
          </w:p>
        </w:tc>
      </w:tr>
      <w:tr w14:paraId="2FA1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C55C7EE">
            <w:r>
              <w:t>18</w:t>
            </w:r>
          </w:p>
        </w:tc>
        <w:tc>
          <w:tcPr>
            <w:tcW w:w="918" w:type="dxa"/>
            <w:shd w:val="clear" w:color="auto" w:fill="auto"/>
          </w:tcPr>
          <w:p w14:paraId="21E3ADE2">
            <w:r>
              <w:t>AR</w:t>
            </w:r>
          </w:p>
        </w:tc>
        <w:tc>
          <w:tcPr>
            <w:tcW w:w="1925" w:type="dxa"/>
            <w:shd w:val="clear" w:color="auto" w:fill="auto"/>
          </w:tcPr>
          <w:p w14:paraId="36928853">
            <w:r>
              <w:t>960-1020</w:t>
            </w:r>
          </w:p>
        </w:tc>
        <w:tc>
          <w:tcPr>
            <w:tcW w:w="1828" w:type="dxa"/>
            <w:shd w:val="clear" w:color="auto" w:fill="auto"/>
          </w:tcPr>
          <w:p w14:paraId="2E84AE19">
            <w:r>
              <w:t>1.93-2.64</w:t>
            </w:r>
          </w:p>
        </w:tc>
        <w:tc>
          <w:tcPr>
            <w:tcW w:w="1906" w:type="dxa"/>
            <w:shd w:val="clear" w:color="auto" w:fill="auto"/>
          </w:tcPr>
          <w:p w14:paraId="3317B5AC">
            <w:r>
              <w:t>1</w:t>
            </w:r>
          </w:p>
        </w:tc>
      </w:tr>
    </w:tbl>
    <w:p w14:paraId="5AACDB04">
      <w:pPr>
        <w:pStyle w:val="2"/>
      </w:pPr>
      <w:r>
        <w:rPr>
          <w:b/>
          <w:bCs/>
        </w:rPr>
        <w:t xml:space="preserve">Table S2. </w:t>
      </w:r>
      <w:r>
        <w:t>Laminar flame speed measurements of hydrogen-oxygen mixtures</w:t>
      </w:r>
    </w:p>
    <w:tbl>
      <w:tblPr>
        <w:tblStyle w:val="5"/>
        <w:tblW w:w="83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1"/>
        <w:gridCol w:w="1165"/>
        <w:gridCol w:w="1887"/>
        <w:gridCol w:w="1743"/>
        <w:gridCol w:w="1867"/>
      </w:tblGrid>
      <w:tr w14:paraId="185C8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45B11E1">
            <w:r>
              <w:t>Number of data</w:t>
            </w:r>
          </w:p>
        </w:tc>
        <w:tc>
          <w:tcPr>
            <w:tcW w:w="918" w:type="dxa"/>
            <w:shd w:val="clear" w:color="auto" w:fill="auto"/>
          </w:tcPr>
          <w:p w14:paraId="24C9AE05">
            <w:r>
              <w:t>Diluents</w:t>
            </w:r>
          </w:p>
        </w:tc>
        <w:tc>
          <w:tcPr>
            <w:tcW w:w="1925" w:type="dxa"/>
            <w:shd w:val="clear" w:color="auto" w:fill="auto"/>
          </w:tcPr>
          <w:p w14:paraId="6825C204">
            <w:r>
              <w:t>Temperature (K)</w:t>
            </w:r>
          </w:p>
        </w:tc>
        <w:tc>
          <w:tcPr>
            <w:tcW w:w="1828" w:type="dxa"/>
            <w:shd w:val="clear" w:color="auto" w:fill="auto"/>
          </w:tcPr>
          <w:p w14:paraId="0B91093E">
            <w:r>
              <w:t>Pressure (atm)</w:t>
            </w:r>
          </w:p>
        </w:tc>
        <w:tc>
          <w:tcPr>
            <w:tcW w:w="1906" w:type="dxa"/>
            <w:shd w:val="clear" w:color="auto" w:fill="auto"/>
          </w:tcPr>
          <w:p w14:paraId="561C57AE">
            <w:r>
              <w:t>Equivalence ratio</w:t>
            </w:r>
          </w:p>
        </w:tc>
      </w:tr>
      <w:tr w14:paraId="6059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06651B3">
            <w:r>
              <w:t xml:space="preserve">Kwon et al. (2001) </w:t>
            </w:r>
            <w:r>
              <w:fldChar w:fldCharType="begin"/>
            </w:r>
            <w:r>
              <w:instrText xml:space="preserve"> ADDIN EN.CITE &lt;EndNote&gt;&lt;Cite&gt;&lt;Author&gt;Kwon&lt;/Author&gt;&lt;Year&gt;2001&lt;/Year&gt;&lt;RecNum&gt;112&lt;/RecNum&gt;&lt;DisplayText&gt;&lt;style font="Times New Roman" size="12"&gt;[22]&lt;/style&gt;&lt;/DisplayText&gt;&lt;record&gt;&lt;rec-number&gt;112&lt;/rec-number&gt;&lt;foreign-keys&gt;&lt;key app="EN" db-id="9xxtaevabwv2tjex095x05rq9v0padvps90f" timestamp="1700054815"&gt;112&lt;/key&gt;&lt;/foreign-keys&gt;&lt;ref-type name="Journal Article"&gt;17&lt;/ref-type&gt;&lt;contributors&gt;&lt;authors&gt;&lt;author&gt;Kwon, O. C.&lt;/author&gt;&lt;author&gt;Faeth, G. M.&lt;/author&gt;&lt;/authors&gt;&lt;/contributors&gt;&lt;titles&gt;&lt;title&gt;Flame/stretch interactions of premixed hydrogen-fueled flames: measurements and predictions&lt;/title&gt;&lt;secondary-title&gt;Combustion and Flame&lt;/secondary-title&gt;&lt;/titles&gt;&lt;pages&gt;590-610&lt;/pages&gt;&lt;volume&gt;124&lt;/volume&gt;&lt;number&gt;4&lt;/number&gt;&lt;dates&gt;&lt;year&gt;2001&lt;/year&gt;&lt;pub-dates&gt;&lt;date&gt;2001/03/01/&lt;/date&gt;&lt;/pub-dates&gt;&lt;/dates&gt;&lt;isbn&gt;0010-2180&lt;/isbn&gt;&lt;urls&gt;&lt;related-urls&gt;&lt;url&gt;https://www.sciencedirect.com/science/article/pii/S0010218000002297&lt;/url&gt;&lt;/related-urls&gt;&lt;/urls&gt;&lt;electronic-resource-num&gt;https://doi.org/10.1016/S0010-2180(00)00229-7&lt;/electronic-resource-num&gt;&lt;/record&gt;&lt;/Cite&gt;&lt;/EndNote&gt;</w:instrText>
            </w:r>
            <w:r>
              <w:fldChar w:fldCharType="separate"/>
            </w:r>
            <w:r>
              <w:t>[22]</w:t>
            </w:r>
            <w:r>
              <w:fldChar w:fldCharType="end"/>
            </w:r>
          </w:p>
        </w:tc>
      </w:tr>
      <w:tr w14:paraId="39F1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1C4338A">
            <w:r>
              <w:t>8</w:t>
            </w:r>
          </w:p>
        </w:tc>
        <w:tc>
          <w:tcPr>
            <w:tcW w:w="918" w:type="dxa"/>
            <w:shd w:val="clear" w:color="auto" w:fill="auto"/>
          </w:tcPr>
          <w:p w14:paraId="6EFA1E2E">
            <w:r>
              <w:t>N</w:t>
            </w:r>
            <w:r>
              <w:rPr>
                <w:vertAlign w:val="subscript"/>
              </w:rPr>
              <w:t>2</w:t>
            </w:r>
          </w:p>
        </w:tc>
        <w:tc>
          <w:tcPr>
            <w:tcW w:w="1925" w:type="dxa"/>
            <w:shd w:val="clear" w:color="auto" w:fill="auto"/>
          </w:tcPr>
          <w:p w14:paraId="0C64BDE1">
            <w:r>
              <w:t>298</w:t>
            </w:r>
          </w:p>
        </w:tc>
        <w:tc>
          <w:tcPr>
            <w:tcW w:w="1828" w:type="dxa"/>
            <w:shd w:val="clear" w:color="auto" w:fill="auto"/>
          </w:tcPr>
          <w:p w14:paraId="0FD51B43">
            <w:r>
              <w:t>1</w:t>
            </w:r>
          </w:p>
        </w:tc>
        <w:tc>
          <w:tcPr>
            <w:tcW w:w="1906" w:type="dxa"/>
            <w:shd w:val="clear" w:color="auto" w:fill="auto"/>
          </w:tcPr>
          <w:p w14:paraId="7D83877E">
            <w:r>
              <w:t>0.6-4.5</w:t>
            </w:r>
          </w:p>
        </w:tc>
      </w:tr>
      <w:tr w14:paraId="1A2EF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07C0BD0">
            <w:r>
              <w:t>13</w:t>
            </w:r>
          </w:p>
        </w:tc>
        <w:tc>
          <w:tcPr>
            <w:tcW w:w="918" w:type="dxa"/>
            <w:shd w:val="clear" w:color="auto" w:fill="auto"/>
          </w:tcPr>
          <w:p w14:paraId="01DDE529">
            <w:r>
              <w:t>HE</w:t>
            </w:r>
          </w:p>
        </w:tc>
        <w:tc>
          <w:tcPr>
            <w:tcW w:w="1925" w:type="dxa"/>
            <w:shd w:val="clear" w:color="auto" w:fill="auto"/>
          </w:tcPr>
          <w:p w14:paraId="38AD0B05">
            <w:r>
              <w:t>298</w:t>
            </w:r>
          </w:p>
        </w:tc>
        <w:tc>
          <w:tcPr>
            <w:tcW w:w="1828" w:type="dxa"/>
            <w:shd w:val="clear" w:color="auto" w:fill="auto"/>
          </w:tcPr>
          <w:p w14:paraId="618C9057">
            <w:r>
              <w:t>0.5-3</w:t>
            </w:r>
          </w:p>
        </w:tc>
        <w:tc>
          <w:tcPr>
            <w:tcW w:w="1906" w:type="dxa"/>
            <w:shd w:val="clear" w:color="auto" w:fill="auto"/>
          </w:tcPr>
          <w:p w14:paraId="688A3C0F">
            <w:r>
              <w:t>0.6-4.5</w:t>
            </w:r>
          </w:p>
        </w:tc>
      </w:tr>
      <w:tr w14:paraId="134F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801ACD0">
            <w:r>
              <w:t xml:space="preserve">Tse et al. (2000) </w:t>
            </w:r>
            <w:r>
              <w:fldChar w:fldCharType="begin"/>
            </w:r>
            <w:r>
              <w:instrText xml:space="preserve"> ADDIN EN.CITE &lt;EndNote&gt;&lt;Cite&gt;&lt;Author&gt;Tse&lt;/Author&gt;&lt;Year&gt;2000&lt;/Year&gt;&lt;RecNum&gt;113&lt;/RecNum&gt;&lt;DisplayText&gt;&lt;style font="Times New Roman" size="12"&gt;[23]&lt;/style&gt;&lt;/DisplayText&gt;&lt;record&gt;&lt;rec-number&gt;113&lt;/rec-number&gt;&lt;foreign-keys&gt;&lt;key app="EN" db-id="9xxtaevabwv2tjex095x05rq9v0padvps90f" timestamp="1700055230"&gt;113&lt;/key&gt;&lt;/foreign-keys&gt;&lt;ref-type name="Journal Article"&gt;17&lt;/ref-type&gt;&lt;contributors&gt;&lt;authors&gt;&lt;author&gt;Tse, S. D.&lt;/author&gt;&lt;author&gt;Zhu, D. L.&lt;/author&gt;&lt;author&gt;Law, C. K.&lt;/author&gt;&lt;/authors&gt;&lt;/contributors&gt;&lt;titles&gt;&lt;title&gt;&lt;style face="normal" font="default" size="100%"&gt;Morphology and burning rates of expanding spherical flames in H&lt;/style&gt;&lt;style face="subscript" font="default" size="100%"&gt;2&lt;/style&gt;&lt;style face="normal" font="default" size="100%"&gt;/O&lt;/style&gt;&lt;style face="subscript" font="default" size="100%"&gt;2&lt;/style&gt;&lt;style face="normal" font="default" size="100%"&gt;/inert mixtures up to 60 atmospheres&lt;/style&gt;&lt;/title&gt;&lt;secondary-title&gt;Proceedings of the Combustion Institute&lt;/secondary-title&gt;&lt;/titles&gt;&lt;pages&gt;1793-1800&lt;/pages&gt;&lt;volume&gt;28&lt;/volume&gt;&lt;number&gt;2&lt;/number&gt;&lt;dates&gt;&lt;year&gt;2000&lt;/year&gt;&lt;pub-dates&gt;&lt;date&gt;2000/01/01/&lt;/date&gt;&lt;/pub-dates&gt;&lt;/dates&gt;&lt;isbn&gt;1540-7489&lt;/isbn&gt;&lt;urls&gt;&lt;related-urls&gt;&lt;url&gt;https://www.sciencedirect.com/science/article/pii/S0082078400805810&lt;/url&gt;&lt;/related-urls&gt;&lt;/urls&gt;&lt;electronic-resource-num&gt;https://doi.org/10.1016/S0082-0784(00)80581-0&lt;/electronic-resource-num&gt;&lt;/record&gt;&lt;/Cite&gt;&lt;/EndNote&gt;</w:instrText>
            </w:r>
            <w:r>
              <w:fldChar w:fldCharType="separate"/>
            </w:r>
            <w:r>
              <w:t>[23]</w:t>
            </w:r>
            <w:r>
              <w:fldChar w:fldCharType="end"/>
            </w:r>
          </w:p>
        </w:tc>
      </w:tr>
      <w:tr w14:paraId="1147F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55BEC33">
            <w:r>
              <w:t>16</w:t>
            </w:r>
          </w:p>
        </w:tc>
        <w:tc>
          <w:tcPr>
            <w:tcW w:w="918" w:type="dxa"/>
            <w:shd w:val="clear" w:color="auto" w:fill="auto"/>
          </w:tcPr>
          <w:p w14:paraId="12815BCA">
            <w:r>
              <w:t>N</w:t>
            </w:r>
            <w:r>
              <w:rPr>
                <w:vertAlign w:val="subscript"/>
              </w:rPr>
              <w:t>2</w:t>
            </w:r>
          </w:p>
        </w:tc>
        <w:tc>
          <w:tcPr>
            <w:tcW w:w="1925" w:type="dxa"/>
            <w:shd w:val="clear" w:color="auto" w:fill="auto"/>
          </w:tcPr>
          <w:p w14:paraId="07AB0025">
            <w:r>
              <w:t>298</w:t>
            </w:r>
          </w:p>
        </w:tc>
        <w:tc>
          <w:tcPr>
            <w:tcW w:w="1828" w:type="dxa"/>
            <w:shd w:val="clear" w:color="auto" w:fill="auto"/>
          </w:tcPr>
          <w:p w14:paraId="463141EA">
            <w:r>
              <w:t>1</w:t>
            </w:r>
          </w:p>
        </w:tc>
        <w:tc>
          <w:tcPr>
            <w:tcW w:w="1906" w:type="dxa"/>
            <w:shd w:val="clear" w:color="auto" w:fill="auto"/>
          </w:tcPr>
          <w:p w14:paraId="6ABA89DE">
            <w:r>
              <w:t>0.45-4.02</w:t>
            </w:r>
          </w:p>
        </w:tc>
      </w:tr>
      <w:tr w14:paraId="43508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1E8964E">
            <w:r>
              <w:t>39</w:t>
            </w:r>
          </w:p>
        </w:tc>
        <w:tc>
          <w:tcPr>
            <w:tcW w:w="918" w:type="dxa"/>
            <w:shd w:val="clear" w:color="auto" w:fill="auto"/>
          </w:tcPr>
          <w:p w14:paraId="22DAE051">
            <w:r>
              <w:t>HE</w:t>
            </w:r>
          </w:p>
        </w:tc>
        <w:tc>
          <w:tcPr>
            <w:tcW w:w="1925" w:type="dxa"/>
            <w:shd w:val="clear" w:color="auto" w:fill="auto"/>
          </w:tcPr>
          <w:p w14:paraId="41DC3CD2">
            <w:r>
              <w:t>298</w:t>
            </w:r>
          </w:p>
        </w:tc>
        <w:tc>
          <w:tcPr>
            <w:tcW w:w="1828" w:type="dxa"/>
            <w:shd w:val="clear" w:color="auto" w:fill="auto"/>
          </w:tcPr>
          <w:p w14:paraId="39162360">
            <w:r>
              <w:t>3-20</w:t>
            </w:r>
          </w:p>
        </w:tc>
        <w:tc>
          <w:tcPr>
            <w:tcW w:w="1906" w:type="dxa"/>
            <w:shd w:val="clear" w:color="auto" w:fill="auto"/>
          </w:tcPr>
          <w:p w14:paraId="2157E09C">
            <w:r>
              <w:t>0.5-3.5</w:t>
            </w:r>
          </w:p>
        </w:tc>
      </w:tr>
      <w:tr w14:paraId="5E1D1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03368871">
            <w:r>
              <w:t xml:space="preserve">Bradley et al. (2007) </w:t>
            </w:r>
            <w:r>
              <w:fldChar w:fldCharType="begin"/>
            </w:r>
            <w:r>
              <w:instrText xml:space="preserve"> ADDIN EN.CITE &lt;EndNote&gt;&lt;Cite&gt;&lt;Author&gt;Bradley&lt;/Author&gt;&lt;Year&gt;2007&lt;/Year&gt;&lt;RecNum&gt;114&lt;/RecNum&gt;&lt;DisplayText&gt;&lt;style font="Times New Roman" size="12"&gt;[24]&lt;/style&gt;&lt;/DisplayText&gt;&lt;record&gt;&lt;rec-number&gt;114&lt;/rec-number&gt;&lt;foreign-keys&gt;&lt;key app="EN" db-id="9xxtaevabwv2tjex095x05rq9v0padvps90f" timestamp="1700055896"&gt;114&lt;/key&gt;&lt;/foreign-keys&gt;&lt;ref-type name="Journal Article"&gt;17&lt;/ref-type&gt;&lt;contributors&gt;&lt;authors&gt;&lt;author&gt;Bradley, D.&lt;/author&gt;&lt;author&gt;Lawes, M.&lt;/author&gt;&lt;author&gt;Liu, Kexin&lt;/author&gt;&lt;author&gt;Verhelst, S.&lt;/author&gt;&lt;author&gt;Woolley, R.&lt;/author&gt;&lt;/authors&gt;&lt;/contributors&gt;&lt;titles&gt;&lt;title&gt;Laminar burning velocities of lean hydrogen–air mixtures at pressures up to 1.0 MPa&lt;/title&gt;&lt;secondary-title&gt;Combustion and Flame&lt;/secondary-title&gt;&lt;/titles&gt;&lt;pages&gt;162-172&lt;/pages&gt;&lt;volume&gt;149&lt;/volume&gt;&lt;number&gt;1&lt;/number&gt;&lt;keywords&gt;&lt;keyword&gt;Combustion instability&lt;/keyword&gt;&lt;keyword&gt;Explosions&lt;/keyword&gt;&lt;keyword&gt;Premixed laminar flames&lt;/keyword&gt;&lt;keyword&gt;Burning velocity&lt;/keyword&gt;&lt;/keywords&gt;&lt;dates&gt;&lt;year&gt;2007&lt;/year&gt;&lt;pub-dates&gt;&lt;date&gt;2007/04/01/&lt;/date&gt;&lt;/pub-dates&gt;&lt;/dates&gt;&lt;isbn&gt;0010-2180&lt;/isbn&gt;&lt;urls&gt;&lt;related-urls&gt;&lt;url&gt;https://www.sciencedirect.com/science/article/pii/S0010218006002811&lt;/url&gt;&lt;/related-urls&gt;&lt;/urls&gt;&lt;electronic-resource-num&gt;https://doi.org/10.1016/j.combustflame.2006.12.002&lt;/electronic-resource-num&gt;&lt;/record&gt;&lt;/Cite&gt;&lt;/EndNote&gt;</w:instrText>
            </w:r>
            <w:r>
              <w:fldChar w:fldCharType="separate"/>
            </w:r>
            <w:r>
              <w:t>[24]</w:t>
            </w:r>
            <w:r>
              <w:fldChar w:fldCharType="end"/>
            </w:r>
          </w:p>
        </w:tc>
      </w:tr>
      <w:tr w14:paraId="6AD3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C5A6103">
            <w:r>
              <w:t>22</w:t>
            </w:r>
          </w:p>
        </w:tc>
        <w:tc>
          <w:tcPr>
            <w:tcW w:w="918" w:type="dxa"/>
            <w:shd w:val="clear" w:color="auto" w:fill="auto"/>
          </w:tcPr>
          <w:p w14:paraId="52486B48">
            <w:r>
              <w:t>N</w:t>
            </w:r>
            <w:r>
              <w:rPr>
                <w:vertAlign w:val="subscript"/>
              </w:rPr>
              <w:t>2</w:t>
            </w:r>
          </w:p>
        </w:tc>
        <w:tc>
          <w:tcPr>
            <w:tcW w:w="1925" w:type="dxa"/>
            <w:shd w:val="clear" w:color="auto" w:fill="auto"/>
          </w:tcPr>
          <w:p w14:paraId="3F489607">
            <w:r>
              <w:t>365</w:t>
            </w:r>
          </w:p>
        </w:tc>
        <w:tc>
          <w:tcPr>
            <w:tcW w:w="1828" w:type="dxa"/>
            <w:shd w:val="clear" w:color="auto" w:fill="auto"/>
          </w:tcPr>
          <w:p w14:paraId="5EB06175">
            <w:r>
              <w:t>1-10</w:t>
            </w:r>
          </w:p>
        </w:tc>
        <w:tc>
          <w:tcPr>
            <w:tcW w:w="1906" w:type="dxa"/>
            <w:shd w:val="clear" w:color="auto" w:fill="auto"/>
          </w:tcPr>
          <w:p w14:paraId="2F97BA52">
            <w:r>
              <w:t>1</w:t>
            </w:r>
          </w:p>
        </w:tc>
      </w:tr>
      <w:tr w14:paraId="5178E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5231899B">
            <w:r>
              <w:t xml:space="preserve">Burke et al. (2011) </w:t>
            </w:r>
            <w:r>
              <w:fldChar w:fldCharType="begin"/>
            </w:r>
            <w:r>
              <w:instrText xml:space="preserve"> ADDIN EN.CITE &lt;EndNote&gt;&lt;Cite&gt;&lt;Author&gt;Burke&lt;/Author&gt;&lt;Year&gt;2011&lt;/Year&gt;&lt;RecNum&gt;115&lt;/RecNum&gt;&lt;DisplayText&gt;&lt;style font="Times New Roman" size="12"&gt;[25]&lt;/style&gt;&lt;/DisplayText&gt;&lt;record&gt;&lt;rec-number&gt;115&lt;/rec-number&gt;&lt;foreign-keys&gt;&lt;key app="EN" db-id="9xxtaevabwv2tjex095x05rq9v0padvps90f" timestamp="1700056231"&gt;115&lt;/key&gt;&lt;/foreign-keys&gt;&lt;ref-type name="Journal Article"&gt;17&lt;/ref-type&gt;&lt;contributors&gt;&lt;authors&gt;&lt;author&gt;Burke, Michael P.&lt;/author&gt;&lt;author&gt;Dryer, Frederick L.&lt;/author&gt;&lt;author&gt;Ju, Yiguang&lt;/author&gt;&lt;/authors&gt;&lt;/contributors&gt;&lt;titles&gt;&lt;title&gt;&lt;style face="normal" font="default" size="100%"&gt;Assessment of kinetic modeling for lean H&lt;/style&gt;&lt;style face="subscript" font="default" size="100%"&gt;2&lt;/style&gt;&lt;style face="normal" font="default" size="100%"&gt;/CH&lt;/style&gt;&lt;style face="subscript" font="default" size="100%"&gt;4&lt;/style&gt;&lt;style face="normal" font="default" size="100%"&gt;/O&lt;/style&gt;&lt;style face="subscript" font="default" size="100%"&gt;2&lt;/style&gt;&lt;style face="normal" font="default" size="100%"&gt;/diluent flames at high pressures&lt;/style&gt;&lt;/title&gt;&lt;secondary-title&gt;Proceedings of the Combustion Institute&lt;/secondary-title&gt;&lt;/titles&gt;&lt;pages&gt;905-912&lt;/pages&gt;&lt;volume&gt;33&lt;/volume&gt;&lt;number&gt;1&lt;/number&gt;&lt;keywords&gt;&lt;keyword&gt;Hydrogen&lt;/keyword&gt;&lt;keyword&gt;Methane&lt;/keyword&gt;&lt;keyword&gt;Syngas&lt;/keyword&gt;&lt;keyword&gt;Flame speed&lt;/keyword&gt;&lt;keyword&gt;Chemical mechanism&lt;/keyword&gt;&lt;/keywords&gt;&lt;dates&gt;&lt;year&gt;2011&lt;/year&gt;&lt;pub-dates&gt;&lt;date&gt;2011/01/01/&lt;/date&gt;&lt;/pub-dates&gt;&lt;/dates&gt;&lt;isbn&gt;1540-7489&lt;/isbn&gt;&lt;urls&gt;&lt;related-urls&gt;&lt;url&gt;https://www.sciencedirect.com/science/article/pii/S1540748910000623&lt;/url&gt;&lt;/related-urls&gt;&lt;/urls&gt;&lt;electronic-resource-num&gt;https://doi.org/10.1016/j.proci.2010.05.021&lt;/electronic-resource-num&gt;&lt;/record&gt;&lt;/Cite&gt;&lt;/EndNote&gt;</w:instrText>
            </w:r>
            <w:r>
              <w:fldChar w:fldCharType="separate"/>
            </w:r>
            <w:r>
              <w:t>[25]</w:t>
            </w:r>
            <w:r>
              <w:fldChar w:fldCharType="end"/>
            </w:r>
          </w:p>
        </w:tc>
      </w:tr>
      <w:tr w14:paraId="4CB7A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256B8A41">
            <w:r>
              <w:t>27</w:t>
            </w:r>
          </w:p>
        </w:tc>
        <w:tc>
          <w:tcPr>
            <w:tcW w:w="918" w:type="dxa"/>
            <w:shd w:val="clear" w:color="auto" w:fill="auto"/>
          </w:tcPr>
          <w:p w14:paraId="29A399AF">
            <w:r>
              <w:t>HE</w:t>
            </w:r>
          </w:p>
        </w:tc>
        <w:tc>
          <w:tcPr>
            <w:tcW w:w="1925" w:type="dxa"/>
            <w:shd w:val="clear" w:color="auto" w:fill="auto"/>
          </w:tcPr>
          <w:p w14:paraId="044B9FA7">
            <w:r>
              <w:t>295</w:t>
            </w:r>
          </w:p>
        </w:tc>
        <w:tc>
          <w:tcPr>
            <w:tcW w:w="1828" w:type="dxa"/>
            <w:shd w:val="clear" w:color="auto" w:fill="auto"/>
          </w:tcPr>
          <w:p w14:paraId="64386B4F">
            <w:r>
              <w:t>1-25</w:t>
            </w:r>
          </w:p>
        </w:tc>
        <w:tc>
          <w:tcPr>
            <w:tcW w:w="1906" w:type="dxa"/>
            <w:shd w:val="clear" w:color="auto" w:fill="auto"/>
          </w:tcPr>
          <w:p w14:paraId="6379A4E4">
            <w:r>
              <w:t>0.3-0.7</w:t>
            </w:r>
          </w:p>
        </w:tc>
      </w:tr>
      <w:tr w14:paraId="32642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D990511">
            <w:r>
              <w:t xml:space="preserve">Koroll et al. (1993) </w:t>
            </w:r>
            <w:r>
              <w:fldChar w:fldCharType="begin"/>
            </w:r>
            <w:r>
              <w:instrText xml:space="preserve"> ADDIN EN.CITE &lt;EndNote&gt;&lt;Cite&gt;&lt;Author&gt;Koroll&lt;/Author&gt;&lt;Year&gt;1993&lt;/Year&gt;&lt;RecNum&gt;116&lt;/RecNum&gt;&lt;DisplayText&gt;&lt;style font="Times New Roman" size="12"&gt;[26]&lt;/style&gt;&lt;/DisplayText&gt;&lt;record&gt;&lt;rec-number&gt;116&lt;/rec-number&gt;&lt;foreign-keys&gt;&lt;key app="EN" db-id="9xxtaevabwv2tjex095x05rq9v0padvps90f" timestamp="1700056792"&gt;116&lt;/key&gt;&lt;/foreign-keys&gt;&lt;ref-type name="Journal Article"&gt;17&lt;/ref-type&gt;&lt;contributors&gt;&lt;authors&gt;&lt;author&gt;Koroll, G. W.&lt;/author&gt;&lt;author&gt;Kumar, R. K.&lt;/author&gt;&lt;author&gt;Bowles, E. M.&lt;/author&gt;&lt;/authors&gt;&lt;/contributors&gt;&lt;titles&gt;&lt;title&gt;Burning velocities of hydrogen-air mixtures&lt;/title&gt;&lt;secondary-title&gt;Combustion and Flame&lt;/secondary-title&gt;&lt;/titles&gt;&lt;pages&gt;330-340&lt;/pages&gt;&lt;volume&gt;94&lt;/volume&gt;&lt;number&gt;3&lt;/number&gt;&lt;dates&gt;&lt;year&gt;1993&lt;/year&gt;&lt;pub-dates&gt;&lt;date&gt;1993/08/01/&lt;/date&gt;&lt;/pub-dates&gt;&lt;/dates&gt;&lt;isbn&gt;0010-2180&lt;/isbn&gt;&lt;urls&gt;&lt;related-urls&gt;&lt;url&gt;https://www.sciencedirect.com/science/article/pii/001021809390078H&lt;/url&gt;&lt;/related-urls&gt;&lt;/urls&gt;&lt;electronic-resource-num&gt;https://doi.org/10.1016/0010-2180(93)90078-H&lt;/electronic-resource-num&gt;&lt;/record&gt;&lt;/Cite&gt;&lt;/EndNote&gt;</w:instrText>
            </w:r>
            <w:r>
              <w:fldChar w:fldCharType="separate"/>
            </w:r>
            <w:r>
              <w:t>[26]</w:t>
            </w:r>
            <w:r>
              <w:fldChar w:fldCharType="end"/>
            </w:r>
          </w:p>
        </w:tc>
      </w:tr>
      <w:tr w14:paraId="4260D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46A2C887">
            <w:r>
              <w:t>14</w:t>
            </w:r>
          </w:p>
        </w:tc>
        <w:tc>
          <w:tcPr>
            <w:tcW w:w="918" w:type="dxa"/>
            <w:shd w:val="clear" w:color="auto" w:fill="auto"/>
          </w:tcPr>
          <w:p w14:paraId="6DF3AC18">
            <w:r>
              <w:t>N</w:t>
            </w:r>
            <w:r>
              <w:rPr>
                <w:vertAlign w:val="subscript"/>
              </w:rPr>
              <w:t>2</w:t>
            </w:r>
          </w:p>
        </w:tc>
        <w:tc>
          <w:tcPr>
            <w:tcW w:w="1925" w:type="dxa"/>
            <w:shd w:val="clear" w:color="auto" w:fill="auto"/>
          </w:tcPr>
          <w:p w14:paraId="381E18BE">
            <w:r>
              <w:t>298</w:t>
            </w:r>
          </w:p>
        </w:tc>
        <w:tc>
          <w:tcPr>
            <w:tcW w:w="1828" w:type="dxa"/>
            <w:shd w:val="clear" w:color="auto" w:fill="auto"/>
          </w:tcPr>
          <w:p w14:paraId="75A80CF5">
            <w:r>
              <w:t>1</w:t>
            </w:r>
          </w:p>
        </w:tc>
        <w:tc>
          <w:tcPr>
            <w:tcW w:w="1906" w:type="dxa"/>
            <w:shd w:val="clear" w:color="auto" w:fill="auto"/>
          </w:tcPr>
          <w:p w14:paraId="4B060E56">
            <w:r>
              <w:t>1</w:t>
            </w:r>
          </w:p>
        </w:tc>
      </w:tr>
      <w:tr w14:paraId="63287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7779F57">
            <w:bookmarkStart w:id="14" w:name="OLE_LINK14"/>
            <w:r>
              <w:t xml:space="preserve">Taylor </w:t>
            </w:r>
            <w:bookmarkEnd w:id="14"/>
            <w:r>
              <w:t xml:space="preserve">et al. (1991) </w:t>
            </w:r>
            <w:r>
              <w:fldChar w:fldCharType="begin"/>
            </w:r>
            <w:r>
              <w:instrText xml:space="preserve"> ADDIN EN.CITE &lt;EndNote&gt;&lt;Cite&gt;&lt;Author&gt;Taylor.&lt;/Author&gt;&lt;Year&gt;1991&lt;/Year&gt;&lt;RecNum&gt;147&lt;/RecNum&gt;&lt;DisplayText&gt;&lt;style font="Times New Roman" size="12"&gt;[27]&lt;/style&gt;&lt;/DisplayText&gt;&lt;record&gt;&lt;rec-number&gt;147&lt;/rec-number&gt;&lt;foreign-keys&gt;&lt;key app="EN" db-id="9xxtaevabwv2tjex095x05rq9v0padvps90f" timestamp="1701002693"&gt;147&lt;/key&gt;&lt;/foreign-keys&gt;&lt;ref-type name="Thesis"&gt;32&lt;/ref-type&gt;&lt;contributors&gt;&lt;authors&gt;&lt;author&gt;Taylor., S.C.&lt;/author&gt;&lt;/authors&gt;&lt;/contributors&gt;&lt;titles&gt;&lt;secondary-title&gt;University of Leeds,&lt;/secondary-title&gt;&lt;/titles&gt;&lt;dates&gt;&lt;year&gt;1991&lt;/year&gt;&lt;/dates&gt;&lt;urls&gt;&lt;/urls&gt;&lt;/record&gt;&lt;/Cite&gt;&lt;/EndNote&gt;</w:instrText>
            </w:r>
            <w:r>
              <w:fldChar w:fldCharType="separate"/>
            </w:r>
            <w:r>
              <w:t>[27]</w:t>
            </w:r>
            <w:r>
              <w:fldChar w:fldCharType="end"/>
            </w:r>
          </w:p>
        </w:tc>
      </w:tr>
      <w:tr w14:paraId="65FEC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22E64164">
            <w:r>
              <w:t>21</w:t>
            </w:r>
          </w:p>
        </w:tc>
        <w:tc>
          <w:tcPr>
            <w:tcW w:w="918" w:type="dxa"/>
            <w:shd w:val="clear" w:color="auto" w:fill="auto"/>
          </w:tcPr>
          <w:p w14:paraId="76675AE3">
            <w:r>
              <w:t>N</w:t>
            </w:r>
            <w:r>
              <w:rPr>
                <w:vertAlign w:val="subscript"/>
              </w:rPr>
              <w:t>2</w:t>
            </w:r>
          </w:p>
        </w:tc>
        <w:tc>
          <w:tcPr>
            <w:tcW w:w="1925" w:type="dxa"/>
            <w:shd w:val="clear" w:color="auto" w:fill="auto"/>
          </w:tcPr>
          <w:p w14:paraId="7616B431">
            <w:r>
              <w:t>296</w:t>
            </w:r>
          </w:p>
        </w:tc>
        <w:tc>
          <w:tcPr>
            <w:tcW w:w="1828" w:type="dxa"/>
            <w:shd w:val="clear" w:color="auto" w:fill="auto"/>
          </w:tcPr>
          <w:p w14:paraId="600BB435">
            <w:r>
              <w:t>1</w:t>
            </w:r>
          </w:p>
        </w:tc>
        <w:tc>
          <w:tcPr>
            <w:tcW w:w="1906" w:type="dxa"/>
            <w:shd w:val="clear" w:color="auto" w:fill="auto"/>
          </w:tcPr>
          <w:p w14:paraId="3C0D518F">
            <w:r>
              <w:t>0.22-4.99</w:t>
            </w:r>
          </w:p>
        </w:tc>
      </w:tr>
      <w:tr w14:paraId="2D220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7961846B">
            <w:r>
              <w:t xml:space="preserve">Takahashi et al. (1983) </w:t>
            </w:r>
            <w:r>
              <w:fldChar w:fldCharType="begin"/>
            </w:r>
            <w:r>
              <w:instrText xml:space="preserve"> ADDIN EN.CITE &lt;EndNote&gt;&lt;Cite&gt;&lt;Author&gt;F. Takahashi; M. Mizomoto; S. Ikai&lt;/Author&gt;&lt;RecNum&gt;148&lt;/RecNum&gt;&lt;DisplayText&gt;&lt;style font="Times New Roman" size="12"&gt;[28]&lt;/style&gt;&lt;/DisplayText&gt;&lt;record&gt;&lt;rec-number&gt;148&lt;/rec-number&gt;&lt;foreign-keys&gt;&lt;key app="EN" db-id="9xxtaevabwv2tjex095x05rq9v0padvps90f" timestamp="1701003620"&gt;148&lt;/key&gt;&lt;/foreign-keys&gt;&lt;ref-type name="Journal Article"&gt;17&lt;/ref-type&gt;&lt;contributors&gt;&lt;authors&gt;&lt;author&gt;F. Takahashi; M. Mizomoto; S. Ikai, Alternative Energy Sources III 5 (1983) 447–457 &lt;/author&gt;&lt;/authors&gt;&lt;/contributors&gt;&lt;titles&gt;&lt;/titles&gt;&lt;dates&gt;&lt;/dates&gt;&lt;urls&gt;&lt;/urls&gt;&lt;/record&gt;&lt;/Cite&gt;&lt;/EndNote&gt;</w:instrText>
            </w:r>
            <w:r>
              <w:fldChar w:fldCharType="separate"/>
            </w:r>
            <w:r>
              <w:t>[28]</w:t>
            </w:r>
            <w:r>
              <w:fldChar w:fldCharType="end"/>
            </w:r>
          </w:p>
        </w:tc>
      </w:tr>
      <w:tr w14:paraId="7380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0D0D6708">
            <w:r>
              <w:t>9</w:t>
            </w:r>
          </w:p>
        </w:tc>
        <w:tc>
          <w:tcPr>
            <w:tcW w:w="918" w:type="dxa"/>
            <w:shd w:val="clear" w:color="auto" w:fill="auto"/>
          </w:tcPr>
          <w:p w14:paraId="5636672F">
            <w:r>
              <w:t>N</w:t>
            </w:r>
            <w:r>
              <w:rPr>
                <w:vertAlign w:val="subscript"/>
              </w:rPr>
              <w:t>2</w:t>
            </w:r>
          </w:p>
        </w:tc>
        <w:tc>
          <w:tcPr>
            <w:tcW w:w="1925" w:type="dxa"/>
            <w:shd w:val="clear" w:color="auto" w:fill="auto"/>
          </w:tcPr>
          <w:p w14:paraId="002168A5">
            <w:r>
              <w:t>298</w:t>
            </w:r>
          </w:p>
        </w:tc>
        <w:tc>
          <w:tcPr>
            <w:tcW w:w="1828" w:type="dxa"/>
            <w:shd w:val="clear" w:color="auto" w:fill="auto"/>
          </w:tcPr>
          <w:p w14:paraId="1CB82B01">
            <w:r>
              <w:t>1</w:t>
            </w:r>
          </w:p>
        </w:tc>
        <w:tc>
          <w:tcPr>
            <w:tcW w:w="1906" w:type="dxa"/>
            <w:shd w:val="clear" w:color="auto" w:fill="auto"/>
          </w:tcPr>
          <w:p w14:paraId="60568D85">
            <w:r>
              <w:t>0.93-4.38</w:t>
            </w:r>
          </w:p>
        </w:tc>
      </w:tr>
      <w:tr w14:paraId="3690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26B39AE">
            <w:r>
              <w:t xml:space="preserve">Vagelopoulos et al. (1994) </w:t>
            </w:r>
            <w:r>
              <w:fldChar w:fldCharType="begin"/>
            </w:r>
            <w:r>
              <w:instrText xml:space="preserve"> ADDIN EN.CITE &lt;EndNote&gt;&lt;Cite&gt;&lt;Author&gt;Vagelopoulos&lt;/Author&gt;&lt;Year&gt;1994&lt;/Year&gt;&lt;RecNum&gt;117&lt;/RecNum&gt;&lt;DisplayText&gt;&lt;style font="Times New Roman" size="12"&gt;[29]&lt;/style&gt;&lt;/DisplayText&gt;&lt;record&gt;&lt;rec-number&gt;117&lt;/rec-number&gt;&lt;foreign-keys&gt;&lt;key app="EN" db-id="9xxtaevabwv2tjex095x05rq9v0padvps90f" timestamp="1700057275"&gt;117&lt;/key&gt;&lt;/foreign-keys&gt;&lt;ref-type name="Journal Article"&gt;17&lt;/ref-type&gt;&lt;contributors&gt;&lt;authors&gt;&lt;author&gt;Vagelopoulos, C. M.&lt;/author&gt;&lt;author&gt;Egolfopoulos, F. N.&lt;/author&gt;&lt;author&gt;Law, C. K.&lt;/author&gt;&lt;/authors&gt;&lt;/contributors&gt;&lt;titles&gt;&lt;title&gt;Further considerations on the determination of laminar flame speeds with the counterflow twin-flame technique&lt;/title&gt;&lt;secondary-title&gt;Symposium (International) on Combustion&lt;/secondary-title&gt;&lt;/titles&gt;&lt;pages&gt;1341-1347&lt;/pages&gt;&lt;volume&gt;25&lt;/volume&gt;&lt;number&gt;1&lt;/number&gt;&lt;dates&gt;&lt;year&gt;1994&lt;/year&gt;&lt;pub-dates&gt;&lt;date&gt;1994/01/01/&lt;/date&gt;&lt;/pub-dates&gt;&lt;/dates&gt;&lt;isbn&gt;0082-0784&lt;/isbn&gt;&lt;urls&gt;&lt;related-urls&gt;&lt;url&gt;https://www.sciencedirect.com/science/article/pii/S0082078406807769&lt;/url&gt;&lt;/related-urls&gt;&lt;/urls&gt;&lt;electronic-resource-num&gt;https://doi.org/10.1016/S0082-0784(06)80776-9&lt;/electronic-resource-num&gt;&lt;/record&gt;&lt;/Cite&gt;&lt;/EndNote&gt;</w:instrText>
            </w:r>
            <w:r>
              <w:fldChar w:fldCharType="separate"/>
            </w:r>
            <w:r>
              <w:t>[29]</w:t>
            </w:r>
            <w:r>
              <w:fldChar w:fldCharType="end"/>
            </w:r>
          </w:p>
        </w:tc>
      </w:tr>
      <w:tr w14:paraId="2B506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E92AFDE">
            <w:r>
              <w:t>6</w:t>
            </w:r>
          </w:p>
        </w:tc>
        <w:tc>
          <w:tcPr>
            <w:tcW w:w="918" w:type="dxa"/>
            <w:shd w:val="clear" w:color="auto" w:fill="auto"/>
          </w:tcPr>
          <w:p w14:paraId="3C71CAF7">
            <w:r>
              <w:t>N</w:t>
            </w:r>
            <w:r>
              <w:rPr>
                <w:vertAlign w:val="subscript"/>
              </w:rPr>
              <w:t>2</w:t>
            </w:r>
          </w:p>
        </w:tc>
        <w:tc>
          <w:tcPr>
            <w:tcW w:w="1925" w:type="dxa"/>
            <w:shd w:val="clear" w:color="auto" w:fill="auto"/>
          </w:tcPr>
          <w:p w14:paraId="74842E1C">
            <w:r>
              <w:t>298</w:t>
            </w:r>
          </w:p>
        </w:tc>
        <w:tc>
          <w:tcPr>
            <w:tcW w:w="1828" w:type="dxa"/>
            <w:shd w:val="clear" w:color="auto" w:fill="auto"/>
          </w:tcPr>
          <w:p w14:paraId="0DE9D3D9">
            <w:r>
              <w:t>1</w:t>
            </w:r>
          </w:p>
        </w:tc>
        <w:tc>
          <w:tcPr>
            <w:tcW w:w="1906" w:type="dxa"/>
            <w:shd w:val="clear" w:color="auto" w:fill="auto"/>
          </w:tcPr>
          <w:p w14:paraId="5E70E00E">
            <w:r>
              <w:t>0.3-0.55</w:t>
            </w:r>
          </w:p>
        </w:tc>
      </w:tr>
      <w:tr w14:paraId="3FEF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70257CF">
            <w:r>
              <w:t xml:space="preserve">Egolfopoulos et al. (1991) </w:t>
            </w:r>
            <w:r>
              <w:fldChar w:fldCharType="begin"/>
            </w:r>
            <w:r>
              <w:instrText xml:space="preserve"> ADDIN EN.CITE &lt;EndNote&gt;&lt;Cite&gt;&lt;Author&gt;Egolfopoulos&lt;/Author&gt;&lt;Year&gt;1991&lt;/Year&gt;&lt;RecNum&gt;118&lt;/RecNum&gt;&lt;DisplayText&gt;&lt;style font="Times New Roman" size="12"&gt;[30]&lt;/style&gt;&lt;/DisplayText&gt;&lt;record&gt;&lt;rec-number&gt;118&lt;/rec-number&gt;&lt;foreign-keys&gt;&lt;key app="EN" db-id="9xxtaevabwv2tjex095x05rq9v0padvps90f" timestamp="1700057578"&gt;118&lt;/key&gt;&lt;/foreign-keys&gt;&lt;ref-type name="Journal Article"&gt;17&lt;/ref-type&gt;&lt;contributors&gt;&lt;authors&gt;&lt;author&gt;Egolfopoulos, F. N.&lt;/author&gt;&lt;author&gt;Law, C. K.&lt;/author&gt;&lt;/authors&gt;&lt;/contributors&gt;&lt;titles&gt;&lt;title&gt;&lt;style face="normal" font="default" size="100%"&gt;An experimental and computational study of the burning rates of ultra-lean to moderately-rich H&lt;/style&gt;&lt;style face="subscript" font="default" size="100%"&gt;2&lt;/style&gt;&lt;style face="normal" font="default" size="100%"&gt;/O&lt;/style&gt;&lt;style face="subscript" font="default" size="100%"&gt;2&lt;/style&gt;&lt;style face="normal" font="default" size="100%"&gt;/N&lt;/style&gt;&lt;style face="subscript" font="default" size="100%"&gt;2&lt;/style&gt;&lt;style face="normal" font="default" size="100%"&gt; laminar flames with pressure variations&lt;/style&gt;&lt;/title&gt;&lt;secondary-title&gt;Symposium (International) on Combustion&lt;/secondary-title&gt;&lt;/titles&gt;&lt;pages&gt;333-340&lt;/pages&gt;&lt;volume&gt;23&lt;/volume&gt;&lt;number&gt;1&lt;/number&gt;&lt;dates&gt;&lt;year&gt;1991&lt;/year&gt;&lt;pub-dates&gt;&lt;date&gt;1991/01/01/&lt;/date&gt;&lt;/pub-dates&gt;&lt;/dates&gt;&lt;isbn&gt;0082-0784&lt;/isbn&gt;&lt;urls&gt;&lt;related-urls&gt;&lt;url&gt;https://www.sciencedirect.com/science/article/pii/S0082078406802766&lt;/url&gt;&lt;/related-urls&gt;&lt;/urls&gt;&lt;electronic-resource-num&gt;https://doi.org/10.1016/S0082-0784(06)80276-6&lt;/electronic-resource-num&gt;&lt;/record&gt;&lt;/Cite&gt;&lt;/EndNote&gt;</w:instrText>
            </w:r>
            <w:r>
              <w:fldChar w:fldCharType="separate"/>
            </w:r>
            <w:r>
              <w:t>[30]</w:t>
            </w:r>
            <w:r>
              <w:fldChar w:fldCharType="end"/>
            </w:r>
          </w:p>
        </w:tc>
      </w:tr>
      <w:tr w14:paraId="610D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FFBD0E2">
            <w:r>
              <w:t>56</w:t>
            </w:r>
          </w:p>
        </w:tc>
        <w:tc>
          <w:tcPr>
            <w:tcW w:w="918" w:type="dxa"/>
            <w:shd w:val="clear" w:color="auto" w:fill="auto"/>
          </w:tcPr>
          <w:p w14:paraId="5A895234">
            <w:r>
              <w:t>N</w:t>
            </w:r>
            <w:r>
              <w:rPr>
                <w:vertAlign w:val="subscript"/>
              </w:rPr>
              <w:t>2</w:t>
            </w:r>
          </w:p>
        </w:tc>
        <w:tc>
          <w:tcPr>
            <w:tcW w:w="1925" w:type="dxa"/>
            <w:shd w:val="clear" w:color="auto" w:fill="auto"/>
          </w:tcPr>
          <w:p w14:paraId="61238881">
            <w:r>
              <w:t>298</w:t>
            </w:r>
          </w:p>
        </w:tc>
        <w:tc>
          <w:tcPr>
            <w:tcW w:w="1828" w:type="dxa"/>
            <w:shd w:val="clear" w:color="auto" w:fill="auto"/>
          </w:tcPr>
          <w:p w14:paraId="2B38A11E">
            <w:r>
              <w:t>1</w:t>
            </w:r>
          </w:p>
        </w:tc>
        <w:tc>
          <w:tcPr>
            <w:tcW w:w="1906" w:type="dxa"/>
            <w:shd w:val="clear" w:color="auto" w:fill="auto"/>
          </w:tcPr>
          <w:p w14:paraId="3689D716">
            <w:r>
              <w:t>0.15-2.2</w:t>
            </w:r>
          </w:p>
        </w:tc>
      </w:tr>
      <w:tr w14:paraId="57FE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54D0594D">
            <w:r>
              <w:t xml:space="preserve">Hermanns et al. (2007) </w:t>
            </w:r>
            <w:r>
              <w:fldChar w:fldCharType="begin"/>
            </w:r>
            <w:r>
              <w:instrText xml:space="preserve"> ADDIN EN.CITE &lt;EndNote&gt;&lt;Cite&gt;&lt;Author&gt;Hermanns&lt;/Author&gt;&lt;Year&gt;2007&lt;/Year&gt;&lt;RecNum&gt;119&lt;/RecNum&gt;&lt;DisplayText&gt;&lt;style font="Times New Roman" size="12"&gt;[31]&lt;/style&gt;&lt;/DisplayText&gt;&lt;record&gt;&lt;rec-number&gt;119&lt;/rec-number&gt;&lt;foreign-keys&gt;&lt;key app="EN" db-id="9xxtaevabwv2tjex095x05rq9v0padvps90f" timestamp="1700099133"&gt;119&lt;/key&gt;&lt;/foreign-keys&gt;&lt;ref-type name="Journal Article"&gt;17&lt;/ref-type&gt;&lt;contributors&gt;&lt;authors&gt;&lt;author&gt;Hermanns, R. T. E.&lt;/author&gt;&lt;author&gt;Konnov, A. A.&lt;/author&gt;&lt;author&gt;Bastiaans, R. J. M.&lt;/author&gt;&lt;author&gt;de Goey, L. P. H.&lt;/author&gt;&lt;/authors&gt;&lt;/contributors&gt;&lt;titles&gt;&lt;title&gt;&lt;style face="normal" font="default" size="100%"&gt;Laminar burning velocities of diluted hydrogen&lt;/style&gt;&lt;style face="normal" font="default" charset="1" size="100%"&gt;−&lt;/style&gt;&lt;style face="normal" font="default" size="100%"&gt;oxygen&lt;/style&gt;&lt;style face="normal" font="default" charset="1" size="100%"&gt;−&lt;/style&gt;&lt;style face="normal" font="default" size="100%"&gt;nitrogen mixtures&lt;/style&gt;&lt;/title&gt;&lt;secondary-title&gt;Energy &amp;amp; Fuels&lt;/secondary-title&gt;&lt;/titles&gt;&lt;pages&gt;1977-1981&lt;/pages&gt;&lt;volume&gt;21&lt;/volume&gt;&lt;number&gt;4&lt;/number&gt;&lt;dates&gt;&lt;year&gt;2007&lt;/year&gt;&lt;pub-dates&gt;&lt;date&gt;2007/07/01&lt;/date&gt;&lt;/pub-dates&gt;&lt;/dates&gt;&lt;publisher&gt;American Chemical Society&lt;/publisher&gt;&lt;isbn&gt;0887-0624&lt;/isbn&gt;&lt;urls&gt;&lt;related-urls&gt;&lt;url&gt;https://doi.org/10.1021/ef060553g&lt;/url&gt;&lt;/related-urls&gt;&lt;/urls&gt;&lt;electronic-resource-num&gt;10.1021/ef060553g&lt;/electronic-resource-num&gt;&lt;/record&gt;&lt;/Cite&gt;&lt;/EndNote&gt;</w:instrText>
            </w:r>
            <w:r>
              <w:fldChar w:fldCharType="separate"/>
            </w:r>
            <w:r>
              <w:t>[31]</w:t>
            </w:r>
            <w:r>
              <w:fldChar w:fldCharType="end"/>
            </w:r>
          </w:p>
        </w:tc>
      </w:tr>
      <w:tr w14:paraId="2BEDB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149FDA4">
            <w:r>
              <w:t>27</w:t>
            </w:r>
          </w:p>
        </w:tc>
        <w:tc>
          <w:tcPr>
            <w:tcW w:w="918" w:type="dxa"/>
            <w:shd w:val="clear" w:color="auto" w:fill="auto"/>
          </w:tcPr>
          <w:p w14:paraId="6E94554A">
            <w:r>
              <w:t>N</w:t>
            </w:r>
            <w:r>
              <w:rPr>
                <w:vertAlign w:val="subscript"/>
              </w:rPr>
              <w:t>2</w:t>
            </w:r>
          </w:p>
        </w:tc>
        <w:tc>
          <w:tcPr>
            <w:tcW w:w="1925" w:type="dxa"/>
            <w:shd w:val="clear" w:color="auto" w:fill="auto"/>
          </w:tcPr>
          <w:p w14:paraId="4B98FA7C">
            <w:r>
              <w:t>298</w:t>
            </w:r>
          </w:p>
        </w:tc>
        <w:tc>
          <w:tcPr>
            <w:tcW w:w="1828" w:type="dxa"/>
            <w:shd w:val="clear" w:color="auto" w:fill="auto"/>
          </w:tcPr>
          <w:p w14:paraId="46CE319A">
            <w:r>
              <w:t>1</w:t>
            </w:r>
          </w:p>
        </w:tc>
        <w:tc>
          <w:tcPr>
            <w:tcW w:w="1906" w:type="dxa"/>
            <w:shd w:val="clear" w:color="auto" w:fill="auto"/>
          </w:tcPr>
          <w:p w14:paraId="6F51B084">
            <w:r>
              <w:t>0.8-3.3</w:t>
            </w:r>
          </w:p>
        </w:tc>
      </w:tr>
      <w:tr w14:paraId="7889D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592EEEBE">
            <w:r>
              <w:t xml:space="preserve">Lamoureux </w:t>
            </w:r>
            <w:bookmarkStart w:id="15" w:name="OLE_LINK32"/>
            <w:r>
              <w:t>et al. (2003)</w:t>
            </w:r>
            <w:bookmarkEnd w:id="15"/>
            <w:r>
              <w:t xml:space="preserve"> </w:t>
            </w:r>
            <w:r>
              <w:fldChar w:fldCharType="begin"/>
            </w:r>
            <w:r>
              <w:instrText xml:space="preserve"> ADDIN EN.CITE &lt;EndNote&gt;&lt;Cite&gt;&lt;Author&gt;Lamoureux&lt;/Author&gt;&lt;Year&gt;2003&lt;/Year&gt;&lt;RecNum&gt;120&lt;/RecNum&gt;&lt;DisplayText&gt;&lt;style font="Times New Roman" size="12"&gt;[32]&lt;/style&gt;&lt;/DisplayText&gt;&lt;record&gt;&lt;rec-number&gt;120&lt;/rec-number&gt;&lt;foreign-keys&gt;&lt;key app="EN" db-id="9xxtaevabwv2tjex095x05rq9v0padvps90f" timestamp="1700099930"&gt;120&lt;/key&gt;&lt;/foreign-keys&gt;&lt;ref-type name="Journal Article"&gt;17&lt;/ref-type&gt;&lt;contributors&gt;&lt;authors&gt;&lt;author&gt;Lamoureux, N.&lt;/author&gt;&lt;author&gt;&lt;style face="normal" font="default" size="100%"&gt;Djeba&lt;/style&gt;&lt;style face="normal" font="default" charset="238" size="100%"&gt;ı&lt;/style&gt;&lt;style face="normal" font="default" size="100%"&gt;̈li-Chaumeix, N.&lt;/style&gt;&lt;/author&gt;&lt;author&gt;Paillard, C. E.&lt;/author&gt;&lt;/authors&gt;&lt;/contributors&gt;&lt;titles&gt;&lt;title&gt;&lt;style face="normal" font="default" size="100%"&gt;Laminar flame velocity determination for H&lt;/style&gt;&lt;style face="subscript" font="default" size="100%"&gt;2&lt;/style&gt;&lt;style face="normal" font="default" size="100%"&gt;–air–He–CO&lt;/style&gt;&lt;style face="subscript" font="default" size="100%"&gt;2&lt;/style&gt;&lt;style face="normal" font="default" size="100%"&gt; mixtures using the spherical bomb method&lt;/style&gt;&lt;/title&gt;&lt;secondary-title&gt;Experimental Thermal and Fluid Science&lt;/secondary-title&gt;&lt;/titles&gt;&lt;pages&gt;385-393&lt;/pages&gt;&lt;volume&gt;27&lt;/volume&gt;&lt;number&gt;4&lt;/number&gt;&lt;keywords&gt;&lt;keyword&gt;Premixed combustion&lt;/keyword&gt;&lt;keyword&gt;Laminar flame&lt;/keyword&gt;&lt;keyword&gt;Spherical bomb&lt;/keyword&gt;&lt;/keywords&gt;&lt;dates&gt;&lt;year&gt;2003&lt;/year&gt;&lt;pub-dates&gt;&lt;date&gt;2003/04/01/&lt;/date&gt;&lt;/pub-dates&gt;&lt;/dates&gt;&lt;isbn&gt;0894-1777&lt;/isbn&gt;&lt;urls&gt;&lt;related-urls&gt;&lt;url&gt;https://www.sciencedirect.com/science/article/pii/S0894177702002431&lt;/url&gt;&lt;/related-urls&gt;&lt;/urls&gt;&lt;electronic-resource-num&gt;https://doi.org/10.1016/S0894-1777(02)00243-1&lt;/electronic-resource-num&gt;&lt;/record&gt;&lt;/Cite&gt;&lt;/EndNote&gt;</w:instrText>
            </w:r>
            <w:r>
              <w:fldChar w:fldCharType="separate"/>
            </w:r>
            <w:r>
              <w:t>[32]</w:t>
            </w:r>
            <w:r>
              <w:fldChar w:fldCharType="end"/>
            </w:r>
          </w:p>
        </w:tc>
      </w:tr>
      <w:tr w14:paraId="0F60F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C07D422">
            <w:r>
              <w:t>15</w:t>
            </w:r>
          </w:p>
        </w:tc>
        <w:tc>
          <w:tcPr>
            <w:tcW w:w="918" w:type="dxa"/>
            <w:shd w:val="clear" w:color="auto" w:fill="auto"/>
          </w:tcPr>
          <w:p w14:paraId="3361FF2F">
            <w:r>
              <w:t>N</w:t>
            </w:r>
            <w:r>
              <w:rPr>
                <w:vertAlign w:val="subscript"/>
              </w:rPr>
              <w:t>2</w:t>
            </w:r>
          </w:p>
        </w:tc>
        <w:tc>
          <w:tcPr>
            <w:tcW w:w="1925" w:type="dxa"/>
            <w:shd w:val="clear" w:color="auto" w:fill="auto"/>
          </w:tcPr>
          <w:p w14:paraId="518777F4">
            <w:bookmarkStart w:id="16" w:name="OLE_LINK31"/>
            <w:r>
              <w:t>298</w:t>
            </w:r>
            <w:bookmarkEnd w:id="16"/>
          </w:p>
        </w:tc>
        <w:tc>
          <w:tcPr>
            <w:tcW w:w="1828" w:type="dxa"/>
            <w:shd w:val="clear" w:color="auto" w:fill="auto"/>
          </w:tcPr>
          <w:p w14:paraId="5511A93A">
            <w:r>
              <w:t>1</w:t>
            </w:r>
          </w:p>
        </w:tc>
        <w:tc>
          <w:tcPr>
            <w:tcW w:w="1906" w:type="dxa"/>
            <w:shd w:val="clear" w:color="auto" w:fill="auto"/>
          </w:tcPr>
          <w:p w14:paraId="2195EAE4">
            <w:r>
              <w:t>0.26-3.57</w:t>
            </w:r>
          </w:p>
        </w:tc>
      </w:tr>
      <w:tr w14:paraId="6D9A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6163925">
            <w:r>
              <w:t xml:space="preserve">Aung et al. (1998) </w:t>
            </w:r>
            <w:r>
              <w:fldChar w:fldCharType="begin"/>
            </w:r>
            <w:r>
              <w:instrText xml:space="preserve"> ADDIN EN.CITE &lt;EndNote&gt;&lt;Cite&gt;&lt;Author&gt;Aung&lt;/Author&gt;&lt;Year&gt;1998&lt;/Year&gt;&lt;RecNum&gt;121&lt;/RecNum&gt;&lt;DisplayText&gt;&lt;style font="Times New Roman" size="12"&gt;[33]&lt;/style&gt;&lt;/DisplayText&gt;&lt;record&gt;&lt;rec-number&gt;121&lt;/rec-number&gt;&lt;foreign-keys&gt;&lt;key app="EN" db-id="9xxtaevabwv2tjex095x05rq9v0padvps90f" timestamp="1700102237"&gt;121&lt;/key&gt;&lt;/foreign-keys&gt;&lt;ref-type name="Journal Article"&gt;17&lt;/ref-type&gt;&lt;contributors&gt;&lt;authors&gt;&lt;author&gt;Aung, K. T.&lt;/author&gt;&lt;author&gt;Hassan, M. I.&lt;/author&gt;&lt;author&gt;Faeth, G. M.&lt;/author&gt;&lt;/authors&gt;&lt;/contributors&gt;&lt;titles&gt;&lt;title&gt;&lt;style face="normal" font="default" size="100%"&gt;Effects of pressure and nitrogen dilution on flame/stretch interactions of laminar premixed H&lt;/style&gt;&lt;style face="subscript" font="default" size="100%"&gt;2&lt;/style&gt;&lt;style face="normal" font="default" size="100%"&gt;/O&lt;/style&gt;&lt;style face="subscript" font="default" size="100%"&gt;2&lt;/style&gt;&lt;style face="normal" font="default" size="100%"&gt;/N&lt;/style&gt;&lt;style face="subscript" font="default" size="100%"&gt;2&lt;/style&gt;&lt;style face="normal" font="default" size="100%"&gt; flames&lt;/style&gt;&lt;/title&gt;&lt;secondary-title&gt;Combustion and Flame&lt;/secondary-title&gt;&lt;/titles&gt;&lt;pages&gt;1-15&lt;/pages&gt;&lt;volume&gt;112&lt;/volume&gt;&lt;number&gt;1&lt;/number&gt;&lt;dates&gt;&lt;year&gt;1998&lt;/year&gt;&lt;pub-dates&gt;&lt;date&gt;1998/01/01/&lt;/date&gt;&lt;/pub-dates&gt;&lt;/dates&gt;&lt;isbn&gt;0010-2180&lt;/isbn&gt;&lt;urls&gt;&lt;related-urls&gt;&lt;url&gt;https://www.sciencedirect.com/science/article/pii/S0010218097817531&lt;/url&gt;&lt;/related-urls&gt;&lt;/urls&gt;&lt;electronic-resource-num&gt;https://doi.org/10.1016/S0010-2180(97)81753-1&lt;/electronic-resource-num&gt;&lt;/record&gt;&lt;/Cite&gt;&lt;/EndNote&gt;</w:instrText>
            </w:r>
            <w:r>
              <w:fldChar w:fldCharType="separate"/>
            </w:r>
            <w:r>
              <w:t>[33]</w:t>
            </w:r>
            <w:r>
              <w:fldChar w:fldCharType="end"/>
            </w:r>
          </w:p>
        </w:tc>
      </w:tr>
      <w:tr w14:paraId="5A4F9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CCB8D32">
            <w:r>
              <w:t>59</w:t>
            </w:r>
          </w:p>
        </w:tc>
        <w:tc>
          <w:tcPr>
            <w:tcW w:w="918" w:type="dxa"/>
            <w:shd w:val="clear" w:color="auto" w:fill="auto"/>
          </w:tcPr>
          <w:p w14:paraId="57F4A8FB">
            <w:r>
              <w:t>N</w:t>
            </w:r>
            <w:r>
              <w:rPr>
                <w:vertAlign w:val="subscript"/>
              </w:rPr>
              <w:t>2</w:t>
            </w:r>
          </w:p>
        </w:tc>
        <w:tc>
          <w:tcPr>
            <w:tcW w:w="1925" w:type="dxa"/>
            <w:shd w:val="clear" w:color="auto" w:fill="auto"/>
          </w:tcPr>
          <w:p w14:paraId="60037BB9">
            <w:r>
              <w:t>298</w:t>
            </w:r>
          </w:p>
        </w:tc>
        <w:tc>
          <w:tcPr>
            <w:tcW w:w="1828" w:type="dxa"/>
            <w:shd w:val="clear" w:color="auto" w:fill="auto"/>
          </w:tcPr>
          <w:p w14:paraId="00AE608C">
            <w:r>
              <w:t>0.5-4</w:t>
            </w:r>
          </w:p>
        </w:tc>
        <w:tc>
          <w:tcPr>
            <w:tcW w:w="1906" w:type="dxa"/>
            <w:shd w:val="clear" w:color="auto" w:fill="auto"/>
          </w:tcPr>
          <w:p w14:paraId="3CBA8365">
            <w:r>
              <w:t>0.45-4</w:t>
            </w:r>
          </w:p>
        </w:tc>
      </w:tr>
      <w:tr w14:paraId="3E194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3B6573D3">
            <w:r>
              <w:t xml:space="preserve">Burke </w:t>
            </w:r>
            <w:bookmarkStart w:id="17" w:name="OLE_LINK33"/>
            <w:r>
              <w:t>et al. (2010)</w:t>
            </w:r>
            <w:bookmarkEnd w:id="17"/>
            <w:r>
              <w:t xml:space="preserve"> </w:t>
            </w:r>
            <w:r>
              <w:fldChar w:fldCharType="begin"/>
            </w:r>
            <w:r>
              <w:instrText xml:space="preserve"> ADDIN EN.CITE &lt;EndNote&gt;&lt;Cite&gt;&lt;Author&gt;Burke&lt;/Author&gt;&lt;Year&gt;2010&lt;/Year&gt;&lt;RecNum&gt;122&lt;/RecNum&gt;&lt;DisplayText&gt;&lt;style font="Times New Roman" size="12"&gt;[34]&lt;/style&gt;&lt;/DisplayText&gt;&lt;record&gt;&lt;rec-number&gt;122&lt;/rec-number&gt;&lt;foreign-keys&gt;&lt;key app="EN" db-id="9xxtaevabwv2tjex095x05rq9v0padvps90f" timestamp="1700103260"&gt;122&lt;/key&gt;&lt;/foreign-keys&gt;&lt;ref-type name="Journal Article"&gt;17&lt;/ref-type&gt;&lt;contributors&gt;&lt;authors&gt;&lt;author&gt;Burke, Michael P.&lt;/author&gt;&lt;author&gt;Chaos, Marcos&lt;/author&gt;&lt;author&gt;Dryer, Frederick L.&lt;/author&gt;&lt;author&gt;Ju, Yiguang&lt;/author&gt;&lt;/authors&gt;&lt;/contributors&gt;&lt;titles&gt;&lt;title&gt;&lt;style face="normal" font="default" size="100%"&gt;Negative pressure dependence of mass burning rates of H&lt;/style&gt;&lt;style face="subscript" font="default" size="100%"&gt;2&lt;/style&gt;&lt;style face="normal" font="default" size="100%"&gt;/CO/O&lt;/style&gt;&lt;style face="subscript" font="default" size="100%"&gt;2&lt;/style&gt;&lt;style face="normal" font="default" size="100%"&gt;/diluent flames at low flame temperatures&lt;/style&gt;&lt;/title&gt;&lt;secondary-title&gt;Combustion and Flame&lt;/secondary-title&gt;&lt;/titles&gt;&lt;pages&gt;618-631&lt;/pages&gt;&lt;volume&gt;157&lt;/volume&gt;&lt;number&gt;4&lt;/number&gt;&lt;keywords&gt;&lt;keyword&gt;Hydrogen&lt;/keyword&gt;&lt;keyword&gt;Syngas&lt;/keyword&gt;&lt;keyword&gt;Flame speed&lt;/keyword&gt;&lt;keyword&gt;Burning velocity&lt;/keyword&gt;&lt;keyword&gt;Negative reaction order&lt;/keyword&gt;&lt;keyword&gt;High pressure&lt;/keyword&gt;&lt;keyword&gt;Low flame temperature&lt;/keyword&gt;&lt;keyword&gt;Kinetic mechanism&lt;/keyword&gt;&lt;/keywords&gt;&lt;dates&gt;&lt;year&gt;2010&lt;/year&gt;&lt;pub-dates&gt;&lt;date&gt;2010/04/01/&lt;/date&gt;&lt;/pub-dates&gt;&lt;/dates&gt;&lt;isbn&gt;0010-2180&lt;/isbn&gt;&lt;urls&gt;&lt;related-urls&gt;&lt;url&gt;https://www.sciencedirect.com/science/article/pii/S0010218009002466&lt;/url&gt;&lt;/related-urls&gt;&lt;/urls&gt;&lt;electronic-resource-num&gt;https://doi.org/10.1016/j.combustflame.2009.08.009&lt;/electronic-resource-num&gt;&lt;/record&gt;&lt;/Cite&gt;&lt;/EndNote&gt;</w:instrText>
            </w:r>
            <w:r>
              <w:fldChar w:fldCharType="separate"/>
            </w:r>
            <w:r>
              <w:t>[34]</w:t>
            </w:r>
            <w:r>
              <w:fldChar w:fldCharType="end"/>
            </w:r>
          </w:p>
        </w:tc>
      </w:tr>
      <w:tr w14:paraId="06F18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A01924E">
            <w:r>
              <w:t>19</w:t>
            </w:r>
          </w:p>
        </w:tc>
        <w:tc>
          <w:tcPr>
            <w:tcW w:w="918" w:type="dxa"/>
            <w:shd w:val="clear" w:color="auto" w:fill="auto"/>
          </w:tcPr>
          <w:p w14:paraId="5956A94E">
            <w:r>
              <w:t>AR</w:t>
            </w:r>
          </w:p>
        </w:tc>
        <w:tc>
          <w:tcPr>
            <w:tcW w:w="1925" w:type="dxa"/>
            <w:shd w:val="clear" w:color="auto" w:fill="auto"/>
          </w:tcPr>
          <w:p w14:paraId="6CA9EF8C">
            <w:r>
              <w:t>295</w:t>
            </w:r>
          </w:p>
        </w:tc>
        <w:tc>
          <w:tcPr>
            <w:tcW w:w="1828" w:type="dxa"/>
            <w:shd w:val="clear" w:color="auto" w:fill="auto"/>
          </w:tcPr>
          <w:p w14:paraId="4E57C25F">
            <w:r>
              <w:t>1-25</w:t>
            </w:r>
          </w:p>
        </w:tc>
        <w:tc>
          <w:tcPr>
            <w:tcW w:w="1906" w:type="dxa"/>
            <w:shd w:val="clear" w:color="auto" w:fill="auto"/>
          </w:tcPr>
          <w:p w14:paraId="17C8A1BD">
            <w:r>
              <w:t>2.5</w:t>
            </w:r>
          </w:p>
        </w:tc>
      </w:tr>
      <w:tr w14:paraId="4F248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9D64C2B">
            <w:r>
              <w:t>26</w:t>
            </w:r>
          </w:p>
        </w:tc>
        <w:tc>
          <w:tcPr>
            <w:tcW w:w="918" w:type="dxa"/>
            <w:shd w:val="clear" w:color="auto" w:fill="auto"/>
          </w:tcPr>
          <w:p w14:paraId="2D350C67">
            <w:r>
              <w:t>HE</w:t>
            </w:r>
          </w:p>
        </w:tc>
        <w:tc>
          <w:tcPr>
            <w:tcW w:w="1925" w:type="dxa"/>
            <w:shd w:val="clear" w:color="auto" w:fill="auto"/>
          </w:tcPr>
          <w:p w14:paraId="67298BC8">
            <w:r>
              <w:t>295</w:t>
            </w:r>
          </w:p>
        </w:tc>
        <w:tc>
          <w:tcPr>
            <w:tcW w:w="1828" w:type="dxa"/>
            <w:shd w:val="clear" w:color="auto" w:fill="auto"/>
          </w:tcPr>
          <w:p w14:paraId="3FE4529F">
            <w:r>
              <w:t>1-25</w:t>
            </w:r>
          </w:p>
        </w:tc>
        <w:tc>
          <w:tcPr>
            <w:tcW w:w="1906" w:type="dxa"/>
            <w:shd w:val="clear" w:color="auto" w:fill="auto"/>
          </w:tcPr>
          <w:p w14:paraId="354264DF">
            <w:r>
              <w:t>0.85-1</w:t>
            </w:r>
          </w:p>
        </w:tc>
      </w:tr>
      <w:tr w14:paraId="6151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673BE1F">
            <w:r>
              <w:t xml:space="preserve">Tang et al. (2006) </w:t>
            </w:r>
            <w:r>
              <w:fldChar w:fldCharType="begin"/>
            </w:r>
            <w:r>
              <w:instrText xml:space="preserve"> ADDIN EN.CITE &lt;EndNote&gt;&lt;Cite&gt;&lt;Author&gt;Tang&lt;/Author&gt;&lt;Year&gt;2006&lt;/Year&gt;&lt;RecNum&gt;131&lt;/RecNum&gt;&lt;DisplayText&gt;&lt;style font="Times New Roman" size="12"&gt;[35]&lt;/style&gt;&lt;/DisplayText&gt;&lt;record&gt;&lt;rec-number&gt;131&lt;/rec-number&gt;&lt;foreign-keys&gt;&lt;key app="EN" db-id="9xxtaevabwv2tjex095x05rq9v0padvps90f" timestamp="1700123843"&gt;131&lt;/key&gt;&lt;/foreign-keys&gt;&lt;ref-type name="Journal Article"&gt;17&lt;/ref-type&gt;&lt;contributors&gt;&lt;authors&gt;&lt;author&gt;Tang, Weiyong&lt;/author&gt;&lt;author&gt;Brezinsky, Kenneth&lt;/author&gt;&lt;/authors&gt;&lt;/contributors&gt;&lt;titles&gt;&lt;title&gt;Chemical kinetic simulations behind reflected shock waves&lt;/title&gt;&lt;secondary-title&gt;International Journal of Chemical Kinetics&lt;/secondary-title&gt;&lt;/titles&gt;&lt;pages&gt;75-97&lt;/pages&gt;&lt;volume&gt;38&lt;/volume&gt;&lt;number&gt;2&lt;/number&gt;&lt;dates&gt;&lt;year&gt;2006&lt;/year&gt;&lt;pub-dates&gt;&lt;date&gt;2006/02/01&lt;/date&gt;&lt;/pub-dates&gt;&lt;/dates&gt;&lt;publisher&gt;John Wiley &amp;amp; Sons, Ltd&lt;/publisher&gt;&lt;isbn&gt;0538-8066&lt;/isbn&gt;&lt;urls&gt;&lt;related-urls&gt;&lt;url&gt;https://doi.org/10.1002/kin.20134&lt;/url&gt;&lt;/related-urls&gt;&lt;/urls&gt;&lt;electronic-resource-num&gt;https://doi.org/10.1002/kin.20134&lt;/electronic-resource-num&gt;&lt;access-date&gt;2023/11/16&lt;/access-date&gt;&lt;/record&gt;&lt;/Cite&gt;&lt;/EndNote&gt;</w:instrText>
            </w:r>
            <w:r>
              <w:fldChar w:fldCharType="separate"/>
            </w:r>
            <w:r>
              <w:t>[35]</w:t>
            </w:r>
            <w:r>
              <w:fldChar w:fldCharType="end"/>
            </w:r>
          </w:p>
        </w:tc>
      </w:tr>
      <w:tr w14:paraId="430E7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0E4972E">
            <w:r>
              <w:t>3</w:t>
            </w:r>
          </w:p>
        </w:tc>
        <w:tc>
          <w:tcPr>
            <w:tcW w:w="918" w:type="dxa"/>
            <w:shd w:val="clear" w:color="auto" w:fill="auto"/>
          </w:tcPr>
          <w:p w14:paraId="2C886FF7">
            <w:r>
              <w:t>N</w:t>
            </w:r>
            <w:r>
              <w:rPr>
                <w:vertAlign w:val="subscript"/>
              </w:rPr>
              <w:t>2</w:t>
            </w:r>
          </w:p>
        </w:tc>
        <w:tc>
          <w:tcPr>
            <w:tcW w:w="1925" w:type="dxa"/>
            <w:shd w:val="clear" w:color="auto" w:fill="auto"/>
          </w:tcPr>
          <w:p w14:paraId="093C2FAD">
            <w:r>
              <w:t>298</w:t>
            </w:r>
          </w:p>
        </w:tc>
        <w:tc>
          <w:tcPr>
            <w:tcW w:w="1828" w:type="dxa"/>
            <w:shd w:val="clear" w:color="auto" w:fill="auto"/>
          </w:tcPr>
          <w:p w14:paraId="64FDA443">
            <w:r>
              <w:t>1</w:t>
            </w:r>
          </w:p>
        </w:tc>
        <w:tc>
          <w:tcPr>
            <w:tcW w:w="1906" w:type="dxa"/>
            <w:shd w:val="clear" w:color="auto" w:fill="auto"/>
          </w:tcPr>
          <w:p w14:paraId="719382D1">
            <w:r>
              <w:t>0.8-1.6</w:t>
            </w:r>
          </w:p>
        </w:tc>
      </w:tr>
      <w:tr w14:paraId="4E310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1DB89B78">
            <w:r>
              <w:t xml:space="preserve">Qiao et al. (2007) </w:t>
            </w:r>
            <w:r>
              <w:fldChar w:fldCharType="begin"/>
            </w:r>
            <w:r>
              <w:instrText xml:space="preserve"> ADDIN EN.CITE &lt;EndNote&gt;&lt;Cite&gt;&lt;Author&gt;Qiao&lt;/Author&gt;&lt;Year&gt;2007&lt;/Year&gt;&lt;RecNum&gt;124&lt;/RecNum&gt;&lt;DisplayText&gt;&lt;style font="Times New Roman" size="12"&gt;[36]&lt;/style&gt;&lt;/DisplayText&gt;&lt;record&gt;&lt;rec-number&gt;124&lt;/rec-number&gt;&lt;foreign-keys&gt;&lt;key app="EN" db-id="9xxtaevabwv2tjex095x05rq9v0padvps90f" timestamp="1700104808"&gt;124&lt;/key&gt;&lt;/foreign-keys&gt;&lt;ref-type name="Journal Article"&gt;17&lt;/ref-type&gt;&lt;contributors&gt;&lt;authors&gt;&lt;author&gt;Qiao, L.&lt;/author&gt;&lt;author&gt;Gu, Y.&lt;/author&gt;&lt;author&gt;Dahm, W. J. A.&lt;/author&gt;&lt;author&gt;Oran, E. S.&lt;/author&gt;&lt;author&gt;Faeth, G. M.&lt;/author&gt;&lt;/authors&gt;&lt;/contributors&gt;&lt;titles&gt;&lt;title&gt;&lt;style face="normal" font="default" size="100%"&gt;A study of the effects of diluents on near-limit H&lt;/style&gt;&lt;style face="subscript" font="default" size="100%"&gt;2&lt;/style&gt;&lt;style face="normal" font="default" size="100%"&gt;–air flames in microgravity at normal and reduced pressures&lt;/style&gt;&lt;/title&gt;&lt;secondary-title&gt;Combustion and Flame&lt;/secondary-title&gt;&lt;/titles&gt;&lt;pages&gt;196-208&lt;/pages&gt;&lt;volume&gt;151&lt;/volume&gt;&lt;number&gt;1&lt;/number&gt;&lt;keywords&gt;&lt;keyword&gt;Extinction&lt;/keyword&gt;&lt;keyword&gt;Diluents&lt;/keyword&gt;&lt;keyword&gt;Hydrogen flames&lt;/keyword&gt;&lt;keyword&gt;Microgravity&lt;/keyword&gt;&lt;/keywords&gt;&lt;dates&gt;&lt;year&gt;2007&lt;/year&gt;&lt;pub-dates&gt;&lt;date&gt;2007/10/01/&lt;/date&gt;&lt;/pub-dates&gt;&lt;/dates&gt;&lt;isbn&gt;0010-2180&lt;/isbn&gt;&lt;urls&gt;&lt;related-urls&gt;&lt;url&gt;https://www.sciencedirect.com/science/article/pii/S0010218007001563&lt;/url&gt;&lt;/related-urls&gt;&lt;/urls&gt;&lt;electronic-resource-num&gt;https://doi.org/10.1016/j.combustflame.2007.06.013&lt;/electronic-resource-num&gt;&lt;/record&gt;&lt;/Cite&gt;&lt;/EndNote&gt;</w:instrText>
            </w:r>
            <w:r>
              <w:fldChar w:fldCharType="separate"/>
            </w:r>
            <w:r>
              <w:t>[36]</w:t>
            </w:r>
            <w:r>
              <w:fldChar w:fldCharType="end"/>
            </w:r>
          </w:p>
        </w:tc>
      </w:tr>
      <w:tr w14:paraId="20E6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490B64A6">
            <w:r>
              <w:t>20</w:t>
            </w:r>
          </w:p>
        </w:tc>
        <w:tc>
          <w:tcPr>
            <w:tcW w:w="918" w:type="dxa"/>
            <w:shd w:val="clear" w:color="auto" w:fill="auto"/>
          </w:tcPr>
          <w:p w14:paraId="55211C4E">
            <w:r>
              <w:t>N</w:t>
            </w:r>
            <w:r>
              <w:rPr>
                <w:vertAlign w:val="subscript"/>
              </w:rPr>
              <w:t>2</w:t>
            </w:r>
          </w:p>
        </w:tc>
        <w:tc>
          <w:tcPr>
            <w:tcW w:w="1925" w:type="dxa"/>
            <w:shd w:val="clear" w:color="auto" w:fill="auto"/>
          </w:tcPr>
          <w:p w14:paraId="7247BAAB">
            <w:r>
              <w:t>298</w:t>
            </w:r>
          </w:p>
        </w:tc>
        <w:tc>
          <w:tcPr>
            <w:tcW w:w="1828" w:type="dxa"/>
            <w:shd w:val="clear" w:color="auto" w:fill="auto"/>
          </w:tcPr>
          <w:p w14:paraId="44D12643">
            <w:r>
              <w:t>1</w:t>
            </w:r>
          </w:p>
        </w:tc>
        <w:tc>
          <w:tcPr>
            <w:tcW w:w="1906" w:type="dxa"/>
            <w:shd w:val="clear" w:color="auto" w:fill="auto"/>
          </w:tcPr>
          <w:p w14:paraId="26B5A0CC">
            <w:r>
              <w:t>1</w:t>
            </w:r>
          </w:p>
        </w:tc>
      </w:tr>
      <w:tr w14:paraId="079F5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458B725B">
            <w:r>
              <w:t>21</w:t>
            </w:r>
          </w:p>
        </w:tc>
        <w:tc>
          <w:tcPr>
            <w:tcW w:w="918" w:type="dxa"/>
            <w:shd w:val="clear" w:color="auto" w:fill="auto"/>
          </w:tcPr>
          <w:p w14:paraId="11AEF776">
            <w:r>
              <w:t>N</w:t>
            </w:r>
            <w:r>
              <w:rPr>
                <w:vertAlign w:val="subscript"/>
              </w:rPr>
              <w:t>2</w:t>
            </w:r>
            <w:r>
              <w:t>/AR</w:t>
            </w:r>
          </w:p>
        </w:tc>
        <w:tc>
          <w:tcPr>
            <w:tcW w:w="1925" w:type="dxa"/>
            <w:shd w:val="clear" w:color="auto" w:fill="auto"/>
          </w:tcPr>
          <w:p w14:paraId="00581AA6">
            <w:r>
              <w:t>298</w:t>
            </w:r>
          </w:p>
        </w:tc>
        <w:tc>
          <w:tcPr>
            <w:tcW w:w="1828" w:type="dxa"/>
            <w:shd w:val="clear" w:color="auto" w:fill="auto"/>
          </w:tcPr>
          <w:p w14:paraId="4F030F4C">
            <w:r>
              <w:t>1</w:t>
            </w:r>
          </w:p>
        </w:tc>
        <w:tc>
          <w:tcPr>
            <w:tcW w:w="1906" w:type="dxa"/>
            <w:shd w:val="clear" w:color="auto" w:fill="auto"/>
          </w:tcPr>
          <w:p w14:paraId="436EAAE8">
            <w:r>
              <w:t>1</w:t>
            </w:r>
          </w:p>
        </w:tc>
      </w:tr>
      <w:tr w14:paraId="4C00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069C496E">
            <w:r>
              <w:t>7</w:t>
            </w:r>
          </w:p>
        </w:tc>
        <w:tc>
          <w:tcPr>
            <w:tcW w:w="918" w:type="dxa"/>
            <w:shd w:val="clear" w:color="auto" w:fill="auto"/>
          </w:tcPr>
          <w:p w14:paraId="34B9C1DA">
            <w:r>
              <w:t>N</w:t>
            </w:r>
            <w:r>
              <w:rPr>
                <w:vertAlign w:val="subscript"/>
              </w:rPr>
              <w:t>2</w:t>
            </w:r>
            <w:r>
              <w:t>/HE</w:t>
            </w:r>
          </w:p>
        </w:tc>
        <w:tc>
          <w:tcPr>
            <w:tcW w:w="1925" w:type="dxa"/>
            <w:shd w:val="clear" w:color="auto" w:fill="auto"/>
          </w:tcPr>
          <w:p w14:paraId="554E8736">
            <w:r>
              <w:t>298</w:t>
            </w:r>
          </w:p>
        </w:tc>
        <w:tc>
          <w:tcPr>
            <w:tcW w:w="1828" w:type="dxa"/>
            <w:shd w:val="clear" w:color="auto" w:fill="auto"/>
          </w:tcPr>
          <w:p w14:paraId="40A5F33E">
            <w:r>
              <w:t>1</w:t>
            </w:r>
          </w:p>
        </w:tc>
        <w:tc>
          <w:tcPr>
            <w:tcW w:w="1906" w:type="dxa"/>
            <w:shd w:val="clear" w:color="auto" w:fill="auto"/>
          </w:tcPr>
          <w:p w14:paraId="39715615">
            <w:r>
              <w:t>1</w:t>
            </w:r>
          </w:p>
        </w:tc>
      </w:tr>
      <w:tr w14:paraId="42430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16B08F2">
            <w:r>
              <w:t xml:space="preserve">Dong et al. (2009) </w:t>
            </w:r>
            <w:r>
              <w:fldChar w:fldCharType="begin"/>
            </w:r>
            <w:r>
              <w:instrText xml:space="preserve"> ADDIN EN.CITE &lt;EndNote&gt;&lt;Cite&gt;&lt;Author&gt;Dong&lt;/Author&gt;&lt;Year&gt;2009&lt;/Year&gt;&lt;RecNum&gt;125&lt;/RecNum&gt;&lt;DisplayText&gt;&lt;style font="Times New Roman" size="12"&gt;[37]&lt;/style&gt;&lt;/DisplayText&gt;&lt;record&gt;&lt;rec-number&gt;125&lt;/rec-number&gt;&lt;foreign-keys&gt;&lt;key app="EN" db-id="9xxtaevabwv2tjex095x05rq9v0padvps90f" timestamp="1700105203"&gt;125&lt;/key&gt;&lt;/foreign-keys&gt;&lt;ref-type name="Journal Article"&gt;17&lt;/ref-type&gt;&lt;contributors&gt;&lt;authors&gt;&lt;author&gt;Dong, Chen&lt;/author&gt;&lt;author&gt;Zhou, Qulan&lt;/author&gt;&lt;author&gt;Zhao, Qinxin&lt;/author&gt;&lt;author&gt;Zhang, Yaqing&lt;/author&gt;&lt;author&gt;Xu, Tongmo&lt;/author&gt;&lt;author&gt;Hui, Shien&lt;/author&gt;&lt;/authors&gt;&lt;/contributors&gt;&lt;titles&gt;&lt;title&gt;Experimental study on the laminar flame speed of hydrogen/carbon monoxide/air mixtures&lt;/title&gt;&lt;secondary-title&gt;Fuel&lt;/secondary-title&gt;&lt;/titles&gt;&lt;pages&gt;1858-1863&lt;/pages&gt;&lt;volume&gt;88&lt;/volume&gt;&lt;number&gt;10&lt;/number&gt;&lt;keywords&gt;&lt;keyword&gt;Laminar flame speed&lt;/keyword&gt;&lt;keyword&gt;Experimental study&lt;/keyword&gt;&lt;keyword&gt;Syngas&lt;/keyword&gt;&lt;/keywords&gt;&lt;dates&gt;&lt;year&gt;2009&lt;/year&gt;&lt;pub-dates&gt;&lt;date&gt;2009/10/01/&lt;/date&gt;&lt;/pub-dates&gt;&lt;/dates&gt;&lt;isbn&gt;0016-2361&lt;/isbn&gt;&lt;urls&gt;&lt;related-urls&gt;&lt;url&gt;https://www.sciencedirect.com/science/article/pii/S0016236109001914&lt;/url&gt;&lt;/related-urls&gt;&lt;/urls&gt;&lt;electronic-resource-num&gt;https://doi.org/10.1016/j.fuel.2009.04.024&lt;/electronic-resource-num&gt;&lt;/record&gt;&lt;/Cite&gt;&lt;/EndNote&gt;</w:instrText>
            </w:r>
            <w:r>
              <w:fldChar w:fldCharType="separate"/>
            </w:r>
            <w:r>
              <w:t>[37]</w:t>
            </w:r>
            <w:r>
              <w:fldChar w:fldCharType="end"/>
            </w:r>
          </w:p>
        </w:tc>
      </w:tr>
      <w:tr w14:paraId="2227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1FD073D5">
            <w:r>
              <w:t>18</w:t>
            </w:r>
          </w:p>
        </w:tc>
        <w:tc>
          <w:tcPr>
            <w:tcW w:w="918" w:type="dxa"/>
            <w:shd w:val="clear" w:color="auto" w:fill="auto"/>
          </w:tcPr>
          <w:p w14:paraId="1AF86CAD">
            <w:r>
              <w:t>N</w:t>
            </w:r>
            <w:r>
              <w:rPr>
                <w:vertAlign w:val="subscript"/>
              </w:rPr>
              <w:t>2</w:t>
            </w:r>
          </w:p>
        </w:tc>
        <w:tc>
          <w:tcPr>
            <w:tcW w:w="1925" w:type="dxa"/>
            <w:shd w:val="clear" w:color="auto" w:fill="auto"/>
          </w:tcPr>
          <w:p w14:paraId="476DE876">
            <w:r>
              <w:t>293</w:t>
            </w:r>
          </w:p>
        </w:tc>
        <w:tc>
          <w:tcPr>
            <w:tcW w:w="1828" w:type="dxa"/>
            <w:shd w:val="clear" w:color="auto" w:fill="auto"/>
          </w:tcPr>
          <w:p w14:paraId="5E7BD8DF">
            <w:r>
              <w:t>1</w:t>
            </w:r>
          </w:p>
        </w:tc>
        <w:tc>
          <w:tcPr>
            <w:tcW w:w="1906" w:type="dxa"/>
            <w:shd w:val="clear" w:color="auto" w:fill="auto"/>
          </w:tcPr>
          <w:p w14:paraId="503BD354">
            <w:r>
              <w:t>1</w:t>
            </w:r>
          </w:p>
        </w:tc>
      </w:tr>
      <w:tr w14:paraId="4FFE3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5252DD3C">
            <w:r>
              <w:t>Santner</w:t>
            </w:r>
            <w:bookmarkStart w:id="18" w:name="OLE_LINK35"/>
            <w:r>
              <w:t xml:space="preserve"> et al. (2013)</w:t>
            </w:r>
            <w:bookmarkEnd w:id="18"/>
            <w:r>
              <w:t xml:space="preserve"> </w:t>
            </w:r>
            <w:r>
              <w:fldChar w:fldCharType="begin"/>
            </w:r>
            <w:r>
              <w:instrText xml:space="preserve"> ADDIN EN.CITE &lt;EndNote&gt;&lt;Cite&gt;&lt;Author&gt;Santner&lt;/Author&gt;&lt;Year&gt;2013&lt;/Year&gt;&lt;RecNum&gt;126&lt;/RecNum&gt;&lt;DisplayText&gt;&lt;style font="Times New Roman" size="12"&gt;[38]&lt;/style&gt;&lt;/DisplayText&gt;&lt;record&gt;&lt;rec-number&gt;126&lt;/rec-number&gt;&lt;foreign-keys&gt;&lt;key app="EN" db-id="9xxtaevabwv2tjex095x05rq9v0padvps90f" timestamp="1700105522"&gt;126&lt;/key&gt;&lt;/foreign-keys&gt;&lt;ref-type name="Journal Article"&gt;17&lt;/ref-type&gt;&lt;contributors&gt;&lt;authors&gt;&lt;author&gt;Santner, Jeffrey&lt;/author&gt;&lt;author&gt;Dryer, Frederick L.&lt;/author&gt;&lt;author&gt;Ju, Yiguang&lt;/author&gt;&lt;/authors&gt;&lt;/contributors&gt;&lt;titles&gt;&lt;title&gt;The effects of water dilution on hydrogen, syngas, and ethylene flames at elevated pressure&lt;/title&gt;&lt;secondary-title&gt;Proceedings of the Combustion Institute&lt;/secondary-title&gt;&lt;/titles&gt;&lt;pages&gt;719-726&lt;/pages&gt;&lt;volume&gt;34&lt;/volume&gt;&lt;number&gt;1&lt;/number&gt;&lt;keywords&gt;&lt;keyword&gt;Water dilution&lt;/keyword&gt;&lt;keyword&gt;Laminar burning rate&lt;/keyword&gt;&lt;keyword&gt;Elevated pressure&lt;/keyword&gt;&lt;keyword&gt;Syngas&lt;/keyword&gt;&lt;keyword&gt;Ethylene&lt;/keyword&gt;&lt;/keywords&gt;&lt;dates&gt;&lt;year&gt;2013&lt;/year&gt;&lt;pub-dates&gt;&lt;date&gt;2013/01/01/&lt;/date&gt;&lt;/pub-dates&gt;&lt;/dates&gt;&lt;isbn&gt;1540-7489&lt;/isbn&gt;&lt;urls&gt;&lt;related-urls&gt;&lt;url&gt;https://www.sciencedirect.com/science/article/pii/S1540748912001733&lt;/url&gt;&lt;/related-urls&gt;&lt;/urls&gt;&lt;electronic-resource-num&gt;https://doi.org/10.1016/j.proci.2012.06.065&lt;/electronic-resource-num&gt;&lt;/record&gt;&lt;/Cite&gt;&lt;/EndNote&gt;</w:instrText>
            </w:r>
            <w:r>
              <w:fldChar w:fldCharType="separate"/>
            </w:r>
            <w:r>
              <w:t>[38]</w:t>
            </w:r>
            <w:r>
              <w:fldChar w:fldCharType="end"/>
            </w:r>
          </w:p>
        </w:tc>
      </w:tr>
      <w:tr w14:paraId="23DC9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6D1955F">
            <w:r>
              <w:t>11</w:t>
            </w:r>
          </w:p>
        </w:tc>
        <w:tc>
          <w:tcPr>
            <w:tcW w:w="918" w:type="dxa"/>
            <w:shd w:val="clear" w:color="auto" w:fill="auto"/>
          </w:tcPr>
          <w:p w14:paraId="115C4AC3">
            <w:r>
              <w:t>HE</w:t>
            </w:r>
          </w:p>
        </w:tc>
        <w:tc>
          <w:tcPr>
            <w:tcW w:w="1925" w:type="dxa"/>
            <w:shd w:val="clear" w:color="auto" w:fill="auto"/>
          </w:tcPr>
          <w:p w14:paraId="1CACC7E0">
            <w:r>
              <w:t>393</w:t>
            </w:r>
          </w:p>
        </w:tc>
        <w:tc>
          <w:tcPr>
            <w:tcW w:w="1828" w:type="dxa"/>
            <w:shd w:val="clear" w:color="auto" w:fill="auto"/>
          </w:tcPr>
          <w:p w14:paraId="2B7C9639">
            <w:r>
              <w:t>1-10</w:t>
            </w:r>
          </w:p>
        </w:tc>
        <w:tc>
          <w:tcPr>
            <w:tcW w:w="1906" w:type="dxa"/>
            <w:shd w:val="clear" w:color="auto" w:fill="auto"/>
          </w:tcPr>
          <w:p w14:paraId="659BC4DF">
            <w:r>
              <w:t>0.85</w:t>
            </w:r>
          </w:p>
        </w:tc>
      </w:tr>
      <w:tr w14:paraId="60637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6102FC17">
            <w:r>
              <w:t>3</w:t>
            </w:r>
          </w:p>
        </w:tc>
        <w:tc>
          <w:tcPr>
            <w:tcW w:w="918" w:type="dxa"/>
            <w:shd w:val="clear" w:color="auto" w:fill="auto"/>
          </w:tcPr>
          <w:p w14:paraId="4A8DF80A">
            <w:r>
              <w:t>HE/H</w:t>
            </w:r>
            <w:r>
              <w:rPr>
                <w:vertAlign w:val="subscript"/>
              </w:rPr>
              <w:t>2</w:t>
            </w:r>
            <w:r>
              <w:t>O</w:t>
            </w:r>
          </w:p>
        </w:tc>
        <w:tc>
          <w:tcPr>
            <w:tcW w:w="1925" w:type="dxa"/>
            <w:shd w:val="clear" w:color="auto" w:fill="auto"/>
          </w:tcPr>
          <w:p w14:paraId="437170DF">
            <w:r>
              <w:t>393</w:t>
            </w:r>
          </w:p>
        </w:tc>
        <w:tc>
          <w:tcPr>
            <w:tcW w:w="1828" w:type="dxa"/>
            <w:shd w:val="clear" w:color="auto" w:fill="auto"/>
          </w:tcPr>
          <w:p w14:paraId="720401A9">
            <w:r>
              <w:t>1-10</w:t>
            </w:r>
          </w:p>
        </w:tc>
        <w:tc>
          <w:tcPr>
            <w:tcW w:w="1906" w:type="dxa"/>
            <w:shd w:val="clear" w:color="auto" w:fill="auto"/>
          </w:tcPr>
          <w:p w14:paraId="1EC0AAC1">
            <w:r>
              <w:t>0.85</w:t>
            </w:r>
          </w:p>
        </w:tc>
      </w:tr>
      <w:tr w14:paraId="21093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6335C666">
            <w:r>
              <w:t xml:space="preserve">Lyu et al. (2017) </w:t>
            </w:r>
            <w:r>
              <w:fldChar w:fldCharType="begin"/>
            </w:r>
            <w:r>
              <w:instrText xml:space="preserve"> ADDIN EN.CITE &lt;EndNote&gt;&lt;Cite&gt;&lt;Author&gt;Lv&lt;/Author&gt;&lt;Year&gt;2017&lt;/Year&gt;&lt;RecNum&gt;127&lt;/RecNum&gt;&lt;DisplayText&gt;&lt;style font="Times New Roman" size="12"&gt;[39]&lt;/style&gt;&lt;/DisplayText&gt;&lt;record&gt;&lt;rec-number&gt;127&lt;/rec-number&gt;&lt;foreign-keys&gt;&lt;key app="EN" db-id="xssf90rsqz9sx4ezzwo505ejefwtapppzde5" timestamp="1700120294"&gt;127&lt;/key&gt;&lt;/foreign-keys&gt;&lt;ref-type name="Journal Article"&gt;17&lt;/ref-type&gt;&lt;contributors&gt;&lt;authors&gt;&lt;author&gt;Lv, Xin&lt;/author&gt;&lt;author&gt;Hu, Erjiang&lt;/author&gt;&lt;author&gt;Peng, Cheng&lt;/author&gt;&lt;author&gt;Meng, Xin&lt;/author&gt;&lt;author&gt;Huang Zuohua&lt;/author&gt;&lt;/authors&gt;&lt;/contributors&gt;&lt;titles&gt;&lt;title&gt;Measurements on laminar burning velocities of hydrogen/oxygen/diluents at elevated  pressure and temperature&lt;/title&gt;&lt;secondary-title&gt;Journal of Aerospace Power&lt;/secondary-title&gt;&lt;/titles&gt;&lt;periodical&gt;&lt;full-title&gt;Journal of Aerospace Power&lt;/full-title&gt;&lt;/periodical&gt;&lt;pages&gt;1599-1604&lt;/pages&gt;&lt;volume&gt;32&lt;/volume&gt;&lt;number&gt;7&lt;/number&gt;&lt;dates&gt;&lt;year&gt;2017&lt;/year&gt;&lt;/dates&gt;&lt;urls&gt;&lt;/urls&gt;&lt;electronic-resource-num&gt;DOI:10.13224/j.cnki.jasp.2017.07.009.&lt;/electronic-resource-num&gt;&lt;/record&gt;&lt;/Cite&gt;&lt;/EndNote&gt;</w:instrText>
            </w:r>
            <w:r>
              <w:fldChar w:fldCharType="separate"/>
            </w:r>
            <w:r>
              <w:t>[39]</w:t>
            </w:r>
            <w:r>
              <w:fldChar w:fldCharType="end"/>
            </w:r>
          </w:p>
        </w:tc>
      </w:tr>
      <w:tr w14:paraId="64135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89CBC07">
            <w:r>
              <w:t>2</w:t>
            </w:r>
          </w:p>
        </w:tc>
        <w:tc>
          <w:tcPr>
            <w:tcW w:w="918" w:type="dxa"/>
            <w:shd w:val="clear" w:color="auto" w:fill="auto"/>
          </w:tcPr>
          <w:p w14:paraId="2FE64351">
            <w:r>
              <w:t>N</w:t>
            </w:r>
            <w:r>
              <w:rPr>
                <w:vertAlign w:val="subscript"/>
              </w:rPr>
              <w:t>2</w:t>
            </w:r>
          </w:p>
        </w:tc>
        <w:tc>
          <w:tcPr>
            <w:tcW w:w="1925" w:type="dxa"/>
            <w:shd w:val="clear" w:color="auto" w:fill="auto"/>
          </w:tcPr>
          <w:p w14:paraId="2FB14E1F">
            <w:r>
              <w:t>373</w:t>
            </w:r>
          </w:p>
        </w:tc>
        <w:tc>
          <w:tcPr>
            <w:tcW w:w="1828" w:type="dxa"/>
            <w:shd w:val="clear" w:color="auto" w:fill="auto"/>
          </w:tcPr>
          <w:p w14:paraId="400ED0FB">
            <w:r>
              <w:t>3</w:t>
            </w:r>
          </w:p>
        </w:tc>
        <w:tc>
          <w:tcPr>
            <w:tcW w:w="1906" w:type="dxa"/>
            <w:shd w:val="clear" w:color="auto" w:fill="auto"/>
          </w:tcPr>
          <w:p w14:paraId="1373FF3C">
            <w:r>
              <w:t>1</w:t>
            </w:r>
          </w:p>
        </w:tc>
      </w:tr>
      <w:tr w14:paraId="3B471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3FC79F4">
            <w:r>
              <w:t>2</w:t>
            </w:r>
          </w:p>
        </w:tc>
        <w:tc>
          <w:tcPr>
            <w:tcW w:w="918" w:type="dxa"/>
            <w:shd w:val="clear" w:color="auto" w:fill="auto"/>
          </w:tcPr>
          <w:p w14:paraId="17DF79A2">
            <w:r>
              <w:t>AR</w:t>
            </w:r>
          </w:p>
        </w:tc>
        <w:tc>
          <w:tcPr>
            <w:tcW w:w="1925" w:type="dxa"/>
            <w:shd w:val="clear" w:color="auto" w:fill="auto"/>
          </w:tcPr>
          <w:p w14:paraId="7349F638">
            <w:r>
              <w:t>373</w:t>
            </w:r>
          </w:p>
        </w:tc>
        <w:tc>
          <w:tcPr>
            <w:tcW w:w="1828" w:type="dxa"/>
            <w:shd w:val="clear" w:color="auto" w:fill="auto"/>
          </w:tcPr>
          <w:p w14:paraId="7777AF49">
            <w:r>
              <w:t>3</w:t>
            </w:r>
          </w:p>
        </w:tc>
        <w:tc>
          <w:tcPr>
            <w:tcW w:w="1906" w:type="dxa"/>
            <w:shd w:val="clear" w:color="auto" w:fill="auto"/>
          </w:tcPr>
          <w:p w14:paraId="458C87EB">
            <w:r>
              <w:t>1</w:t>
            </w:r>
          </w:p>
        </w:tc>
      </w:tr>
      <w:tr w14:paraId="4F1FA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1D897E0">
            <w:r>
              <w:t>41</w:t>
            </w:r>
          </w:p>
        </w:tc>
        <w:tc>
          <w:tcPr>
            <w:tcW w:w="918" w:type="dxa"/>
            <w:shd w:val="clear" w:color="auto" w:fill="auto"/>
          </w:tcPr>
          <w:p w14:paraId="5D474B75">
            <w:r>
              <w:t>HE</w:t>
            </w:r>
          </w:p>
        </w:tc>
        <w:tc>
          <w:tcPr>
            <w:tcW w:w="1925" w:type="dxa"/>
            <w:shd w:val="clear" w:color="auto" w:fill="auto"/>
          </w:tcPr>
          <w:p w14:paraId="1326B49A">
            <w:r>
              <w:t>373</w:t>
            </w:r>
          </w:p>
        </w:tc>
        <w:tc>
          <w:tcPr>
            <w:tcW w:w="1828" w:type="dxa"/>
            <w:shd w:val="clear" w:color="auto" w:fill="auto"/>
          </w:tcPr>
          <w:p w14:paraId="4EEB3D67">
            <w:r>
              <w:t>1-3</w:t>
            </w:r>
          </w:p>
        </w:tc>
        <w:tc>
          <w:tcPr>
            <w:tcW w:w="1906" w:type="dxa"/>
            <w:shd w:val="clear" w:color="auto" w:fill="auto"/>
          </w:tcPr>
          <w:p w14:paraId="319F80DF">
            <w:r>
              <w:t>0.6-4</w:t>
            </w:r>
          </w:p>
        </w:tc>
      </w:tr>
      <w:tr w14:paraId="27151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0C40A560">
            <w:r>
              <w:t xml:space="preserve">Qin et al. (2000) </w:t>
            </w:r>
            <w:r>
              <w:fldChar w:fldCharType="begin"/>
            </w:r>
            <w:r>
              <w:instrText xml:space="preserve"> ADDIN EN.CITE &lt;EndNote&gt;&lt;Cite&gt;&lt;Author&gt;Qin&lt;/Author&gt;&lt;Year&gt;2000&lt;/Year&gt;&lt;RecNum&gt;128&lt;/RecNum&gt;&lt;DisplayText&gt;&lt;style font="Times New Roman" size="12"&gt;[40]&lt;/style&gt;&lt;/DisplayText&gt;&lt;record&gt;&lt;rec-number&gt;128&lt;/rec-number&gt;&lt;foreign-keys&gt;&lt;key app="EN" db-id="xssf90rsqz9sx4ezzwo505ejefwtapppzde5" timestamp="1700122167"&gt;128&lt;/key&gt;&lt;/foreign-keys&gt;&lt;ref-type name="Journal Article"&gt;17&lt;/ref-type&gt;&lt;contributors&gt;&lt;authors&gt;&lt;author&gt;Qin, Xiao&lt;/author&gt;&lt;author&gt;Kobayashi, Hideaki&lt;/author&gt;&lt;author&gt;Niioka, Takashi&lt;/author&gt;&lt;/authors&gt;&lt;/contributors&gt;&lt;titles&gt;&lt;title&gt;Laminar burning velocity of hydrogen–air premixed flames at elevated pressure&lt;/title&gt;&lt;secondary-title&gt;Experimental Thermal and Fluid Science&lt;/secondary-title&gt;&lt;/titles&gt;&lt;periodical&gt;&lt;full-title&gt;Experimental Thermal and Fluid Science&lt;/full-title&gt;&lt;/periodical&gt;&lt;pages&gt;58-63&lt;/pages&gt;&lt;volume&gt;21&lt;/volume&gt;&lt;number&gt;1&lt;/number&gt;&lt;keywords&gt;&lt;keyword&gt;High-pressure combustion&lt;/keyword&gt;&lt;keyword&gt;Laminar burning velocity&lt;/keyword&gt;&lt;keyword&gt;PTV&lt;/keyword&gt;&lt;/keywords&gt;&lt;dates&gt;&lt;year&gt;2000&lt;/year&gt;&lt;pub-dates&gt;&lt;date&gt;2000/03/01/&lt;/date&gt;&lt;/pub-dates&gt;&lt;/dates&gt;&lt;isbn&gt;0894-1777&lt;/isbn&gt;&lt;urls&gt;&lt;related-urls&gt;&lt;url&gt;https://www.sciencedirect.com/science/article/pii/S0894177799000540&lt;/url&gt;&lt;/related-urls&gt;&lt;/urls&gt;&lt;electronic-resource-num&gt;https://doi.org/10.1016/S0894-1777(99)00054-0&lt;/electronic-resource-num&gt;&lt;/record&gt;&lt;/Cite&gt;&lt;/EndNote&gt;</w:instrText>
            </w:r>
            <w:r>
              <w:fldChar w:fldCharType="separate"/>
            </w:r>
            <w:r>
              <w:t>[40]</w:t>
            </w:r>
            <w:r>
              <w:fldChar w:fldCharType="end"/>
            </w:r>
          </w:p>
        </w:tc>
      </w:tr>
      <w:tr w14:paraId="2325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703D3188">
            <w:r>
              <w:t>11</w:t>
            </w:r>
          </w:p>
        </w:tc>
        <w:tc>
          <w:tcPr>
            <w:tcW w:w="918" w:type="dxa"/>
            <w:shd w:val="clear" w:color="auto" w:fill="auto"/>
          </w:tcPr>
          <w:p w14:paraId="76A22ADC">
            <w:r>
              <w:t>N</w:t>
            </w:r>
            <w:r>
              <w:rPr>
                <w:vertAlign w:val="subscript"/>
              </w:rPr>
              <w:t>2</w:t>
            </w:r>
          </w:p>
        </w:tc>
        <w:tc>
          <w:tcPr>
            <w:tcW w:w="1925" w:type="dxa"/>
            <w:shd w:val="clear" w:color="auto" w:fill="auto"/>
          </w:tcPr>
          <w:p w14:paraId="46532EE3">
            <w:r>
              <w:t>298</w:t>
            </w:r>
          </w:p>
        </w:tc>
        <w:tc>
          <w:tcPr>
            <w:tcW w:w="1828" w:type="dxa"/>
            <w:shd w:val="clear" w:color="auto" w:fill="auto"/>
          </w:tcPr>
          <w:p w14:paraId="003A82C6">
            <w:r>
              <w:t>1</w:t>
            </w:r>
          </w:p>
        </w:tc>
        <w:tc>
          <w:tcPr>
            <w:tcW w:w="1906" w:type="dxa"/>
            <w:shd w:val="clear" w:color="auto" w:fill="auto"/>
          </w:tcPr>
          <w:p w14:paraId="5FB7A445">
            <w:r>
              <w:t>0.6-3</w:t>
            </w:r>
          </w:p>
        </w:tc>
      </w:tr>
      <w:tr w14:paraId="55B5C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7BB7D00F">
            <w:r>
              <w:t xml:space="preserve">Huang et al. (2006) </w:t>
            </w:r>
            <w:r>
              <w:fldChar w:fldCharType="begin"/>
            </w:r>
            <w:r>
              <w:instrText xml:space="preserve"> ADDIN EN.CITE &lt;EndNote&gt;&lt;Cite&gt;&lt;Author&gt;Huang&lt;/Author&gt;&lt;Year&gt;2006&lt;/Year&gt;&lt;RecNum&gt;129&lt;/RecNum&gt;&lt;DisplayText&gt;&lt;style font="Times New Roman" size="12"&gt;[41]&lt;/style&gt;&lt;/DisplayText&gt;&lt;record&gt;&lt;rec-number&gt;129&lt;/rec-number&gt;&lt;foreign-keys&gt;&lt;key app="EN" db-id="xssf90rsqz9sx4ezzwo505ejefwtapppzde5" timestamp="1700122720"&gt;129&lt;/key&gt;&lt;/foreign-keys&gt;&lt;ref-type name="Journal Article"&gt;17&lt;/ref-type&gt;&lt;contributors&gt;&lt;authors&gt;&lt;author&gt;Huang, Zuohua&lt;/author&gt;&lt;author&gt;Zhang, Yong&lt;/author&gt;&lt;author&gt;Zeng, Ke&lt;/author&gt;&lt;author&gt;Liu, Bing&lt;/author&gt;&lt;author&gt;Wang, Qian&lt;/author&gt;&lt;author&gt;Jiang, Deming&lt;/author&gt;&lt;/authors&gt;&lt;/contributors&gt;&lt;titles&gt;&lt;title&gt;Measurements of laminar burning velocities for natural gas–hydrogen–air mixtures&lt;/title&gt;&lt;secondary-title&gt;Combustion and Flame&lt;/secondary-title&gt;&lt;/titles&gt;&lt;periodical&gt;&lt;full-title&gt;Combustion and Flame&lt;/full-title&gt;&lt;/periodical&gt;&lt;pages&gt;302-311&lt;/pages&gt;&lt;volume&gt;146&lt;/volume&gt;&lt;number&gt;1&lt;/number&gt;&lt;keywords&gt;&lt;keyword&gt;Laminar burning velocity&lt;/keyword&gt;&lt;keyword&gt;Markstein length&lt;/keyword&gt;&lt;keyword&gt;Stretch&lt;/keyword&gt;&lt;keyword&gt;Constant-volume bomb&lt;/keyword&gt;&lt;/keywords&gt;&lt;dates&gt;&lt;year&gt;2006&lt;/year&gt;&lt;pub-dates&gt;&lt;date&gt;2006/07/01/&lt;/date&gt;&lt;/pub-dates&gt;&lt;/dates&gt;&lt;isbn&gt;0010-2180&lt;/isbn&gt;&lt;urls&gt;&lt;related-urls&gt;&lt;url&gt;https://www.sciencedirect.com/science/article/pii/S0010218006000873&lt;/url&gt;&lt;/related-urls&gt;&lt;/urls&gt;&lt;electronic-resource-num&gt;https://doi.org/10.1016/j.combustflame.2006.03.003&lt;/electronic-resource-num&gt;&lt;/record&gt;&lt;/Cite&gt;&lt;/EndNote&gt;</w:instrText>
            </w:r>
            <w:r>
              <w:fldChar w:fldCharType="separate"/>
            </w:r>
            <w:r>
              <w:t>[41]</w:t>
            </w:r>
            <w:r>
              <w:fldChar w:fldCharType="end"/>
            </w:r>
          </w:p>
        </w:tc>
      </w:tr>
      <w:tr w14:paraId="0D3F2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3ADACC31">
            <w:r>
              <w:t>10</w:t>
            </w:r>
          </w:p>
        </w:tc>
        <w:tc>
          <w:tcPr>
            <w:tcW w:w="918" w:type="dxa"/>
            <w:shd w:val="clear" w:color="auto" w:fill="auto"/>
          </w:tcPr>
          <w:p w14:paraId="76D84685">
            <w:r>
              <w:t>N</w:t>
            </w:r>
            <w:r>
              <w:rPr>
                <w:vertAlign w:val="subscript"/>
              </w:rPr>
              <w:t>2</w:t>
            </w:r>
          </w:p>
        </w:tc>
        <w:tc>
          <w:tcPr>
            <w:tcW w:w="1925" w:type="dxa"/>
            <w:shd w:val="clear" w:color="auto" w:fill="auto"/>
          </w:tcPr>
          <w:p w14:paraId="62164A89">
            <w:r>
              <w:t>300</w:t>
            </w:r>
          </w:p>
        </w:tc>
        <w:tc>
          <w:tcPr>
            <w:tcW w:w="1828" w:type="dxa"/>
            <w:shd w:val="clear" w:color="auto" w:fill="auto"/>
          </w:tcPr>
          <w:p w14:paraId="0C364B1B">
            <w:r>
              <w:t>1</w:t>
            </w:r>
          </w:p>
        </w:tc>
        <w:tc>
          <w:tcPr>
            <w:tcW w:w="1906" w:type="dxa"/>
            <w:shd w:val="clear" w:color="auto" w:fill="auto"/>
          </w:tcPr>
          <w:p w14:paraId="19EBFC6A">
            <w:r>
              <w:t>0.6-1.5</w:t>
            </w:r>
          </w:p>
        </w:tc>
      </w:tr>
      <w:tr w14:paraId="66296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8373" w:type="dxa"/>
            <w:gridSpan w:val="5"/>
            <w:shd w:val="clear" w:color="auto" w:fill="auto"/>
          </w:tcPr>
          <w:p w14:paraId="4B71C1EC">
            <w:r>
              <w:t xml:space="preserve">Tang et al. (2008) </w:t>
            </w:r>
            <w:r>
              <w:fldChar w:fldCharType="begin"/>
            </w:r>
            <w:r>
              <w:instrText xml:space="preserve"> ADDIN EN.CITE &lt;EndNote&gt;&lt;Cite&gt;&lt;Author&gt;Tang&lt;/Author&gt;&lt;Year&gt;2008&lt;/Year&gt;&lt;RecNum&gt;130&lt;/RecNum&gt;&lt;DisplayText&gt;&lt;style font="Times New Roman" size="12"&gt;[42]&lt;/style&gt;&lt;/DisplayText&gt;&lt;record&gt;&lt;rec-number&gt;130&lt;/rec-number&gt;&lt;foreign-keys&gt;&lt;key app="EN" db-id="xssf90rsqz9sx4ezzwo505ejefwtapppzde5" timestamp="1700122893"&gt;130&lt;/key&gt;&lt;/foreign-keys&gt;&lt;ref-type name="Journal Article"&gt;17&lt;/ref-type&gt;&lt;contributors&gt;&lt;authors&gt;&lt;author&gt;Tang, Chenglong&lt;/author&gt;&lt;author&gt;Huang, Zuohua&lt;/author&gt;&lt;author&gt;Jin, Chun&lt;/author&gt;&lt;author&gt;He, Jiajia&lt;/author&gt;&lt;author&gt;Wang, Jinhua&lt;/author&gt;&lt;author&gt;Wang, Xibin&lt;/author&gt;&lt;author&gt;Miao, Haiyan&lt;/author&gt;&lt;/authors&gt;&lt;/contributors&gt;&lt;titles&gt;&lt;title&gt;Laminar burning velocities and combustion characteristics of propane–hydrogen–air premixed flames&lt;/title&gt;&lt;secondary-title&gt;International Journal of Hydrogen Energy&lt;/secondary-title&gt;&lt;/titles&gt;&lt;periodical&gt;&lt;full-title&gt;International Journal of Hydrogen Energy&lt;/full-title&gt;&lt;/periodical&gt;&lt;pages&gt;4906-4914&lt;/pages&gt;&lt;volume&gt;33&lt;/volume&gt;&lt;number&gt;18&lt;/number&gt;&lt;keywords&gt;&lt;keyword&gt;Propane&lt;/keyword&gt;&lt;keyword&gt;Hydrogen&lt;/keyword&gt;&lt;keyword&gt;Laminar flame&lt;/keyword&gt;&lt;keyword&gt;Combustion characteristics&lt;/keyword&gt;&lt;/keywords&gt;&lt;dates&gt;&lt;year&gt;2008&lt;/year&gt;&lt;pub-dates&gt;&lt;date&gt;2008/09/01/&lt;/date&gt;&lt;/pub-dates&gt;&lt;/dates&gt;&lt;isbn&gt;0360-3199&lt;/isbn&gt;&lt;urls&gt;&lt;related-urls&gt;&lt;url&gt;https://www.sciencedirect.com/science/article/pii/S0360319908007702&lt;/url&gt;&lt;/related-urls&gt;&lt;/urls&gt;&lt;electronic-resource-num&gt;https://doi.org/10.1016/j.ijhydene.2008.06.063&lt;/electronic-resource-num&gt;&lt;/record&gt;&lt;/Cite&gt;&lt;/EndNote&gt;</w:instrText>
            </w:r>
            <w:r>
              <w:fldChar w:fldCharType="separate"/>
            </w:r>
            <w:r>
              <w:t>[42]</w:t>
            </w:r>
            <w:r>
              <w:fldChar w:fldCharType="end"/>
            </w:r>
          </w:p>
        </w:tc>
      </w:tr>
      <w:tr w14:paraId="59C0D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796" w:type="dxa"/>
            <w:shd w:val="clear" w:color="auto" w:fill="auto"/>
          </w:tcPr>
          <w:p w14:paraId="5D393F12">
            <w:r>
              <w:t>4</w:t>
            </w:r>
          </w:p>
        </w:tc>
        <w:tc>
          <w:tcPr>
            <w:tcW w:w="918" w:type="dxa"/>
            <w:shd w:val="clear" w:color="auto" w:fill="auto"/>
          </w:tcPr>
          <w:p w14:paraId="783571EC">
            <w:r>
              <w:t>N</w:t>
            </w:r>
            <w:r>
              <w:rPr>
                <w:vertAlign w:val="subscript"/>
              </w:rPr>
              <w:t>2</w:t>
            </w:r>
          </w:p>
        </w:tc>
        <w:tc>
          <w:tcPr>
            <w:tcW w:w="1925" w:type="dxa"/>
            <w:shd w:val="clear" w:color="auto" w:fill="auto"/>
          </w:tcPr>
          <w:p w14:paraId="35606984">
            <w:r>
              <w:t>298</w:t>
            </w:r>
          </w:p>
        </w:tc>
        <w:tc>
          <w:tcPr>
            <w:tcW w:w="1828" w:type="dxa"/>
            <w:shd w:val="clear" w:color="auto" w:fill="auto"/>
          </w:tcPr>
          <w:p w14:paraId="4EBCAD51">
            <w:r>
              <w:t>1</w:t>
            </w:r>
          </w:p>
        </w:tc>
        <w:tc>
          <w:tcPr>
            <w:tcW w:w="1906" w:type="dxa"/>
            <w:shd w:val="clear" w:color="auto" w:fill="auto"/>
          </w:tcPr>
          <w:p w14:paraId="3751D764">
            <w:r>
              <w:t>0.8-1.6</w:t>
            </w:r>
          </w:p>
        </w:tc>
      </w:tr>
    </w:tbl>
    <w:p w14:paraId="572230A0">
      <w:r>
        <w:drawing>
          <wp:inline distT="0" distB="0" distL="0" distR="0">
            <wp:extent cx="5039995" cy="8055610"/>
            <wp:effectExtent l="0" t="0" r="8255" b="2540"/>
            <wp:docPr id="11809098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9891" name="图片 1"/>
                    <pic:cNvPicPr>
                      <a:picLocks noChangeAspect="1"/>
                    </pic:cNvPicPr>
                  </pic:nvPicPr>
                  <pic:blipFill>
                    <a:blip r:embed="rId8"/>
                    <a:stretch>
                      <a:fillRect/>
                    </a:stretch>
                  </pic:blipFill>
                  <pic:spPr>
                    <a:xfrm>
                      <a:off x="0" y="0"/>
                      <a:ext cx="5040000" cy="8055748"/>
                    </a:xfrm>
                    <a:prstGeom prst="rect">
                      <a:avLst/>
                    </a:prstGeom>
                  </pic:spPr>
                </pic:pic>
              </a:graphicData>
            </a:graphic>
          </wp:inline>
        </w:drawing>
      </w:r>
    </w:p>
    <w:p w14:paraId="1293B734">
      <w:pPr>
        <w:rPr>
          <w:shd w:val="clear" w:color="auto" w:fill="FFFFFF"/>
        </w:rPr>
      </w:pPr>
      <w:bookmarkStart w:id="19" w:name="_Hlk152862657"/>
      <w:r>
        <w:rPr>
          <w:b/>
          <w:bCs/>
          <w:shd w:val="clear" w:color="auto" w:fill="FFFFFF"/>
        </w:rPr>
        <w:t>Fig. S3.</w:t>
      </w:r>
      <w:r>
        <w:rPr>
          <w:shd w:val="clear" w:color="auto" w:fill="FFFFFF"/>
        </w:rPr>
        <w:t xml:space="preserve"> Comparison of reaction rate constants of different mechanisms and experimental data for</w:t>
      </w:r>
    </w:p>
    <w:p w14:paraId="47E7FD6A">
      <w:pPr>
        <w:rPr>
          <w:shd w:val="clear" w:color="auto" w:fill="FFFFFF"/>
        </w:rPr>
      </w:pPr>
      <w:r>
        <w:rPr>
          <w:shd w:val="clear" w:color="auto" w:fill="FFFFFF"/>
        </w:rPr>
        <w:t>R</w:t>
      </w:r>
      <w:r>
        <w:rPr>
          <w:shd w:val="clear" w:color="auto" w:fill="FFFFFF"/>
          <w:vertAlign w:val="subscript"/>
        </w:rPr>
        <w:t>1-high pressure</w:t>
      </w:r>
      <w:r>
        <w:rPr>
          <w:shd w:val="clear" w:color="auto" w:fill="FFFFFF"/>
        </w:rPr>
        <w:t xml:space="preserve"> (a), R</w:t>
      </w:r>
      <w:r>
        <w:rPr>
          <w:shd w:val="clear" w:color="auto" w:fill="FFFFFF"/>
          <w:vertAlign w:val="subscript"/>
        </w:rPr>
        <w:t>1-low pressure</w:t>
      </w:r>
      <w:r>
        <w:rPr>
          <w:shd w:val="clear" w:color="auto" w:fill="FFFFFF"/>
        </w:rPr>
        <w:t xml:space="preserve"> (b), R</w:t>
      </w:r>
      <w:r>
        <w:rPr>
          <w:shd w:val="clear" w:color="auto" w:fill="FFFFFF"/>
          <w:vertAlign w:val="subscript"/>
        </w:rPr>
        <w:t>5</w:t>
      </w:r>
      <w:r>
        <w:rPr>
          <w:shd w:val="clear" w:color="auto" w:fill="FFFFFF"/>
        </w:rPr>
        <w:t xml:space="preserve"> (c), R</w:t>
      </w:r>
      <w:r>
        <w:rPr>
          <w:shd w:val="clear" w:color="auto" w:fill="FFFFFF"/>
          <w:vertAlign w:val="subscript"/>
        </w:rPr>
        <w:t>7</w:t>
      </w:r>
      <w:r>
        <w:rPr>
          <w:shd w:val="clear" w:color="auto" w:fill="FFFFFF"/>
        </w:rPr>
        <w:t xml:space="preserve"> (d), R</w:t>
      </w:r>
      <w:r>
        <w:rPr>
          <w:shd w:val="clear" w:color="auto" w:fill="FFFFFF"/>
          <w:vertAlign w:val="subscript"/>
        </w:rPr>
        <w:t>8-high pressure</w:t>
      </w:r>
      <w:r>
        <w:rPr>
          <w:shd w:val="clear" w:color="auto" w:fill="FFFFFF"/>
        </w:rPr>
        <w:t xml:space="preserve"> (e), R</w:t>
      </w:r>
      <w:r>
        <w:rPr>
          <w:shd w:val="clear" w:color="auto" w:fill="FFFFFF"/>
          <w:vertAlign w:val="subscript"/>
        </w:rPr>
        <w:t>8-low pressure</w:t>
      </w:r>
      <w:r>
        <w:rPr>
          <w:shd w:val="clear" w:color="auto" w:fill="FFFFFF"/>
        </w:rPr>
        <w:t xml:space="preserve"> (f) and R</w:t>
      </w:r>
      <w:r>
        <w:rPr>
          <w:shd w:val="clear" w:color="auto" w:fill="FFFFFF"/>
          <w:vertAlign w:val="subscript"/>
        </w:rPr>
        <w:t>9</w:t>
      </w:r>
      <w:r>
        <w:rPr>
          <w:shd w:val="clear" w:color="auto" w:fill="FFFFFF"/>
        </w:rPr>
        <w:t xml:space="preserve"> (g).</w:t>
      </w:r>
    </w:p>
    <w:p w14:paraId="5D548CB8">
      <w:pPr>
        <w:rPr>
          <w:rFonts w:hint="eastAsia" w:eastAsia="宋体"/>
          <w:shd w:val="clear" w:color="auto" w:fill="FFFFFF"/>
          <w:lang w:eastAsia="zh-CN"/>
        </w:rPr>
      </w:pPr>
      <w:r>
        <w:rPr>
          <w:rFonts w:hint="eastAsia" w:eastAsia="宋体"/>
          <w:shd w:val="clear" w:color="auto" w:fill="FFFFFF"/>
          <w:lang w:eastAsia="zh-CN"/>
        </w:rPr>
        <w:drawing>
          <wp:inline distT="0" distB="0" distL="114300" distR="114300">
            <wp:extent cx="5271770" cy="6056630"/>
            <wp:effectExtent l="0" t="0" r="5080" b="1270"/>
            <wp:docPr id="1" name="图片 1" descr="调整 Fig.S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调整 Fig.S4"/>
                    <pic:cNvPicPr>
                      <a:picLocks noChangeAspect="1"/>
                    </pic:cNvPicPr>
                  </pic:nvPicPr>
                  <pic:blipFill>
                    <a:blip r:embed="rId9"/>
                    <a:stretch>
                      <a:fillRect/>
                    </a:stretch>
                  </pic:blipFill>
                  <pic:spPr>
                    <a:xfrm>
                      <a:off x="0" y="0"/>
                      <a:ext cx="5271770" cy="6056630"/>
                    </a:xfrm>
                    <a:prstGeom prst="rect">
                      <a:avLst/>
                    </a:prstGeom>
                  </pic:spPr>
                </pic:pic>
              </a:graphicData>
            </a:graphic>
          </wp:inline>
        </w:drawing>
      </w:r>
      <w:bookmarkStart w:id="25" w:name="_GoBack"/>
      <w:bookmarkEnd w:id="25"/>
    </w:p>
    <w:bookmarkEnd w:id="19"/>
    <w:p w14:paraId="01BA8EDA"/>
    <w:p w14:paraId="57FFCF3B">
      <w:pPr>
        <w:rPr>
          <w:shd w:val="clear" w:color="auto" w:fill="FFFFFF"/>
        </w:rPr>
      </w:pPr>
      <w:r>
        <w:rPr>
          <w:b/>
          <w:bCs/>
          <w:shd w:val="clear" w:color="auto" w:fill="FFFFFF"/>
        </w:rPr>
        <w:t xml:space="preserve">Fig. S4. </w:t>
      </w:r>
      <w:r>
        <w:rPr>
          <w:shd w:val="clear" w:color="auto" w:fill="FFFFFF"/>
        </w:rPr>
        <w:t>Species concentrations simulations using the Origin, Optimized, Kéromnès and NUIG mechanisms for experimental data for Case 1 (a), Case 2 (b), Case 3 (c) Case 4 (d), Case 5 (e) and Case 6 (f).</w:t>
      </w:r>
    </w:p>
    <w:p w14:paraId="243BD583">
      <w:r>
        <w:br w:type="page"/>
      </w:r>
    </w:p>
    <w:p w14:paraId="55B03DF8">
      <w:pPr>
        <w:pStyle w:val="20"/>
      </w:pPr>
      <w:r>
        <w:t>References</w:t>
      </w:r>
    </w:p>
    <w:p w14:paraId="6F17AE3F">
      <w:pPr>
        <w:pStyle w:val="14"/>
      </w:pPr>
      <w:r>
        <w:fldChar w:fldCharType="begin"/>
      </w:r>
      <w:r>
        <w:instrText xml:space="preserve"> ADDIN EN.REFLIST </w:instrText>
      </w:r>
      <w:r>
        <w:fldChar w:fldCharType="separate"/>
      </w:r>
      <w:r>
        <w:t>1.  Herzler J, Naumann C. Shock-tube study of the ignition of methane/ethane/hydrogen mixtures with hydrogen contents from 0% to 100% at different pressures. Proceedings of the Combustion Institute, 2009, 32(1): 213-220</w:t>
      </w:r>
    </w:p>
    <w:p w14:paraId="7A84ABBC">
      <w:pPr>
        <w:pStyle w:val="14"/>
      </w:pPr>
      <w:r>
        <w:t>2.  Zhang Y, Huang Z, Wei L, Zhang J, Law C K. Experimental and modeling study on ignition delays of lean mixtures of methane, hydrogen, oxygen, and argon at elevated pressures. Combustion and Flame, 2012, 159(3): 918-931</w:t>
      </w:r>
    </w:p>
    <w:p w14:paraId="4EBD34B8">
      <w:pPr>
        <w:pStyle w:val="14"/>
      </w:pPr>
      <w:r>
        <w:t>3.  Kéromnès A, Metcalfe W K, Heufer K A, Donohoe N, Das A K, Sung C J, Herzler J, Naumann C, Griebel P, Mathieu O et al. An experimental and detailed chemical kinetic modeling study of hydrogen and syngas mixture oxidation at elevated pressures. Combustion and Flame, 2013, 160(6): 995-1011</w:t>
      </w:r>
    </w:p>
    <w:p w14:paraId="4B9C6690">
      <w:pPr>
        <w:pStyle w:val="14"/>
      </w:pPr>
      <w:r>
        <w:t>4.  Pang G A, Davidson D F, Hanson R K. Experimental study and modeling of shock tube ignition delay times for hydrogen–oxygen–argon mixtures at low temperatures. Proceedings of the Combustion Institute, 2009, 32(1): 181-188</w:t>
      </w:r>
    </w:p>
    <w:p w14:paraId="4A17757C">
      <w:pPr>
        <w:pStyle w:val="14"/>
      </w:pPr>
      <w:r>
        <w:t>5.  Pavlov V A, Shatalov O P. Measuring the ignition delay time for hydrogen-oxygen mixtures behind the front of an incident shock wave. Kinetics and Catalysis, 2011, 52(2): 157-165</w:t>
      </w:r>
    </w:p>
    <w:p w14:paraId="0102E15B">
      <w:pPr>
        <w:pStyle w:val="14"/>
      </w:pPr>
      <w:r>
        <w:t>6.  Pan L, Zhang Y, Zhang J, Tian Z, Huang Z. Shock tube and kinetic study of C</w:t>
      </w:r>
      <w:r>
        <w:rPr>
          <w:vertAlign w:val="subscript"/>
        </w:rPr>
        <w:t>2</w:t>
      </w:r>
      <w:r>
        <w:t>H</w:t>
      </w:r>
      <w:r>
        <w:rPr>
          <w:vertAlign w:val="subscript"/>
        </w:rPr>
        <w:t>6</w:t>
      </w:r>
      <w:r>
        <w:t>/H</w:t>
      </w:r>
      <w:r>
        <w:rPr>
          <w:vertAlign w:val="subscript"/>
        </w:rPr>
        <w:t>2</w:t>
      </w:r>
      <w:r>
        <w:t>/O</w:t>
      </w:r>
      <w:r>
        <w:rPr>
          <w:vertAlign w:val="subscript"/>
        </w:rPr>
        <w:t>2</w:t>
      </w:r>
      <w:r>
        <w:t>/Ar mixtures at elevated pressures. International Journal of Hydrogen Energy, 2014, 39(11): 6024-6033</w:t>
      </w:r>
    </w:p>
    <w:p w14:paraId="668C0239">
      <w:pPr>
        <w:pStyle w:val="14"/>
      </w:pPr>
      <w:r>
        <w:t>7.  Tang C, Man X, Wei L, Pan L, Huang Z. Further study on the ignition delay times of propane-hydrogen-oxygen-argon mixtures: effect of equivalence ratio. Combustion and Flame, 2013, 160(11): 2283-2290</w:t>
      </w:r>
    </w:p>
    <w:p w14:paraId="243E3E52">
      <w:pPr>
        <w:pStyle w:val="14"/>
      </w:pPr>
      <w:r>
        <w:t>8.  Pan L, Hu E, Zhang J, Zhang Z, Huang Z. Experimental and kinetic study on ignition delay times of DME/H</w:t>
      </w:r>
      <w:r>
        <w:rPr>
          <w:vertAlign w:val="subscript"/>
        </w:rPr>
        <w:t>2</w:t>
      </w:r>
      <w:r>
        <w:t>/O</w:t>
      </w:r>
      <w:r>
        <w:rPr>
          <w:vertAlign w:val="subscript"/>
        </w:rPr>
        <w:t>2</w:t>
      </w:r>
      <w:r>
        <w:t>/Ar mixtures. Combustion and Flame, 2014, 161(3): 735-747</w:t>
      </w:r>
    </w:p>
    <w:p w14:paraId="02E9872A">
      <w:pPr>
        <w:pStyle w:val="14"/>
      </w:pPr>
      <w:r>
        <w:t>9.  Petersen E L, Röhrig M, Davidson D F, Hanson R K, Bowman C T. High-pressure methane oxidation behind reflected shock waves. Symposium (International) on Combustion, 1996, 26(1): 799-806</w:t>
      </w:r>
    </w:p>
    <w:p w14:paraId="53F312A6">
      <w:pPr>
        <w:pStyle w:val="14"/>
      </w:pPr>
      <w:r>
        <w:t>10. Cheng R K, Oppenheim A K. Autoignition in methanehydrogen mixtures. Combustion and Flame, 1984, 58(2): 125-139</w:t>
      </w:r>
    </w:p>
    <w:p w14:paraId="2F1F5395">
      <w:pPr>
        <w:pStyle w:val="14"/>
      </w:pPr>
      <w:r>
        <w:t xml:space="preserve">11. </w:t>
      </w:r>
      <w:bookmarkStart w:id="20" w:name="OLE_LINK1"/>
      <w:bookmarkStart w:id="21" w:name="OLE_LINK29"/>
      <w:r>
        <w:t xml:space="preserve"> Cohen A, Larsen J. Explosive mechanism of the H</w:t>
      </w:r>
      <w:r>
        <w:rPr>
          <w:vertAlign w:val="subscript"/>
        </w:rPr>
        <w:t>2</w:t>
      </w:r>
      <w:r>
        <w:t>-O</w:t>
      </w:r>
      <w:r>
        <w:rPr>
          <w:vertAlign w:val="subscript"/>
        </w:rPr>
        <w:t>2</w:t>
      </w:r>
      <w:r>
        <w:t xml:space="preserve"> reaction near the second ignition limit. Technical report BRL 1386. 1967</w:t>
      </w:r>
      <w:bookmarkEnd w:id="20"/>
    </w:p>
    <w:bookmarkEnd w:id="21"/>
    <w:p w14:paraId="5FD64D79">
      <w:pPr>
        <w:pStyle w:val="14"/>
      </w:pPr>
      <w:r>
        <w:t>12. Skinner G B, Ringrose G H. Ignition delays of a hydrogen-oxygen-argon mixture at relatively low temperatures. The Journal of Chemical Physics, 2004, 42(6): 2190-2192</w:t>
      </w:r>
    </w:p>
    <w:p w14:paraId="3B670CB3">
      <w:pPr>
        <w:pStyle w:val="14"/>
      </w:pPr>
      <w:r>
        <w:t>13. Schott G L, Kinsey J L. Kinetic studies of hydroxyl radicals in shock waves. II. induction times in the hydrogen‐oxygen reaction. The Journal of Chemical Physics, 2004, 29(5): 1177-1182</w:t>
      </w:r>
    </w:p>
    <w:p w14:paraId="7B5EFE86">
      <w:pPr>
        <w:pStyle w:val="14"/>
      </w:pPr>
      <w:r>
        <w:t>14. Slack M W. Rate coefficient for H + O</w:t>
      </w:r>
      <w:r>
        <w:rPr>
          <w:vertAlign w:val="subscript"/>
        </w:rPr>
        <w:t>2</w:t>
      </w:r>
      <w:r>
        <w:t xml:space="preserve"> + M = HO</w:t>
      </w:r>
      <w:r>
        <w:rPr>
          <w:vertAlign w:val="subscript"/>
        </w:rPr>
        <w:t>2</w:t>
      </w:r>
      <w:r>
        <w:t xml:space="preserve"> + M evaluated from shock tube measurements of induction times. Combustion and Flame, 1977, 28: 241-249</w:t>
      </w:r>
    </w:p>
    <w:p w14:paraId="0657502C">
      <w:pPr>
        <w:pStyle w:val="14"/>
      </w:pPr>
      <w:bookmarkStart w:id="22" w:name="OLE_LINK4"/>
      <w:r>
        <w:t>15. Petersen E L, Kalitan D M, Rickard M J A. Reflected shock ignition of SiH</w:t>
      </w:r>
      <w:r>
        <w:rPr>
          <w:vertAlign w:val="subscript"/>
        </w:rPr>
        <w:t>4</w:t>
      </w:r>
      <w:r>
        <w:t>/H</w:t>
      </w:r>
      <w:r>
        <w:rPr>
          <w:vertAlign w:val="subscript"/>
        </w:rPr>
        <w:t>2</w:t>
      </w:r>
      <w:r>
        <w:t>/O</w:t>
      </w:r>
      <w:r>
        <w:rPr>
          <w:vertAlign w:val="subscript"/>
        </w:rPr>
        <w:t>2</w:t>
      </w:r>
      <w:r>
        <w:t>/Ar and SiH</w:t>
      </w:r>
      <w:r>
        <w:rPr>
          <w:vertAlign w:val="subscript"/>
        </w:rPr>
        <w:t>4</w:t>
      </w:r>
      <w:r>
        <w:t>/CH</w:t>
      </w:r>
      <w:r>
        <w:rPr>
          <w:vertAlign w:val="subscript"/>
        </w:rPr>
        <w:t>4</w:t>
      </w:r>
      <w:r>
        <w:t>/O</w:t>
      </w:r>
      <w:r>
        <w:rPr>
          <w:vertAlign w:val="subscript"/>
        </w:rPr>
        <w:t>2</w:t>
      </w:r>
      <w:r>
        <w:t>/Ar mixtures. Journal of Propulsion and Power, 2004, 20(4): 665-674</w:t>
      </w:r>
    </w:p>
    <w:bookmarkEnd w:id="22"/>
    <w:p w14:paraId="5EAB5444">
      <w:pPr>
        <w:pStyle w:val="14"/>
      </w:pPr>
      <w:r>
        <w:t>16. Bhaskaran K A, Gupta M C, Just T. Shock tube study of the effect of unsymmetric dimethyl hydrazine on the ignition characteristics of hydrogen-air mixtures. Combustion and Flame, 1973, 21(1): 45-48</w:t>
      </w:r>
    </w:p>
    <w:p w14:paraId="6DCC9BF4">
      <w:pPr>
        <w:pStyle w:val="14"/>
      </w:pPr>
      <w:r>
        <w:t>17. Wang B L, Olivier H, Grönig H. Ignition of shock-heated H</w:t>
      </w:r>
      <w:r>
        <w:rPr>
          <w:vertAlign w:val="subscript"/>
        </w:rPr>
        <w:t>2</w:t>
      </w:r>
      <w:r>
        <w:t>-air-steam mixtures. Combustion and Flame, 2003, 133(1): 93-106</w:t>
      </w:r>
    </w:p>
    <w:p w14:paraId="5D87C504">
      <w:pPr>
        <w:pStyle w:val="14"/>
      </w:pPr>
      <w:r>
        <w:t>18. Asaba T, Gardiner W C, Stubbeman R F. Shock-tube study of the hydrogen-oxygen reaction. Symposium (International) on Combustion, 1965, 10(1): 295-302</w:t>
      </w:r>
    </w:p>
    <w:p w14:paraId="3C9E2184">
      <w:pPr>
        <w:pStyle w:val="14"/>
      </w:pPr>
      <w:r>
        <w:t>19. Naumann C, Herzler J, Griebel P, Curran H J, Kéromnès A. Results of ignition delay times for hydrogen-rich and syngas fuel mixtures measured. 7th Framework Programme FP7-Energy-2008-Tren-1 Energy-2008-6-Clean Coal Technologies. 2011</w:t>
      </w:r>
    </w:p>
    <w:p w14:paraId="1978907C">
      <w:pPr>
        <w:pStyle w:val="14"/>
      </w:pPr>
      <w:r>
        <w:t>20. Pan L, Hu E, Deng F, Zhang Z, Huang Z. Effect of pressure and equivalence ratio on the ignition characteristics of dimethyl ether-hydrogen mixtures. International Journal of Hydrogen Energy, 2014, 39(33): 19212-19223</w:t>
      </w:r>
    </w:p>
    <w:p w14:paraId="414B9C1F">
      <w:pPr>
        <w:pStyle w:val="14"/>
      </w:pPr>
      <w:r>
        <w:t>21. Drakon A, Eremin A, Matveeva N, Mikheyeva E. The opposite influences of flame suppressants on the ignition of combustible mixtures behind shock waves. Combustion and Flame, 2017, 176: 592-598</w:t>
      </w:r>
    </w:p>
    <w:p w14:paraId="0CB11826">
      <w:pPr>
        <w:pStyle w:val="14"/>
      </w:pPr>
      <w:r>
        <w:t>22. Kwon O C, Faeth G M. Flame/stretch interactions of premixed hydrogen-fueled flames: measurements and predictions. Combustion and Flame, 2001, 124(4): 590-610</w:t>
      </w:r>
    </w:p>
    <w:p w14:paraId="00F816D7">
      <w:pPr>
        <w:pStyle w:val="14"/>
      </w:pPr>
      <w:r>
        <w:t>23. Tse S D, Zhu D L, Law C K. Morphology and burning rates of expanding spherical flames in H</w:t>
      </w:r>
      <w:r>
        <w:rPr>
          <w:vertAlign w:val="subscript"/>
        </w:rPr>
        <w:t>2</w:t>
      </w:r>
      <w:r>
        <w:t>/O</w:t>
      </w:r>
      <w:r>
        <w:rPr>
          <w:vertAlign w:val="subscript"/>
        </w:rPr>
        <w:t>2</w:t>
      </w:r>
      <w:r>
        <w:t>/inert mixtures up to 60 atmospheres. Proceedings of the Combustion Institute, 2000, 28(2): 1793-1800</w:t>
      </w:r>
    </w:p>
    <w:p w14:paraId="4890EFF3">
      <w:pPr>
        <w:pStyle w:val="14"/>
      </w:pPr>
      <w:r>
        <w:t>24. Bradley D, Lawes M, Liu K, Verhelst S, Woolley R. Laminar burning velocities of lean hydrogen-air mixtures at pressures up to 1.0 MPa. Combustion and Flame, 2007, 149(1): 162-172</w:t>
      </w:r>
    </w:p>
    <w:p w14:paraId="7B521FCE">
      <w:pPr>
        <w:pStyle w:val="14"/>
      </w:pPr>
      <w:r>
        <w:t>25. Burke M P, Dryer F L, Ju Y. Assessment of kinetic modeling for lean H</w:t>
      </w:r>
      <w:r>
        <w:rPr>
          <w:vertAlign w:val="subscript"/>
        </w:rPr>
        <w:t>2</w:t>
      </w:r>
      <w:r>
        <w:t>/CH</w:t>
      </w:r>
      <w:r>
        <w:rPr>
          <w:vertAlign w:val="subscript"/>
        </w:rPr>
        <w:t>4</w:t>
      </w:r>
      <w:r>
        <w:t>/O</w:t>
      </w:r>
      <w:r>
        <w:rPr>
          <w:vertAlign w:val="subscript"/>
        </w:rPr>
        <w:t>2</w:t>
      </w:r>
      <w:r>
        <w:t>/diluent flames at high pressures. Proceedings of the Combustion Institute, 2011, 33(1): 905-912</w:t>
      </w:r>
    </w:p>
    <w:p w14:paraId="189B2809">
      <w:pPr>
        <w:pStyle w:val="14"/>
      </w:pPr>
      <w:r>
        <w:t>26. Koroll G W, Kumar R K, Bowles E M. Burning velocities of hydrogen-air mixtures. Combustion and Flame, 1993, 94(3): 330-340</w:t>
      </w:r>
    </w:p>
    <w:p w14:paraId="135BA109">
      <w:pPr>
        <w:pStyle w:val="14"/>
      </w:pPr>
      <w:r>
        <w:t xml:space="preserve">27. </w:t>
      </w:r>
      <w:bookmarkStart w:id="23" w:name="OLE_LINK30"/>
      <w:r>
        <w:t>Taylor SC. Burning velocity and the influence of flame stretch. Dissertation for the Doctoral Degree.</w:t>
      </w:r>
      <w:bookmarkEnd w:id="23"/>
      <w:r>
        <w:t xml:space="preserve"> Leeds: University of Leeds, 1991, 137</w:t>
      </w:r>
    </w:p>
    <w:p w14:paraId="3D3D9FDA">
      <w:pPr>
        <w:pStyle w:val="14"/>
      </w:pPr>
      <w:r>
        <w:t xml:space="preserve">28. Takahashi F, Mizomoto M, Ikai S. </w:t>
      </w:r>
      <w:bookmarkStart w:id="24" w:name="OLE_LINK36"/>
      <w:r>
        <w:t>Alternative energy sources</w:t>
      </w:r>
      <w:bookmarkEnd w:id="24"/>
      <w:r>
        <w:t xml:space="preserve"> III. New York: Hemisphere Publishing, 1983, 5: 447-57 </w:t>
      </w:r>
    </w:p>
    <w:p w14:paraId="002A2FE9">
      <w:pPr>
        <w:pStyle w:val="14"/>
      </w:pPr>
      <w:r>
        <w:t>29. Vagelopoulos C M, Egolfopoulos F N, Law C K. Further considerations on the determination of laminar flame speeds with the counterflow twin-flame technique. Symposium (International) on Combustion, 1994, 25(1): 1341-1347</w:t>
      </w:r>
    </w:p>
    <w:p w14:paraId="6D7CBC95">
      <w:pPr>
        <w:pStyle w:val="14"/>
      </w:pPr>
      <w:r>
        <w:t>30. Egolfopoulos F N, Law C K. An experimental and computational study of the burning rates of ultra-lean to moderately-rich H</w:t>
      </w:r>
      <w:r>
        <w:rPr>
          <w:vertAlign w:val="subscript"/>
        </w:rPr>
        <w:t>2</w:t>
      </w:r>
      <w:r>
        <w:t>/O</w:t>
      </w:r>
      <w:r>
        <w:rPr>
          <w:vertAlign w:val="subscript"/>
        </w:rPr>
        <w:t>2</w:t>
      </w:r>
      <w:r>
        <w:t>/N</w:t>
      </w:r>
      <w:r>
        <w:rPr>
          <w:vertAlign w:val="subscript"/>
        </w:rPr>
        <w:t>2</w:t>
      </w:r>
      <w:r>
        <w:t xml:space="preserve"> laminar flames with pressure variations. Symposium (International) on Combustion, 1991, 23(1): 333-340</w:t>
      </w:r>
    </w:p>
    <w:p w14:paraId="655B9025">
      <w:pPr>
        <w:pStyle w:val="14"/>
      </w:pPr>
      <w:r>
        <w:t>31. Hermanns R T E, Konnov A A, Bastiaans R J M, de Goey L P H. Laminar burning velocities of diluted hydrogen-oxygen-nitrogen mixtures. Energy &amp; Fuels, 2007, 21(4): 1977-1981</w:t>
      </w:r>
    </w:p>
    <w:p w14:paraId="04B5D8F3">
      <w:pPr>
        <w:pStyle w:val="14"/>
      </w:pPr>
      <w:r>
        <w:t>32. Lamoureux N, Djebaı̈li-Chaumeix N, Paillard C E. Laminar flame velocity determination for H</w:t>
      </w:r>
      <w:r>
        <w:rPr>
          <w:vertAlign w:val="subscript"/>
        </w:rPr>
        <w:t>2</w:t>
      </w:r>
      <w:r>
        <w:t>-air-He-CO</w:t>
      </w:r>
      <w:r>
        <w:rPr>
          <w:vertAlign w:val="subscript"/>
        </w:rPr>
        <w:t>2</w:t>
      </w:r>
      <w:r>
        <w:t xml:space="preserve"> mixtures using the spherical bomb method. Experimental Thermal and Fluid Science, 2003, 27(4): 385-393</w:t>
      </w:r>
    </w:p>
    <w:p w14:paraId="4F509F45">
      <w:pPr>
        <w:pStyle w:val="14"/>
      </w:pPr>
      <w:r>
        <w:t>33. Aung K T, Hassan M I, Faeth G M. Effects of pressure and nitrogen dilution on flame/stretch interactions of laminar premixed H</w:t>
      </w:r>
      <w:r>
        <w:rPr>
          <w:vertAlign w:val="subscript"/>
        </w:rPr>
        <w:t>2</w:t>
      </w:r>
      <w:r>
        <w:t>/O</w:t>
      </w:r>
      <w:r>
        <w:rPr>
          <w:vertAlign w:val="subscript"/>
        </w:rPr>
        <w:t>2</w:t>
      </w:r>
      <w:r>
        <w:t>/N</w:t>
      </w:r>
      <w:r>
        <w:rPr>
          <w:vertAlign w:val="subscript"/>
        </w:rPr>
        <w:t>2</w:t>
      </w:r>
      <w:r>
        <w:t xml:space="preserve"> flames. Combustion and Flame, 1998, 112(1): 1-15</w:t>
      </w:r>
    </w:p>
    <w:p w14:paraId="62FAEE5C">
      <w:pPr>
        <w:pStyle w:val="14"/>
      </w:pPr>
      <w:r>
        <w:t>34. Burke M P, Chaos M, Dryer F L, Ju Y. Negative pressure dependence of mass burning rates of H</w:t>
      </w:r>
      <w:r>
        <w:rPr>
          <w:vertAlign w:val="subscript"/>
        </w:rPr>
        <w:t>2</w:t>
      </w:r>
      <w:r>
        <w:t>/CO/O</w:t>
      </w:r>
      <w:r>
        <w:rPr>
          <w:vertAlign w:val="subscript"/>
        </w:rPr>
        <w:t>2</w:t>
      </w:r>
      <w:r>
        <w:t>/diluent flames at low flame temperatures. Combustion and Flame, 2010, 157(4): 618-631</w:t>
      </w:r>
    </w:p>
    <w:p w14:paraId="4F972686">
      <w:pPr>
        <w:pStyle w:val="14"/>
      </w:pPr>
      <w:r>
        <w:t>35. Tang W, Brezinsky K. Chemical kinetic simulations behind reflected shock waves. International Journal of Chemical Kinetics, 2006, 38(2): 75-97</w:t>
      </w:r>
    </w:p>
    <w:p w14:paraId="74ADBA1E">
      <w:pPr>
        <w:pStyle w:val="14"/>
      </w:pPr>
      <w:r>
        <w:t>36. Qiao L, Gu Y, Dahm W J A, Oran E S, Faeth G M. A study of the effects of diluents on near-limit H</w:t>
      </w:r>
      <w:r>
        <w:rPr>
          <w:vertAlign w:val="subscript"/>
        </w:rPr>
        <w:t>2</w:t>
      </w:r>
      <w:r>
        <w:t>-air flames in microgravity at normal and reduced pressures. Combustion and Flame, 2007, 151(1): 196-208</w:t>
      </w:r>
    </w:p>
    <w:p w14:paraId="47CA1020">
      <w:pPr>
        <w:pStyle w:val="14"/>
      </w:pPr>
      <w:r>
        <w:t>37. Dong C, Zhou Q, Zhao Q, Zhang Y, Xu T, Hui S. Experimental study on the laminar flame speed of hydrogen/carbon monoxide/air mixtures. Fuel, 2009, 88(10): 1858-1863</w:t>
      </w:r>
    </w:p>
    <w:p w14:paraId="2DD985F3">
      <w:pPr>
        <w:pStyle w:val="14"/>
      </w:pPr>
      <w:r>
        <w:t>38. Santner J, Dryer F L, Ju Y. The effects of water dilution on hydrogen, syngas, and ethylene flames at elevated pressure. Proceedings of the Combustion Institute, 2013, 34(1): 719-726</w:t>
      </w:r>
    </w:p>
    <w:p w14:paraId="0CF48B74">
      <w:pPr>
        <w:pStyle w:val="14"/>
      </w:pPr>
      <w:r>
        <w:t>39. Lyu X, Hu E, Peng C, Meng X, Zuohua H. Measurements on laminar burning velocities of hydrogen/oxygen/diluents at elevated pressure and temperature. Journal of Aerospace Power, 2017, 32(7): 1599-1604 (in Chinese)</w:t>
      </w:r>
    </w:p>
    <w:p w14:paraId="1C96A241">
      <w:pPr>
        <w:pStyle w:val="14"/>
      </w:pPr>
      <w:r>
        <w:t>40. Qin X, Kobayashi H, Niioka T. Laminar burning velocity of hydrogen-air premixed flames at elevated pressure. Experimental Thermal and Fluid Science, 2000, 21(1): 58-63</w:t>
      </w:r>
    </w:p>
    <w:p w14:paraId="59DB6B88">
      <w:pPr>
        <w:pStyle w:val="14"/>
      </w:pPr>
      <w:r>
        <w:t>41. Huang Z, Zhang Y, Zeng K, Liu B, Wang Q, Jiang D. Measurements of laminar burning velocities for natural gas-hydrogen-air mixtures. Combustion and Flame, 2006, 146(1): 302-311</w:t>
      </w:r>
    </w:p>
    <w:p w14:paraId="51B92B07">
      <w:pPr>
        <w:pStyle w:val="14"/>
      </w:pPr>
      <w:r>
        <w:t>42. Tang C, Huang Z, Jin C, He J, Wang J, Wang X, Miao H. Laminar burning velocities and combustion characteristics of propane-hydrogen-air premixed flames. International Journal of Hydrogen Energy, 2008, 33(18): 4906-4914</w:t>
      </w:r>
    </w:p>
    <w:p w14:paraId="7485CA1F">
      <w:r>
        <w:fldChar w:fldCharType="end"/>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S Gothic">
    <w:panose1 w:val="020B0609070205080204"/>
    <w:charset w:val="80"/>
    <w:family w:val="modern"/>
    <w:pitch w:val="default"/>
    <w:sig w:usb0="E00002FF" w:usb1="6AC7FDFB" w:usb2="08000012" w:usb3="00000000" w:csb0="4002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NkNmE1MzBiZjczOTI0ZGZjMzY0OGE3YWY1MTI2YjcifQ=="/>
    <w:docVar w:name="EN.InstantFormat" w:val="&lt;ENInstantFormat&gt;&lt;Enabled&gt;1&lt;/Enabled&gt;&lt;ScanUnformatted&gt;1&lt;/ScanUnformatted&gt;&lt;ScanChanges&gt;1&lt;/ScanChanges&gt;&lt;Suspended&gt;0&lt;/Suspended&gt;&lt;/ENInstantFormat&gt;"/>
    <w:docVar w:name="EN.Layout" w:val="&lt;ENLayout&gt;&lt;Style&gt;katibaogao&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9xxtaevabwv2tjex095x05rq9v0padvps90f&quot;&gt;XIAOLUNWEN&lt;record-ids&gt;&lt;item&gt;90&lt;/item&gt;&lt;item&gt;93&lt;/item&gt;&lt;item&gt;96&lt;/item&gt;&lt;item&gt;97&lt;/item&gt;&lt;item&gt;98&lt;/item&gt;&lt;item&gt;103&lt;/item&gt;&lt;item&gt;104&lt;/item&gt;&lt;item&gt;105&lt;/item&gt;&lt;item&gt;106&lt;/item&gt;&lt;item&gt;107&lt;/item&gt;&lt;item&gt;108&lt;/item&gt;&lt;item&gt;109&lt;/item&gt;&lt;item&gt;112&lt;/item&gt;&lt;item&gt;113&lt;/item&gt;&lt;item&gt;114&lt;/item&gt;&lt;item&gt;115&lt;/item&gt;&lt;item&gt;116&lt;/item&gt;&lt;item&gt;117&lt;/item&gt;&lt;item&gt;118&lt;/item&gt;&lt;item&gt;119&lt;/item&gt;&lt;item&gt;120&lt;/item&gt;&lt;item&gt;121&lt;/item&gt;&lt;item&gt;122&lt;/item&gt;&lt;item&gt;124&lt;/item&gt;&lt;item&gt;125&lt;/item&gt;&lt;item&gt;126&lt;/item&gt;&lt;item&gt;131&lt;/item&gt;&lt;item&gt;147&lt;/item&gt;&lt;item&gt;148&lt;/item&gt;&lt;item&gt;169&lt;/item&gt;&lt;/record-ids&gt;&lt;/item&gt;&lt;/Libraries&gt;"/>
  </w:docVars>
  <w:rsids>
    <w:rsidRoot w:val="000165C6"/>
    <w:rsid w:val="000165C6"/>
    <w:rsid w:val="0003778A"/>
    <w:rsid w:val="00045095"/>
    <w:rsid w:val="0005290F"/>
    <w:rsid w:val="0005470D"/>
    <w:rsid w:val="00062C89"/>
    <w:rsid w:val="00087E87"/>
    <w:rsid w:val="00092590"/>
    <w:rsid w:val="00095C67"/>
    <w:rsid w:val="000A784E"/>
    <w:rsid w:val="000D0A1A"/>
    <w:rsid w:val="000E2F93"/>
    <w:rsid w:val="000F0722"/>
    <w:rsid w:val="00114E4E"/>
    <w:rsid w:val="00116EBC"/>
    <w:rsid w:val="00127BEA"/>
    <w:rsid w:val="001649C3"/>
    <w:rsid w:val="00177B16"/>
    <w:rsid w:val="001828E6"/>
    <w:rsid w:val="0019087E"/>
    <w:rsid w:val="001A1EAC"/>
    <w:rsid w:val="001F1FD9"/>
    <w:rsid w:val="00205307"/>
    <w:rsid w:val="00210ADA"/>
    <w:rsid w:val="00252BFD"/>
    <w:rsid w:val="00291F0D"/>
    <w:rsid w:val="00294367"/>
    <w:rsid w:val="002A2CF0"/>
    <w:rsid w:val="002E23AE"/>
    <w:rsid w:val="00313BA3"/>
    <w:rsid w:val="0031709A"/>
    <w:rsid w:val="00317F6C"/>
    <w:rsid w:val="003370A8"/>
    <w:rsid w:val="00342C81"/>
    <w:rsid w:val="003719B0"/>
    <w:rsid w:val="00387D29"/>
    <w:rsid w:val="003C054C"/>
    <w:rsid w:val="003D45C4"/>
    <w:rsid w:val="00415972"/>
    <w:rsid w:val="004344F6"/>
    <w:rsid w:val="004504AA"/>
    <w:rsid w:val="00452EBF"/>
    <w:rsid w:val="00467765"/>
    <w:rsid w:val="00471BFD"/>
    <w:rsid w:val="004A716F"/>
    <w:rsid w:val="004C1FF1"/>
    <w:rsid w:val="004C46F7"/>
    <w:rsid w:val="004D0E62"/>
    <w:rsid w:val="005054CC"/>
    <w:rsid w:val="00515331"/>
    <w:rsid w:val="005303CC"/>
    <w:rsid w:val="0054722B"/>
    <w:rsid w:val="00550C5C"/>
    <w:rsid w:val="00552D3A"/>
    <w:rsid w:val="00553AF5"/>
    <w:rsid w:val="00554E88"/>
    <w:rsid w:val="00583877"/>
    <w:rsid w:val="005C2028"/>
    <w:rsid w:val="005C20DA"/>
    <w:rsid w:val="005E1252"/>
    <w:rsid w:val="005E2DC6"/>
    <w:rsid w:val="0060291B"/>
    <w:rsid w:val="00671312"/>
    <w:rsid w:val="0068339B"/>
    <w:rsid w:val="006A2931"/>
    <w:rsid w:val="006F7B70"/>
    <w:rsid w:val="00703C21"/>
    <w:rsid w:val="0070440C"/>
    <w:rsid w:val="00715C00"/>
    <w:rsid w:val="00726A63"/>
    <w:rsid w:val="00737ECA"/>
    <w:rsid w:val="00762A7D"/>
    <w:rsid w:val="00781B51"/>
    <w:rsid w:val="007D7E35"/>
    <w:rsid w:val="007E0198"/>
    <w:rsid w:val="007E0614"/>
    <w:rsid w:val="007E2118"/>
    <w:rsid w:val="007E2F1B"/>
    <w:rsid w:val="00825B11"/>
    <w:rsid w:val="00827199"/>
    <w:rsid w:val="0085244D"/>
    <w:rsid w:val="00853BBE"/>
    <w:rsid w:val="008708C5"/>
    <w:rsid w:val="008F0419"/>
    <w:rsid w:val="00904E06"/>
    <w:rsid w:val="00911A49"/>
    <w:rsid w:val="00925109"/>
    <w:rsid w:val="0093099C"/>
    <w:rsid w:val="0093224D"/>
    <w:rsid w:val="009336E6"/>
    <w:rsid w:val="00955D55"/>
    <w:rsid w:val="00965721"/>
    <w:rsid w:val="00971111"/>
    <w:rsid w:val="0097231F"/>
    <w:rsid w:val="00996990"/>
    <w:rsid w:val="009C0BCC"/>
    <w:rsid w:val="009F29D0"/>
    <w:rsid w:val="00A61334"/>
    <w:rsid w:val="00A636CF"/>
    <w:rsid w:val="00A90C1C"/>
    <w:rsid w:val="00A93655"/>
    <w:rsid w:val="00AA1315"/>
    <w:rsid w:val="00AB0811"/>
    <w:rsid w:val="00AD7973"/>
    <w:rsid w:val="00AE3B88"/>
    <w:rsid w:val="00B04252"/>
    <w:rsid w:val="00B46B8D"/>
    <w:rsid w:val="00B57782"/>
    <w:rsid w:val="00B714D7"/>
    <w:rsid w:val="00B76A29"/>
    <w:rsid w:val="00BA2801"/>
    <w:rsid w:val="00BB0145"/>
    <w:rsid w:val="00BB0BFF"/>
    <w:rsid w:val="00BB1E62"/>
    <w:rsid w:val="00BC367A"/>
    <w:rsid w:val="00BD1358"/>
    <w:rsid w:val="00BD22AA"/>
    <w:rsid w:val="00C3651F"/>
    <w:rsid w:val="00C644E3"/>
    <w:rsid w:val="00C920D3"/>
    <w:rsid w:val="00C96B28"/>
    <w:rsid w:val="00CA216A"/>
    <w:rsid w:val="00D22F91"/>
    <w:rsid w:val="00D25E0E"/>
    <w:rsid w:val="00D5104C"/>
    <w:rsid w:val="00D803C1"/>
    <w:rsid w:val="00D80793"/>
    <w:rsid w:val="00D95D54"/>
    <w:rsid w:val="00DB0D1F"/>
    <w:rsid w:val="00DB3FC6"/>
    <w:rsid w:val="00DB7E1A"/>
    <w:rsid w:val="00DC17FE"/>
    <w:rsid w:val="00DF5286"/>
    <w:rsid w:val="00E11337"/>
    <w:rsid w:val="00E31866"/>
    <w:rsid w:val="00E53B19"/>
    <w:rsid w:val="00E66780"/>
    <w:rsid w:val="00E71E73"/>
    <w:rsid w:val="00E83E52"/>
    <w:rsid w:val="00EA3B39"/>
    <w:rsid w:val="00EE2488"/>
    <w:rsid w:val="00F71C21"/>
    <w:rsid w:val="00F722A7"/>
    <w:rsid w:val="00F72AF0"/>
    <w:rsid w:val="00F80BE1"/>
    <w:rsid w:val="00F909FF"/>
    <w:rsid w:val="00F96B08"/>
    <w:rsid w:val="00FA2893"/>
    <w:rsid w:val="00FA37E9"/>
    <w:rsid w:val="07817D0D"/>
    <w:rsid w:val="247333A3"/>
    <w:rsid w:val="5660123B"/>
    <w:rsid w:val="73FE4D92"/>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2767"/>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spacing w:line="360" w:lineRule="auto"/>
      <w:jc w:val="center"/>
    </w:pPr>
    <w:rPr>
      <w:rFonts w:ascii="Times New Roman" w:hAnsi="Times New Roman" w:eastAsia="宋体" w:cs="Times New Roman"/>
      <w:kern w:val="2"/>
      <w:sz w:val="28"/>
      <w:szCs w:val="28"/>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1"/>
    <w:autoRedefine/>
    <w:unhideWhenUsed/>
    <w:qFormat/>
    <w:uiPriority w:val="99"/>
    <w:pPr>
      <w:widowControl/>
      <w:jc w:val="left"/>
    </w:pPr>
    <w:rPr>
      <w:kern w:val="0"/>
      <w:sz w:val="24"/>
      <w:szCs w:val="20"/>
    </w:rPr>
  </w:style>
  <w:style w:type="paragraph" w:styleId="3">
    <w:name w:val="footer"/>
    <w:basedOn w:val="1"/>
    <w:link w:val="10"/>
    <w:autoRedefine/>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tabs>
        <w:tab w:val="center" w:pos="4153"/>
        <w:tab w:val="right" w:pos="8306"/>
      </w:tabs>
      <w:snapToGrid w:val="0"/>
    </w:pPr>
    <w:rPr>
      <w:sz w:val="18"/>
      <w:szCs w:val="18"/>
    </w:r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autoRedefine/>
    <w:unhideWhenUsed/>
    <w:qFormat/>
    <w:uiPriority w:val="99"/>
    <w:rPr>
      <w:color w:val="0563C1"/>
      <w:u w:val="single"/>
    </w:rPr>
  </w:style>
  <w:style w:type="character" w:customStyle="1" w:styleId="9">
    <w:name w:val="页眉 字符"/>
    <w:link w:val="4"/>
    <w:autoRedefine/>
    <w:qFormat/>
    <w:uiPriority w:val="99"/>
    <w:rPr>
      <w:sz w:val="18"/>
      <w:szCs w:val="18"/>
    </w:rPr>
  </w:style>
  <w:style w:type="character" w:customStyle="1" w:styleId="10">
    <w:name w:val="页脚 字符"/>
    <w:link w:val="3"/>
    <w:autoRedefine/>
    <w:qFormat/>
    <w:uiPriority w:val="99"/>
    <w:rPr>
      <w:sz w:val="18"/>
      <w:szCs w:val="18"/>
    </w:rPr>
  </w:style>
  <w:style w:type="character" w:customStyle="1" w:styleId="11">
    <w:name w:val="纯文本 字符"/>
    <w:link w:val="2"/>
    <w:autoRedefine/>
    <w:qFormat/>
    <w:uiPriority w:val="99"/>
    <w:rPr>
      <w:rFonts w:ascii="Times New Roman" w:hAnsi="Times New Roman" w:eastAsia="宋体"/>
      <w:sz w:val="24"/>
    </w:rPr>
  </w:style>
  <w:style w:type="paragraph" w:customStyle="1" w:styleId="12">
    <w:name w:val="EndNote Bibliography Title"/>
    <w:basedOn w:val="1"/>
    <w:link w:val="13"/>
    <w:autoRedefine/>
    <w:qFormat/>
    <w:uiPriority w:val="0"/>
    <w:rPr>
      <w:rFonts w:cs="Calibri"/>
      <w:sz w:val="20"/>
    </w:rPr>
  </w:style>
  <w:style w:type="character" w:customStyle="1" w:styleId="13">
    <w:name w:val="EndNote Bibliography Title 字符"/>
    <w:link w:val="12"/>
    <w:autoRedefine/>
    <w:qFormat/>
    <w:uiPriority w:val="0"/>
    <w:rPr>
      <w:rFonts w:ascii="Calibri" w:hAnsi="Calibri" w:eastAsia="宋体" w:cs="Calibri"/>
      <w:kern w:val="2"/>
      <w:szCs w:val="24"/>
    </w:rPr>
  </w:style>
  <w:style w:type="paragraph" w:customStyle="1" w:styleId="14">
    <w:name w:val="EndNote Bibliography"/>
    <w:basedOn w:val="1"/>
    <w:link w:val="15"/>
    <w:autoRedefine/>
    <w:qFormat/>
    <w:uiPriority w:val="0"/>
    <w:rPr>
      <w:rFonts w:cs="Calibri"/>
      <w:sz w:val="20"/>
    </w:rPr>
  </w:style>
  <w:style w:type="character" w:customStyle="1" w:styleId="15">
    <w:name w:val="EndNote Bibliography 字符"/>
    <w:link w:val="14"/>
    <w:autoRedefine/>
    <w:qFormat/>
    <w:uiPriority w:val="0"/>
    <w:rPr>
      <w:rFonts w:ascii="Calibri" w:hAnsi="Calibri" w:eastAsia="宋体" w:cs="Calibri"/>
      <w:kern w:val="2"/>
      <w:szCs w:val="24"/>
    </w:rPr>
  </w:style>
  <w:style w:type="character" w:customStyle="1" w:styleId="16">
    <w:name w:val="_Style 15"/>
    <w:autoRedefine/>
    <w:semiHidden/>
    <w:unhideWhenUsed/>
    <w:qFormat/>
    <w:uiPriority w:val="99"/>
    <w:rPr>
      <w:color w:val="605E5C"/>
      <w:shd w:val="clear" w:color="auto" w:fill="E1DFDD"/>
    </w:rPr>
  </w:style>
  <w:style w:type="character" w:customStyle="1" w:styleId="17">
    <w:name w:val="react-xocs-alternative-link"/>
    <w:basedOn w:val="7"/>
    <w:autoRedefine/>
    <w:qFormat/>
    <w:uiPriority w:val="0"/>
  </w:style>
  <w:style w:type="character" w:customStyle="1" w:styleId="18">
    <w:name w:val="given-name"/>
    <w:basedOn w:val="7"/>
    <w:autoRedefine/>
    <w:qFormat/>
    <w:uiPriority w:val="0"/>
  </w:style>
  <w:style w:type="character" w:customStyle="1" w:styleId="19">
    <w:name w:val="text"/>
    <w:basedOn w:val="7"/>
    <w:autoRedefine/>
    <w:qFormat/>
    <w:uiPriority w:val="0"/>
  </w:style>
  <w:style w:type="paragraph" w:customStyle="1" w:styleId="20">
    <w:name w:val="EndNote Category Heading"/>
    <w:basedOn w:val="1"/>
    <w:link w:val="21"/>
    <w:autoRedefine/>
    <w:qFormat/>
    <w:uiPriority w:val="0"/>
    <w:pPr>
      <w:spacing w:before="120" w:after="120" w:line="480" w:lineRule="auto"/>
      <w:jc w:val="left"/>
    </w:pPr>
    <w:rPr>
      <w:b/>
      <w:sz w:val="24"/>
    </w:rPr>
  </w:style>
  <w:style w:type="character" w:customStyle="1" w:styleId="21">
    <w:name w:val="EndNote Category Heading 字符"/>
    <w:basedOn w:val="7"/>
    <w:link w:val="20"/>
    <w:autoRedefine/>
    <w:qFormat/>
    <w:uiPriority w:val="0"/>
    <w:rPr>
      <w:rFonts w:ascii="Times New Roman" w:hAnsi="Times New Roman" w:eastAsia="宋体"/>
      <w:b/>
      <w:kern w:val="2"/>
      <w:sz w:val="24"/>
      <w:szCs w:val="24"/>
    </w:rPr>
  </w:style>
  <w:style w:type="paragraph" w:customStyle="1" w:styleId="22">
    <w:name w:val="Revision"/>
    <w:hidden/>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8" Type="http://schemas.openxmlformats.org/officeDocument/2006/relationships/image" Target="media/image3.tiff"/><Relationship Id="rId7" Type="http://schemas.openxmlformats.org/officeDocument/2006/relationships/image" Target="media/image2.tiff"/><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2147</Words>
  <Characters>10944</Characters>
  <Lines>478</Lines>
  <Paragraphs>134</Paragraphs>
  <TotalTime>1</TotalTime>
  <ScaleCrop>false</ScaleCrop>
  <LinksUpToDate>false</LinksUpToDate>
  <CharactersWithSpaces>12734</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2024-04-10T09:36:00Z</dcterms:created>
  <dc:creator>admin</dc:creator>
  <cp:lastModifiedBy>Lihong</cp:lastModifiedBy>
  <dcterms:modified xsi:type="dcterms:W3CDTF">2024-08-08T08:11:00Z</dcterms:modified>
  <cp:revision>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9306D10F05AC4ED8BDCBD2CB790E1565_13</vt:lpwstr>
  </property>
</Properties>
</file>