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ascii="Times New Roman" w:hAnsi="Times New Roman"/>
          <w:b/>
          <w:sz w:val="36"/>
          <w:szCs w:val="36"/>
        </w:rPr>
      </w:pPr>
    </w:p>
    <w:p>
      <w:pPr>
        <w:spacing w:line="48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Elect</w:t>
      </w:r>
      <w:bookmarkStart w:id="22" w:name="_GoBack"/>
      <w:bookmarkEnd w:id="22"/>
      <w:r>
        <w:rPr>
          <w:rFonts w:ascii="Times New Roman" w:hAnsi="Times New Roman"/>
          <w:b/>
          <w:sz w:val="36"/>
          <w:szCs w:val="36"/>
        </w:rPr>
        <w:t>ronic Supplementary Material</w:t>
      </w:r>
    </w:p>
    <w:p>
      <w:pPr>
        <w:spacing w:line="480" w:lineRule="auto"/>
        <w:rPr>
          <w:rFonts w:ascii="Times New Roman" w:hAnsi="Times New Roman"/>
        </w:rPr>
      </w:pPr>
    </w:p>
    <w:p>
      <w:pPr>
        <w:spacing w:line="480" w:lineRule="auto"/>
        <w:ind w:left="360" w:hanging="360"/>
        <w:jc w:val="center"/>
        <w:rPr>
          <w:rFonts w:ascii="Times New Roman" w:hAnsi="Times New Roman"/>
          <w:sz w:val="32"/>
          <w:szCs w:val="32"/>
        </w:rPr>
      </w:pPr>
      <w:bookmarkStart w:id="0" w:name="_Hlk84670497"/>
      <w:r>
        <w:rPr>
          <w:rFonts w:ascii="Times New Roman" w:hAnsi="Times New Roman"/>
          <w:b/>
          <w:bCs/>
          <w:kern w:val="0"/>
          <w:sz w:val="28"/>
          <w:szCs w:val="28"/>
          <w:lang w:eastAsia="en-US"/>
        </w:rPr>
        <w:t>Enhanced photocatalytic N</w:t>
      </w:r>
      <w:r>
        <w:rPr>
          <w:rFonts w:ascii="Times New Roman" w:hAnsi="Times New Roman"/>
          <w:b/>
          <w:bCs/>
          <w:kern w:val="0"/>
          <w:sz w:val="28"/>
          <w:szCs w:val="28"/>
          <w:vertAlign w:val="subscript"/>
          <w:lang w:eastAsia="en-US"/>
        </w:rPr>
        <w:t>2</w:t>
      </w:r>
      <w:r>
        <w:rPr>
          <w:rFonts w:ascii="Times New Roman" w:hAnsi="Times New Roman"/>
          <w:b/>
          <w:bCs/>
          <w:kern w:val="0"/>
          <w:sz w:val="28"/>
          <w:szCs w:val="28"/>
          <w:lang w:eastAsia="en-US"/>
        </w:rPr>
        <w:t xml:space="preserve"> fixation using </w:t>
      </w:r>
      <w:r>
        <w:rPr>
          <w:rFonts w:hint="eastAsia" w:ascii="Times New Roman" w:hAnsi="Times New Roman"/>
          <w:b/>
          <w:bCs/>
          <w:kern w:val="0"/>
          <w:sz w:val="28"/>
          <w:szCs w:val="28"/>
        </w:rPr>
        <w:t>KNbO</w:t>
      </w:r>
      <w:r>
        <w:rPr>
          <w:rFonts w:ascii="Times New Roman" w:hAnsi="Times New Roman"/>
          <w:b/>
          <w:bCs/>
          <w:kern w:val="0"/>
          <w:sz w:val="28"/>
          <w:szCs w:val="28"/>
          <w:vertAlign w:val="subscript"/>
        </w:rPr>
        <w:t>3</w:t>
      </w:r>
      <w:r>
        <w:rPr>
          <w:rFonts w:ascii="Times New Roman" w:hAnsi="Times New Roman"/>
          <w:b/>
          <w:bCs/>
          <w:kern w:val="0"/>
          <w:sz w:val="28"/>
          <w:szCs w:val="28"/>
          <w:lang w:eastAsia="en-US"/>
        </w:rPr>
        <w:t>/</w:t>
      </w:r>
      <w:r>
        <w:rPr>
          <w:rFonts w:hint="eastAsia" w:ascii="Times New Roman" w:hAnsi="Times New Roman"/>
          <w:b/>
          <w:bCs/>
          <w:kern w:val="0"/>
          <w:sz w:val="28"/>
          <w:szCs w:val="28"/>
        </w:rPr>
        <w:t>Bi</w:t>
      </w:r>
      <w:r>
        <w:rPr>
          <w:rFonts w:hint="eastAsia" w:ascii="Times New Roman" w:hAnsi="Times New Roman"/>
          <w:b/>
          <w:bCs/>
          <w:kern w:val="0"/>
          <w:sz w:val="28"/>
          <w:szCs w:val="28"/>
          <w:vertAlign w:val="subscript"/>
        </w:rPr>
        <w:t>4</w:t>
      </w:r>
      <w:r>
        <w:rPr>
          <w:rFonts w:hint="eastAsia" w:ascii="Times New Roman" w:hAnsi="Times New Roman"/>
          <w:b/>
          <w:bCs/>
          <w:kern w:val="0"/>
          <w:sz w:val="28"/>
          <w:szCs w:val="28"/>
        </w:rPr>
        <w:t>O</w:t>
      </w:r>
      <w:r>
        <w:rPr>
          <w:rFonts w:hint="eastAsia" w:ascii="Times New Roman" w:hAnsi="Times New Roman"/>
          <w:b/>
          <w:bCs/>
          <w:kern w:val="0"/>
          <w:sz w:val="28"/>
          <w:szCs w:val="28"/>
          <w:vertAlign w:val="subscript"/>
        </w:rPr>
        <w:t>5</w:t>
      </w:r>
      <w:r>
        <w:rPr>
          <w:rFonts w:hint="eastAsia" w:ascii="Times New Roman" w:hAnsi="Times New Roman"/>
          <w:b/>
          <w:bCs/>
          <w:kern w:val="0"/>
          <w:sz w:val="28"/>
          <w:szCs w:val="28"/>
        </w:rPr>
        <w:t>Br</w:t>
      </w:r>
      <w:r>
        <w:rPr>
          <w:rFonts w:hint="eastAsia" w:ascii="Times New Roman" w:hAnsi="Times New Roman"/>
          <w:b/>
          <w:bCs/>
          <w:kern w:val="0"/>
          <w:sz w:val="28"/>
          <w:szCs w:val="28"/>
          <w:vertAlign w:val="subscript"/>
        </w:rPr>
        <w:t>2</w:t>
      </w:r>
      <w:r>
        <w:rPr>
          <w:rFonts w:ascii="Times New Roman" w:hAnsi="Times New Roman"/>
          <w:b/>
          <w:bCs/>
          <w:kern w:val="0"/>
          <w:sz w:val="28"/>
          <w:szCs w:val="28"/>
          <w:lang w:eastAsia="en-US"/>
        </w:rPr>
        <w:t xml:space="preserve"> </w:t>
      </w:r>
      <w:r>
        <w:rPr>
          <w:rFonts w:hint="eastAsia" w:ascii="Times New Roman" w:hAnsi="Times New Roman"/>
          <w:b/>
          <w:bCs/>
          <w:kern w:val="0"/>
          <w:sz w:val="28"/>
          <w:szCs w:val="28"/>
        </w:rPr>
        <w:t>type</w:t>
      </w:r>
      <w:r>
        <w:rPr>
          <w:rFonts w:hint="eastAsia" w:ascii="Times New Roman" w:hAnsi="Times New Roman"/>
          <w:b/>
          <w:bCs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Times New Roman" w:hAnsi="Times New Roman"/>
          <w:b/>
          <w:bCs/>
          <w:kern w:val="0"/>
          <w:sz w:val="28"/>
          <w:szCs w:val="28"/>
        </w:rPr>
        <w:t>II</w:t>
      </w:r>
      <w:r>
        <w:rPr>
          <w:rFonts w:ascii="Times New Roman" w:hAnsi="Times New Roman"/>
          <w:b/>
          <w:bCs/>
          <w:kern w:val="0"/>
          <w:sz w:val="28"/>
          <w:szCs w:val="28"/>
        </w:rPr>
        <w:t xml:space="preserve"> heterojunction</w:t>
      </w:r>
    </w:p>
    <w:bookmarkEnd w:id="0"/>
    <w:p>
      <w:pPr>
        <w:widowControl/>
        <w:spacing w:after="240" w:line="300" w:lineRule="auto"/>
        <w:jc w:val="center"/>
        <w:rPr>
          <w:rFonts w:ascii="Times New Roman" w:hAnsi="Times New Roman" w:eastAsia="宋体"/>
          <w:iCs/>
          <w:kern w:val="0"/>
          <w:szCs w:val="21"/>
        </w:rPr>
      </w:pPr>
      <w:bookmarkStart w:id="1" w:name="_Hlk111010402"/>
      <w:bookmarkStart w:id="2" w:name="_Hlk84670490"/>
      <w:r>
        <w:rPr>
          <w:rFonts w:ascii="Times New Roman" w:hAnsi="Times New Roman" w:eastAsia="宋体"/>
          <w:iCs/>
          <w:kern w:val="0"/>
          <w:szCs w:val="21"/>
        </w:rPr>
        <w:t>Lin Yue</w:t>
      </w:r>
      <w:r>
        <w:rPr>
          <w:rFonts w:ascii="Times New Roman" w:hAnsi="Times New Roman" w:eastAsia="宋体"/>
          <w:iCs/>
          <w:kern w:val="0"/>
          <w:szCs w:val="21"/>
          <w:vertAlign w:val="superscript"/>
        </w:rPr>
        <w:t>1</w:t>
      </w:r>
      <w:r>
        <w:rPr>
          <w:rFonts w:ascii="Times New Roman" w:hAnsi="Times New Roman" w:eastAsia="宋体"/>
          <w:iCs/>
          <w:kern w:val="0"/>
          <w:szCs w:val="21"/>
        </w:rPr>
        <w:t>, Zhihao Zeng</w:t>
      </w:r>
      <w:r>
        <w:rPr>
          <w:rFonts w:ascii="Times New Roman" w:hAnsi="Times New Roman" w:eastAsia="宋体"/>
          <w:iCs/>
          <w:kern w:val="0"/>
          <w:szCs w:val="21"/>
          <w:vertAlign w:val="superscript"/>
        </w:rPr>
        <w:t>1</w:t>
      </w:r>
      <w:r>
        <w:rPr>
          <w:rFonts w:ascii="Times New Roman" w:hAnsi="Times New Roman" w:eastAsia="宋体"/>
          <w:iCs/>
          <w:kern w:val="0"/>
          <w:szCs w:val="21"/>
        </w:rPr>
        <w:t xml:space="preserve">, </w:t>
      </w:r>
      <w:bookmarkEnd w:id="1"/>
      <w:r>
        <w:rPr>
          <w:rFonts w:ascii="Times New Roman" w:hAnsi="Times New Roman" w:eastAsia="宋体"/>
          <w:iCs/>
          <w:kern w:val="0"/>
          <w:szCs w:val="21"/>
        </w:rPr>
        <w:t>Xujie Ren</w:t>
      </w:r>
      <w:r>
        <w:rPr>
          <w:rFonts w:ascii="Times New Roman" w:hAnsi="Times New Roman" w:eastAsia="宋体"/>
          <w:iCs/>
          <w:kern w:val="0"/>
          <w:szCs w:val="21"/>
          <w:vertAlign w:val="superscript"/>
        </w:rPr>
        <w:t>2</w:t>
      </w:r>
      <w:r>
        <w:rPr>
          <w:rFonts w:ascii="Times New Roman" w:hAnsi="Times New Roman" w:eastAsia="宋体"/>
          <w:iCs/>
          <w:kern w:val="0"/>
          <w:szCs w:val="21"/>
        </w:rPr>
        <w:t>, Shude Yuan</w:t>
      </w:r>
      <w:r>
        <w:rPr>
          <w:rFonts w:ascii="Times New Roman" w:hAnsi="Times New Roman" w:eastAsia="宋体"/>
          <w:iCs/>
          <w:kern w:val="0"/>
          <w:szCs w:val="21"/>
          <w:vertAlign w:val="superscript"/>
        </w:rPr>
        <w:t>2</w:t>
      </w:r>
      <w:r>
        <w:rPr>
          <w:rFonts w:ascii="Times New Roman" w:hAnsi="Times New Roman" w:eastAsia="宋体"/>
          <w:iCs/>
          <w:kern w:val="0"/>
          <w:szCs w:val="21"/>
        </w:rPr>
        <w:t>, Chuanqi Xia</w:t>
      </w:r>
      <w:r>
        <w:rPr>
          <w:rFonts w:ascii="Times New Roman" w:hAnsi="Times New Roman" w:eastAsia="宋体"/>
          <w:iCs/>
          <w:kern w:val="0"/>
          <w:szCs w:val="21"/>
          <w:vertAlign w:val="superscript"/>
        </w:rPr>
        <w:t>1</w:t>
      </w:r>
      <w:r>
        <w:rPr>
          <w:rFonts w:ascii="Times New Roman" w:hAnsi="Times New Roman" w:eastAsia="宋体"/>
          <w:iCs/>
          <w:kern w:val="0"/>
          <w:szCs w:val="21"/>
        </w:rPr>
        <w:t>, Xin Hu</w:t>
      </w:r>
      <w:r>
        <w:rPr>
          <w:rFonts w:ascii="Times New Roman" w:hAnsi="Times New Roman" w:eastAsia="宋体"/>
          <w:iCs/>
          <w:kern w:val="0"/>
          <w:szCs w:val="21"/>
          <w:vertAlign w:val="superscript"/>
        </w:rPr>
        <w:t>1</w:t>
      </w:r>
      <w:r>
        <w:rPr>
          <w:rFonts w:ascii="Times New Roman" w:hAnsi="Times New Roman" w:eastAsia="宋体"/>
          <w:iCs/>
          <w:kern w:val="0"/>
          <w:szCs w:val="21"/>
        </w:rPr>
        <w:t xml:space="preserve">, Leihong Zhao </w:t>
      </w:r>
      <w:r>
        <w:rPr>
          <w:rFonts w:ascii="Times New Roman" w:hAnsi="Times New Roman" w:eastAsia="宋体"/>
          <w:b/>
          <w:iCs/>
          <w:kern w:val="0"/>
          <w:szCs w:val="21"/>
        </w:rPr>
        <w:t>(</w:t>
      </w:r>
      <w:r>
        <w:rPr>
          <w:rFonts w:ascii="Times New Roman" w:hAnsi="Times New Roman" w:eastAsia="宋体"/>
          <w:b/>
          <w:iCs/>
          <w:kern w:val="0"/>
          <w:szCs w:val="21"/>
        </w:rPr>
        <w:sym w:font="Wingdings" w:char="F02A"/>
      </w:r>
      <w:r>
        <w:rPr>
          <w:rFonts w:ascii="Times New Roman" w:hAnsi="Times New Roman" w:eastAsia="宋体"/>
          <w:b/>
          <w:iCs/>
          <w:kern w:val="0"/>
          <w:szCs w:val="21"/>
        </w:rPr>
        <w:t>)</w:t>
      </w:r>
      <w:r>
        <w:rPr>
          <w:rFonts w:ascii="Times New Roman" w:hAnsi="Times New Roman" w:eastAsia="宋体"/>
          <w:iCs/>
          <w:kern w:val="0"/>
          <w:szCs w:val="21"/>
          <w:vertAlign w:val="superscript"/>
        </w:rPr>
        <w:t>1</w:t>
      </w:r>
      <w:r>
        <w:rPr>
          <w:rFonts w:ascii="Times New Roman" w:hAnsi="Times New Roman" w:eastAsia="宋体"/>
          <w:iCs/>
          <w:kern w:val="0"/>
          <w:szCs w:val="21"/>
        </w:rPr>
        <w:t xml:space="preserve">, </w:t>
      </w:r>
      <w:r>
        <w:rPr>
          <w:rFonts w:hint="eastAsia" w:ascii="Times New Roman" w:hAnsi="Times New Roman" w:eastAsia="宋体"/>
          <w:iCs/>
          <w:kern w:val="0"/>
          <w:szCs w:val="21"/>
        </w:rPr>
        <w:t>Lvchao</w:t>
      </w:r>
      <w:r>
        <w:rPr>
          <w:rFonts w:ascii="Times New Roman" w:hAnsi="Times New Roman" w:eastAsia="宋体"/>
          <w:iCs/>
          <w:kern w:val="0"/>
          <w:szCs w:val="21"/>
        </w:rPr>
        <w:t xml:space="preserve"> </w:t>
      </w:r>
      <w:r>
        <w:rPr>
          <w:rFonts w:hint="eastAsia" w:ascii="Times New Roman" w:hAnsi="Times New Roman" w:eastAsia="宋体"/>
          <w:iCs/>
          <w:kern w:val="0"/>
          <w:szCs w:val="21"/>
        </w:rPr>
        <w:t>Zhuang</w:t>
      </w:r>
      <w:r>
        <w:rPr>
          <w:rFonts w:ascii="Times New Roman" w:hAnsi="Times New Roman" w:eastAsia="宋体"/>
          <w:iCs/>
          <w:kern w:val="0"/>
          <w:szCs w:val="21"/>
        </w:rPr>
        <w:t xml:space="preserve"> </w:t>
      </w:r>
      <w:r>
        <w:rPr>
          <w:rFonts w:ascii="Times New Roman" w:hAnsi="Times New Roman" w:eastAsia="宋体"/>
          <w:b/>
          <w:iCs/>
          <w:kern w:val="0"/>
          <w:szCs w:val="21"/>
        </w:rPr>
        <w:t>(</w:t>
      </w:r>
      <w:r>
        <w:rPr>
          <w:rFonts w:ascii="Times New Roman" w:hAnsi="Times New Roman" w:eastAsia="宋体"/>
          <w:b/>
          <w:iCs/>
          <w:kern w:val="0"/>
          <w:szCs w:val="21"/>
        </w:rPr>
        <w:sym w:font="Wingdings" w:char="F02A"/>
      </w:r>
      <w:r>
        <w:rPr>
          <w:rFonts w:ascii="Times New Roman" w:hAnsi="Times New Roman" w:eastAsia="宋体"/>
          <w:b/>
          <w:iCs/>
          <w:kern w:val="0"/>
          <w:szCs w:val="21"/>
        </w:rPr>
        <w:t>)</w:t>
      </w:r>
      <w:r>
        <w:rPr>
          <w:rFonts w:ascii="Times New Roman" w:hAnsi="Times New Roman" w:eastAsia="宋体"/>
          <w:iCs/>
          <w:kern w:val="0"/>
          <w:szCs w:val="21"/>
          <w:vertAlign w:val="superscript"/>
        </w:rPr>
        <w:t>2</w:t>
      </w:r>
      <w:r>
        <w:rPr>
          <w:rFonts w:hint="eastAsia" w:ascii="Times New Roman" w:hAnsi="Times New Roman" w:eastAsia="宋体"/>
          <w:iCs/>
          <w:kern w:val="0"/>
          <w:szCs w:val="21"/>
        </w:rPr>
        <w:t>,</w:t>
      </w:r>
      <w:r>
        <w:rPr>
          <w:rFonts w:ascii="Times New Roman" w:hAnsi="Times New Roman" w:eastAsia="宋体"/>
          <w:iCs/>
          <w:kern w:val="0"/>
          <w:szCs w:val="21"/>
        </w:rPr>
        <w:t xml:space="preserve"> Yiming He </w:t>
      </w:r>
      <w:r>
        <w:rPr>
          <w:rFonts w:ascii="Times New Roman" w:hAnsi="Times New Roman" w:eastAsia="宋体"/>
          <w:b/>
          <w:iCs/>
          <w:kern w:val="0"/>
          <w:szCs w:val="21"/>
        </w:rPr>
        <w:t>(</w:t>
      </w:r>
      <w:r>
        <w:rPr>
          <w:rFonts w:ascii="Times New Roman" w:hAnsi="Times New Roman" w:eastAsia="宋体"/>
          <w:b/>
          <w:iCs/>
          <w:kern w:val="0"/>
          <w:szCs w:val="21"/>
        </w:rPr>
        <w:sym w:font="Wingdings" w:char="F02A"/>
      </w:r>
      <w:r>
        <w:rPr>
          <w:rFonts w:ascii="Times New Roman" w:hAnsi="Times New Roman" w:eastAsia="宋体"/>
          <w:b/>
          <w:iCs/>
          <w:kern w:val="0"/>
          <w:szCs w:val="21"/>
        </w:rPr>
        <w:t>)</w:t>
      </w:r>
      <w:r>
        <w:rPr>
          <w:rFonts w:ascii="Times New Roman" w:hAnsi="Times New Roman" w:eastAsia="宋体"/>
          <w:iCs/>
          <w:kern w:val="0"/>
          <w:szCs w:val="21"/>
          <w:vertAlign w:val="superscript"/>
        </w:rPr>
        <w:t>1,2</w:t>
      </w:r>
    </w:p>
    <w:bookmarkEnd w:id="2"/>
    <w:p>
      <w:pPr>
        <w:widowControl/>
        <w:spacing w:after="240" w:line="300" w:lineRule="auto"/>
        <w:jc w:val="center"/>
        <w:rPr>
          <w:rFonts w:ascii="Times New Roman" w:hAnsi="Times New Roman" w:eastAsia="宋体"/>
          <w:iCs/>
          <w:kern w:val="0"/>
          <w:szCs w:val="21"/>
        </w:rPr>
      </w:pPr>
      <w:bookmarkStart w:id="3" w:name="OLE_LINK40"/>
      <w:bookmarkStart w:id="4" w:name="OLE_LINK37"/>
      <w:r>
        <w:rPr>
          <w:rFonts w:ascii="Times New Roman" w:hAnsi="Times New Roman" w:eastAsia="宋体"/>
          <w:iCs/>
          <w:kern w:val="0"/>
          <w:szCs w:val="21"/>
        </w:rPr>
        <w:t xml:space="preserve">1 Key Laboratory of the Ministry of Education for Advanced Catalysis Materials, College of Chemistry and Materials Science, Zhejiang Normal University, Jinhua 321004, China </w:t>
      </w:r>
    </w:p>
    <w:p>
      <w:pPr>
        <w:widowControl/>
        <w:spacing w:after="120" w:line="300" w:lineRule="auto"/>
        <w:jc w:val="center"/>
        <w:rPr>
          <w:rFonts w:ascii="Times New Roman" w:hAnsi="Times New Roman" w:eastAsia="宋体"/>
          <w:iCs/>
          <w:kern w:val="0"/>
          <w:szCs w:val="21"/>
        </w:rPr>
      </w:pPr>
      <w:r>
        <w:rPr>
          <w:rFonts w:ascii="Times New Roman" w:hAnsi="Times New Roman" w:eastAsia="宋体"/>
          <w:iCs/>
          <w:kern w:val="0"/>
          <w:szCs w:val="21"/>
        </w:rPr>
        <w:t>2 Department of Materials Science and Engineering, Zhejiang Normal University, Jinhua 321004, China</w:t>
      </w:r>
    </w:p>
    <w:bookmarkEnd w:id="3"/>
    <w:bookmarkEnd w:id="4"/>
    <w:p>
      <w:pPr>
        <w:widowControl/>
        <w:spacing w:after="240" w:line="300" w:lineRule="auto"/>
        <w:rPr>
          <w:rFonts w:ascii="Times New Roman" w:hAnsi="Times New Roman" w:eastAsia="宋体"/>
          <w:kern w:val="0"/>
          <w:szCs w:val="21"/>
        </w:rPr>
      </w:pPr>
      <w:r>
        <w:rPr>
          <w:rFonts w:ascii="Times New Roman" w:hAnsi="Times New Roman" w:eastAsia="宋体"/>
          <w:kern w:val="0"/>
          <w:szCs w:val="21"/>
          <w:lang w:eastAsia="en-US"/>
        </w:rPr>
        <w:t>E-mails:</w:t>
      </w:r>
      <w:r>
        <w:rPr>
          <w:rFonts w:ascii="Times New Roman" w:hAnsi="Times New Roman" w:eastAsia="宋体"/>
          <w:kern w:val="0"/>
          <w:szCs w:val="21"/>
        </w:rPr>
        <w:t xml:space="preserve"> </w:t>
      </w:r>
      <w:r>
        <w:fldChar w:fldCharType="begin"/>
      </w:r>
      <w:r>
        <w:instrText xml:space="preserve"> HYPERLINK "mailto:zhaoleihong@" </w:instrText>
      </w:r>
      <w:r>
        <w:fldChar w:fldCharType="separate"/>
      </w:r>
      <w:r>
        <w:rPr>
          <w:rFonts w:ascii="Times New Roman" w:hAnsi="Times New Roman" w:eastAsia="宋体"/>
          <w:color w:val="0000FF"/>
          <w:kern w:val="0"/>
          <w:sz w:val="24"/>
          <w:szCs w:val="21"/>
          <w:u w:val="single"/>
        </w:rPr>
        <w:t>zhaoleihong@</w:t>
      </w:r>
      <w:r>
        <w:rPr>
          <w:rFonts w:ascii="Times New Roman" w:hAnsi="Times New Roman" w:eastAsia="宋体"/>
          <w:color w:val="0000FF"/>
          <w:kern w:val="0"/>
          <w:sz w:val="24"/>
          <w:szCs w:val="21"/>
          <w:u w:val="single"/>
        </w:rPr>
        <w:fldChar w:fldCharType="end"/>
      </w:r>
      <w:r>
        <w:rPr>
          <w:rFonts w:ascii="Times New Roman" w:hAnsi="Times New Roman" w:eastAsia="宋体"/>
          <w:color w:val="0000FF"/>
          <w:kern w:val="0"/>
          <w:sz w:val="24"/>
          <w:szCs w:val="21"/>
          <w:u w:val="single"/>
        </w:rPr>
        <w:t>163.com</w:t>
      </w:r>
      <w:r>
        <w:rPr>
          <w:rFonts w:ascii="Times New Roman" w:hAnsi="Times New Roman" w:eastAsia="宋体"/>
          <w:kern w:val="0"/>
          <w:szCs w:val="21"/>
        </w:rPr>
        <w:t xml:space="preserve"> (Zhao L)</w:t>
      </w:r>
      <w:r>
        <w:rPr>
          <w:rFonts w:ascii="Times New Roman" w:hAnsi="Times New Roman" w:eastAsia="宋体"/>
          <w:kern w:val="0"/>
          <w:szCs w:val="21"/>
          <w:lang w:eastAsia="en-US"/>
        </w:rPr>
        <w:t xml:space="preserve">; </w:t>
      </w:r>
      <w:r>
        <w:fldChar w:fldCharType="begin"/>
      </w:r>
      <w:r>
        <w:instrText xml:space="preserve"> HYPERLINK "mailto:lyuchao.zhuang@zjnu.edu.cn" </w:instrText>
      </w:r>
      <w:r>
        <w:fldChar w:fldCharType="separate"/>
      </w:r>
      <w:r>
        <w:rPr>
          <w:rFonts w:ascii="Times" w:hAnsi="Times" w:eastAsia="宋体"/>
          <w:color w:val="0000FF"/>
          <w:kern w:val="0"/>
          <w:sz w:val="24"/>
          <w:szCs w:val="20"/>
          <w:u w:val="single"/>
          <w:lang w:eastAsia="en-US"/>
        </w:rPr>
        <w:t>lyuchao.zhuang@zjnu.edu.cn</w:t>
      </w:r>
      <w:r>
        <w:rPr>
          <w:rFonts w:ascii="Times" w:hAnsi="Times" w:eastAsia="宋体"/>
          <w:color w:val="0000FF"/>
          <w:kern w:val="0"/>
          <w:sz w:val="24"/>
          <w:szCs w:val="20"/>
          <w:u w:val="single"/>
          <w:lang w:eastAsia="en-US"/>
        </w:rPr>
        <w:fldChar w:fldCharType="end"/>
      </w:r>
      <w:r>
        <w:rPr>
          <w:rFonts w:ascii="Times" w:hAnsi="Times" w:eastAsia="宋体"/>
          <w:kern w:val="0"/>
          <w:sz w:val="24"/>
          <w:szCs w:val="20"/>
          <w:lang w:eastAsia="en-US"/>
        </w:rPr>
        <w:t xml:space="preserve"> </w:t>
      </w:r>
      <w:r>
        <w:rPr>
          <w:rFonts w:ascii="Times New Roman" w:hAnsi="Times New Roman" w:eastAsia="宋体"/>
          <w:kern w:val="0"/>
          <w:szCs w:val="21"/>
        </w:rPr>
        <w:t>(Zhuang L)</w:t>
      </w:r>
      <w:r>
        <w:rPr>
          <w:rFonts w:ascii="Times New Roman" w:hAnsi="Times New Roman" w:eastAsia="宋体"/>
          <w:kern w:val="0"/>
          <w:szCs w:val="21"/>
          <w:lang w:eastAsia="en-US"/>
        </w:rPr>
        <w:t xml:space="preserve">; </w:t>
      </w:r>
      <w:r>
        <w:fldChar w:fldCharType="begin"/>
      </w:r>
      <w:r>
        <w:instrText xml:space="preserve"> HYPERLINK "mailto:hym@zjnu.cn" </w:instrText>
      </w:r>
      <w:r>
        <w:fldChar w:fldCharType="separate"/>
      </w:r>
      <w:r>
        <w:rPr>
          <w:rFonts w:ascii="Times New Roman" w:hAnsi="Times New Roman" w:eastAsia="宋体"/>
          <w:color w:val="0000FF"/>
          <w:kern w:val="0"/>
          <w:sz w:val="24"/>
          <w:szCs w:val="21"/>
          <w:u w:val="single"/>
          <w:lang w:eastAsia="en-US"/>
        </w:rPr>
        <w:t>hym@zjnu.cn</w:t>
      </w:r>
      <w:r>
        <w:rPr>
          <w:rFonts w:ascii="Times New Roman" w:hAnsi="Times New Roman" w:eastAsia="宋体"/>
          <w:color w:val="0000FF"/>
          <w:kern w:val="0"/>
          <w:sz w:val="24"/>
          <w:szCs w:val="21"/>
          <w:u w:val="single"/>
          <w:lang w:eastAsia="en-US"/>
        </w:rPr>
        <w:fldChar w:fldCharType="end"/>
      </w:r>
      <w:r>
        <w:rPr>
          <w:rFonts w:ascii="Times New Roman" w:hAnsi="Times New Roman" w:eastAsia="宋体"/>
          <w:kern w:val="0"/>
          <w:szCs w:val="21"/>
        </w:rPr>
        <w:t xml:space="preserve"> </w:t>
      </w:r>
      <w:r>
        <w:rPr>
          <w:rFonts w:ascii="Times New Roman" w:hAnsi="Times New Roman" w:eastAsia="宋体"/>
          <w:kern w:val="0"/>
          <w:szCs w:val="21"/>
          <w:lang w:eastAsia="en-US"/>
        </w:rPr>
        <w:t>(He Y)</w:t>
      </w:r>
    </w:p>
    <w:p>
      <w:pPr>
        <w:spacing w:line="480" w:lineRule="auto"/>
        <w:rPr>
          <w:rFonts w:ascii="Times New Roman" w:hAnsi="Times New Roman"/>
          <w:i/>
          <w:szCs w:val="21"/>
        </w:rPr>
      </w:pPr>
      <w:r>
        <w:rPr>
          <w:rFonts w:ascii="Times New Roman" w:hAnsi="Times New Roman"/>
          <w:i/>
          <w:szCs w:val="21"/>
        </w:rPr>
        <w:t>1. Photocatalytic N</w:t>
      </w:r>
      <w:r>
        <w:rPr>
          <w:rFonts w:ascii="Times New Roman" w:hAnsi="Times New Roman"/>
          <w:i/>
          <w:szCs w:val="21"/>
          <w:vertAlign w:val="subscript"/>
        </w:rPr>
        <w:t>2</w:t>
      </w:r>
      <w:r>
        <w:rPr>
          <w:rFonts w:ascii="Times New Roman" w:hAnsi="Times New Roman"/>
          <w:i/>
          <w:szCs w:val="21"/>
        </w:rPr>
        <w:t xml:space="preserve"> fixation reaction</w:t>
      </w:r>
    </w:p>
    <w:p>
      <w:pPr>
        <w:spacing w:line="480" w:lineRule="auto"/>
        <w:ind w:firstLine="525" w:firstLineChars="25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The photocatalytic</w:t>
      </w:r>
      <w:r>
        <w:rPr>
          <w:rFonts w:ascii="Times New Roman" w:hAnsi="Times New Roman" w:eastAsia="宋体"/>
          <w:szCs w:val="21"/>
        </w:rPr>
        <w:t xml:space="preserve"> nitrogen fixation</w:t>
      </w:r>
      <w:r>
        <w:rPr>
          <w:rFonts w:ascii="Times New Roman" w:hAnsi="Times New Roman"/>
          <w:szCs w:val="21"/>
        </w:rPr>
        <w:t xml:space="preserve"> experiments were conducted in a self-built photochemical reactor. A 300W Xe lamp (</w:t>
      </w:r>
      <w:r>
        <w:rPr>
          <w:rFonts w:ascii="Times New Roman" w:hAnsi="Times New Roman" w:eastAsia="宋体"/>
          <w:szCs w:val="24"/>
        </w:rPr>
        <w:t xml:space="preserve">PLS-SXE300C, Beijing ProfectLight Co. Ltd., China) </w:t>
      </w:r>
      <w:r>
        <w:rPr>
          <w:rFonts w:ascii="Times New Roman" w:hAnsi="Times New Roman"/>
          <w:szCs w:val="21"/>
        </w:rPr>
        <w:t xml:space="preserve">was used as the simulated sunlight source. When implementing the photocatalytic reaction under visible light, a UV-cut filter (λ&gt;420 nm) was installed. </w:t>
      </w:r>
      <w:r>
        <w:rPr>
          <w:rFonts w:ascii="Times New Roman" w:hAnsi="Times New Roman" w:eastAsia="宋体"/>
          <w:szCs w:val="21"/>
        </w:rPr>
        <w:t xml:space="preserve">Prior to light irradiation, 0.1 g of solid catalyst was added into a 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Times New Roman" w:eastAsia="宋体"/>
          <w:szCs w:val="21"/>
        </w:rPr>
        <w:t xml:space="preserve">00 mL methanol solution (containing 5 mL methanol and </w:t>
      </w:r>
      <w:r>
        <w:rPr>
          <w:rFonts w:ascii="Times New Roman" w:hAnsi="Times New Roman"/>
          <w:szCs w:val="21"/>
        </w:rPr>
        <w:t>95</w:t>
      </w:r>
      <w:r>
        <w:rPr>
          <w:rFonts w:ascii="Times New Roman" w:hAnsi="Times New Roman" w:eastAsia="宋体"/>
          <w:szCs w:val="21"/>
        </w:rPr>
        <w:t xml:space="preserve"> mL deionized water) and stirred for 1 h in the dark to ensure an adsorption–desorption equilibrium.</w:t>
      </w:r>
      <w:r>
        <w:rPr>
          <w:rFonts w:ascii="Times New Roman" w:hAnsi="Times New Roman"/>
          <w:szCs w:val="21"/>
        </w:rPr>
        <w:t xml:space="preserve"> </w:t>
      </w:r>
      <w:bookmarkStart w:id="5" w:name="OLE_LINK58"/>
      <w:bookmarkStart w:id="6" w:name="OLE_LINK57"/>
      <w:r>
        <w:rPr>
          <w:rFonts w:ascii="Times New Roman" w:hAnsi="Times New Roman"/>
          <w:szCs w:val="21"/>
        </w:rPr>
        <w:t xml:space="preserve">During light exposure, 7 mL of the liquid was extracted from the solution every one-hour </w:t>
      </w:r>
      <w:r>
        <w:rPr>
          <w:rFonts w:ascii="Times New Roman" w:hAnsi="Times New Roman" w:eastAsia="宋体"/>
          <w:szCs w:val="21"/>
        </w:rPr>
        <w:t>interval</w:t>
      </w:r>
      <w:r>
        <w:rPr>
          <w:rFonts w:ascii="Times New Roman" w:hAnsi="Times New Roman"/>
          <w:szCs w:val="21"/>
        </w:rPr>
        <w:t xml:space="preserve"> for ammonia detection</w:t>
      </w:r>
      <w:bookmarkEnd w:id="5"/>
      <w:bookmarkEnd w:id="6"/>
      <w:bookmarkStart w:id="7" w:name="OLE_LINK61"/>
      <w:bookmarkStart w:id="8" w:name="OLE_LINK62"/>
      <w:bookmarkStart w:id="9" w:name="OLE_LINK59"/>
      <w:bookmarkStart w:id="10" w:name="OLE_LINK60"/>
      <w:r>
        <w:rPr>
          <w:rFonts w:ascii="Times New Roman" w:hAnsi="Times New Roman"/>
          <w:szCs w:val="21"/>
        </w:rPr>
        <w:t xml:space="preserve">. The sample solution was centrifuged to obtain the supernatant, and then 30 μL of sodium tartrate and 30 μL of Nessler's reagent were added </w:t>
      </w:r>
      <w:r>
        <w:rPr>
          <w:rFonts w:ascii="Times New Roman" w:hAnsi="Times New Roman"/>
          <w:color w:val="000000"/>
          <w:szCs w:val="21"/>
          <w:shd w:val="clear" w:color="auto" w:fill="FFFFFF"/>
        </w:rPr>
        <w:t>successively</w:t>
      </w:r>
      <w:r>
        <w:rPr>
          <w:rFonts w:ascii="Times New Roman" w:hAnsi="Times New Roman"/>
          <w:szCs w:val="21"/>
        </w:rPr>
        <w:t>. After 12 min of react</w:t>
      </w:r>
      <w:bookmarkEnd w:id="7"/>
      <w:bookmarkEnd w:id="8"/>
      <w:r>
        <w:rPr>
          <w:rFonts w:ascii="Times New Roman" w:hAnsi="Times New Roman"/>
          <w:szCs w:val="21"/>
        </w:rPr>
        <w:t>ion, the ammonia concentration was analyzed by measuring the absorbance at 420 nm with a UV-vis spectrophotometer</w:t>
      </w:r>
      <w:bookmarkEnd w:id="9"/>
      <w:bookmarkEnd w:id="10"/>
      <w:r>
        <w:rPr>
          <w:rFonts w:ascii="Times New Roman" w:hAnsi="Times New Roman"/>
          <w:szCs w:val="21"/>
        </w:rPr>
        <w:t xml:space="preserve"> (Figure S1). The photocatalytic N</w:t>
      </w:r>
      <w:r>
        <w:rPr>
          <w:rFonts w:ascii="Times New Roman" w:hAnsi="Times New Roman"/>
          <w:szCs w:val="21"/>
          <w:vertAlign w:val="subscript"/>
        </w:rPr>
        <w:t>2</w:t>
      </w:r>
      <w:r>
        <w:rPr>
          <w:rFonts w:ascii="Times New Roman" w:hAnsi="Times New Roman"/>
          <w:szCs w:val="21"/>
        </w:rPr>
        <w:t xml:space="preserve"> fixation in the presence of different scavengers was conducted similarly, except that the scavenger was changed. For the reaction performed in the presence of N</w:t>
      </w:r>
      <w:r>
        <w:rPr>
          <w:rFonts w:ascii="Times New Roman" w:hAnsi="Times New Roman"/>
          <w:szCs w:val="21"/>
          <w:vertAlign w:val="subscript"/>
        </w:rPr>
        <w:t>2</w:t>
      </w:r>
      <w:r>
        <w:rPr>
          <w:rFonts w:ascii="Times New Roman" w:hAnsi="Times New Roman"/>
          <w:szCs w:val="21"/>
        </w:rPr>
        <w:t>, the bubbling N</w:t>
      </w:r>
      <w:r>
        <w:rPr>
          <w:rFonts w:ascii="Times New Roman" w:hAnsi="Times New Roman"/>
          <w:szCs w:val="21"/>
          <w:vertAlign w:val="subscript"/>
        </w:rPr>
        <w:t>2</w:t>
      </w:r>
      <w:r>
        <w:rPr>
          <w:rFonts w:ascii="Times New Roman" w:hAnsi="Times New Roman"/>
          <w:szCs w:val="21"/>
        </w:rPr>
        <w:t xml:space="preserve"> flow rate was controlled to 50 mL </w:t>
      </w:r>
      <w:r>
        <w:rPr>
          <w:rFonts w:hint="eastAsia" w:ascii="微软雅黑" w:hAnsi="微软雅黑" w:eastAsia="微软雅黑" w:cs="微软雅黑"/>
          <w:szCs w:val="21"/>
        </w:rPr>
        <w:t>·</w:t>
      </w:r>
      <w:r>
        <w:rPr>
          <w:rFonts w:hint="eastAsia" w:ascii="Times New Roman" w:hAnsi="Times New Roman"/>
          <w:szCs w:val="21"/>
          <w:lang w:val="en-US" w:eastAsia="zh-CN"/>
        </w:rPr>
        <w:t xml:space="preserve"> </w:t>
      </w:r>
      <w:r>
        <w:rPr>
          <w:rFonts w:ascii="Times New Roman" w:hAnsi="Times New Roman"/>
          <w:szCs w:val="21"/>
        </w:rPr>
        <w:t>min</w:t>
      </w:r>
      <w:r>
        <w:rPr>
          <w:rFonts w:ascii="Times New Roman" w:hAnsi="Times New Roman"/>
          <w:szCs w:val="21"/>
          <w:vertAlign w:val="superscript"/>
        </w:rPr>
        <w:t>-1</w:t>
      </w:r>
      <w:r>
        <w:rPr>
          <w:rFonts w:ascii="Times New Roman" w:hAnsi="Times New Roman"/>
          <w:szCs w:val="21"/>
        </w:rPr>
        <w:t xml:space="preserve">. For the reaction under vacuum, the reactor was replaced with a closed quartz reactor. After the reaction solution and catalyst were added, the air in the reactor was evacuated, and the relative pressure to the outside world was maintained at </w:t>
      </w:r>
      <w:r>
        <w:rPr>
          <w:rFonts w:hint="eastAsia" w:ascii="微软雅黑" w:hAnsi="微软雅黑" w:eastAsia="微软雅黑" w:cs="微软雅黑"/>
          <w:szCs w:val="21"/>
        </w:rPr>
        <w:t>－</w:t>
      </w:r>
      <w:r>
        <w:rPr>
          <w:rFonts w:ascii="Times New Roman" w:hAnsi="Times New Roman"/>
          <w:szCs w:val="21"/>
        </w:rPr>
        <w:t>97</w:t>
      </w:r>
      <w:r>
        <w:rPr>
          <w:rFonts w:hint="eastAsia" w:ascii="Times New Roman" w:hAnsi="Times New Roman"/>
          <w:szCs w:val="21"/>
          <w:lang w:val="en-US" w:eastAsia="zh-CN"/>
        </w:rPr>
        <w:t xml:space="preserve"> </w:t>
      </w:r>
      <w:r>
        <w:rPr>
          <w:rFonts w:ascii="Times New Roman" w:hAnsi="Times New Roman"/>
          <w:szCs w:val="21"/>
        </w:rPr>
        <w:t>kPa (the actual pressure was about 4.3</w:t>
      </w:r>
      <w:r>
        <w:rPr>
          <w:rFonts w:hint="eastAsia" w:ascii="Times New Roman" w:hAnsi="Times New Roman"/>
          <w:szCs w:val="21"/>
          <w:lang w:val="en-US" w:eastAsia="zh-CN"/>
        </w:rPr>
        <w:t xml:space="preserve"> </w:t>
      </w:r>
      <w:r>
        <w:rPr>
          <w:rFonts w:ascii="Times New Roman" w:hAnsi="Times New Roman"/>
          <w:szCs w:val="21"/>
        </w:rPr>
        <w:t>kPa).</w:t>
      </w:r>
    </w:p>
    <w:p>
      <w:pPr>
        <w:spacing w:line="480" w:lineRule="auto"/>
        <w:ind w:firstLine="315" w:firstLineChars="150"/>
        <w:rPr>
          <w:rFonts w:ascii="Times New Roman" w:hAnsi="Times New Roman"/>
          <w:szCs w:val="21"/>
        </w:rPr>
      </w:pPr>
    </w:p>
    <w:p>
      <w:pPr>
        <w:spacing w:line="480" w:lineRule="auto"/>
        <w:ind w:left="105" w:hanging="105" w:hangingChars="50"/>
        <w:rPr>
          <w:rFonts w:ascii="Times New Roman" w:hAnsi="Times New Roman"/>
          <w:i/>
          <w:iCs/>
          <w:szCs w:val="21"/>
        </w:rPr>
      </w:pPr>
      <w:r>
        <w:rPr>
          <w:rFonts w:ascii="Times New Roman" w:hAnsi="Times New Roman"/>
          <w:i/>
          <w:iCs/>
          <w:szCs w:val="21"/>
        </w:rPr>
        <w:t>2. Determination of NH</w:t>
      </w:r>
      <w:r>
        <w:rPr>
          <w:rFonts w:ascii="Times New Roman" w:hAnsi="Times New Roman"/>
          <w:i/>
          <w:iCs/>
          <w:szCs w:val="21"/>
          <w:vertAlign w:val="subscript"/>
        </w:rPr>
        <w:t>3</w:t>
      </w:r>
      <w:r>
        <w:rPr>
          <w:rFonts w:ascii="Times New Roman" w:hAnsi="Times New Roman"/>
          <w:i/>
          <w:iCs/>
          <w:szCs w:val="21"/>
        </w:rPr>
        <w:t xml:space="preserve"> content by the NMR method</w:t>
      </w:r>
    </w:p>
    <w:p>
      <w:pPr>
        <w:spacing w:line="480" w:lineRule="auto"/>
        <w:ind w:left="105" w:leftChars="50" w:firstLine="420" w:firstLineChars="20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After 5-hour photocatalytic reaction, the NH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  <w:vertAlign w:val="superscript"/>
        </w:rPr>
        <w:t>+</w:t>
      </w:r>
      <w:r>
        <w:rPr>
          <w:rFonts w:ascii="Times New Roman" w:hAnsi="Times New Roman"/>
          <w:szCs w:val="21"/>
        </w:rPr>
        <w:t xml:space="preserve"> content was quantitatively determined by </w:t>
      </w:r>
      <w:r>
        <w:rPr>
          <w:rFonts w:ascii="Times New Roman" w:hAnsi="Times New Roman"/>
          <w:szCs w:val="21"/>
          <w:vertAlign w:val="superscript"/>
        </w:rPr>
        <w:t>1</w:t>
      </w:r>
      <w:r>
        <w:rPr>
          <w:rFonts w:ascii="Times New Roman" w:hAnsi="Times New Roman"/>
          <w:szCs w:val="21"/>
        </w:rPr>
        <w:t>H nuclear magnetic resonance (NMR</w:t>
      </w:r>
      <w:r>
        <w:rPr>
          <w:rFonts w:hint="eastAsia" w:ascii="Times New Roman" w:hAnsi="Times New Roman"/>
          <w:szCs w:val="21"/>
          <w:lang w:val="en-US" w:eastAsia="zh-CN"/>
        </w:rPr>
        <w:t>) (</w:t>
      </w:r>
      <w:r>
        <w:rPr>
          <w:rFonts w:ascii="Times New Roman" w:hAnsi="Times New Roman"/>
          <w:szCs w:val="21"/>
        </w:rPr>
        <w:t>600 MHz, Bruker AV600) with external standards, taking maleic acid (C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</w:rPr>
        <w:t>H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</w:rPr>
        <w:t>O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</w:rPr>
        <w:t>) as a reference. To create the calibration curve, a series of NH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  <w:vertAlign w:val="superscript"/>
        </w:rPr>
        <w:t>+</w:t>
      </w:r>
      <w:r>
        <w:rPr>
          <w:rFonts w:ascii="Times New Roman" w:hAnsi="Times New Roman"/>
          <w:szCs w:val="21"/>
        </w:rPr>
        <w:t xml:space="preserve"> solutions with known concentration were prepared in 0.01 M HCl as standards. Next, 24.5 mL of the NH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  <w:vertAlign w:val="superscript"/>
        </w:rPr>
        <w:t>+</w:t>
      </w:r>
      <w:r>
        <w:rPr>
          <w:rFonts w:ascii="Times New Roman" w:hAnsi="Times New Roman"/>
          <w:szCs w:val="21"/>
        </w:rPr>
        <w:t xml:space="preserve"> standard solution was mixed with 0.5 mL maleic acid (25 μg/mL). The mixture was then concentrated to approximately 1 mL and identified using </w:t>
      </w:r>
      <w:r>
        <w:rPr>
          <w:rFonts w:ascii="Times New Roman" w:hAnsi="Times New Roman"/>
          <w:szCs w:val="21"/>
          <w:vertAlign w:val="superscript"/>
        </w:rPr>
        <w:t>1</w:t>
      </w:r>
      <w:r>
        <w:rPr>
          <w:rFonts w:ascii="Times New Roman" w:hAnsi="Times New Roman"/>
          <w:szCs w:val="21"/>
        </w:rPr>
        <w:t>H NMR spectroscopy (50 μL deuterium oxide (D</w:t>
      </w:r>
      <w:r>
        <w:rPr>
          <w:rFonts w:ascii="Times New Roman" w:hAnsi="Times New Roman"/>
          <w:szCs w:val="21"/>
          <w:vertAlign w:val="subscript"/>
        </w:rPr>
        <w:t>2</w:t>
      </w:r>
      <w:r>
        <w:rPr>
          <w:rFonts w:ascii="Times New Roman" w:hAnsi="Times New Roman"/>
          <w:szCs w:val="21"/>
        </w:rPr>
        <w:t>O) was added in 0.45 mL concentrated solution before NMR detection). The calibration was achieved using the peak area ratio between NH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  <w:vertAlign w:val="superscript"/>
        </w:rPr>
        <w:t>+</w:t>
      </w:r>
      <w:r>
        <w:rPr>
          <w:rFonts w:ascii="Times New Roman" w:hAnsi="Times New Roman"/>
          <w:szCs w:val="21"/>
        </w:rPr>
        <w:t xml:space="preserve"> and tris-maleate because the NH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  <w:vertAlign w:val="superscript"/>
        </w:rPr>
        <w:t>+</w:t>
      </w:r>
      <w:r>
        <w:rPr>
          <w:rFonts w:ascii="Times New Roman" w:hAnsi="Times New Roman"/>
          <w:szCs w:val="21"/>
        </w:rPr>
        <w:t xml:space="preserve"> concentration and the area ratio are positively correlated. Similarly, the NH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  <w:vertAlign w:val="superscript"/>
        </w:rPr>
        <w:t>+</w:t>
      </w:r>
      <w:r>
        <w:rPr>
          <w:rFonts w:ascii="Times New Roman" w:hAnsi="Times New Roman"/>
          <w:szCs w:val="21"/>
        </w:rPr>
        <w:t xml:space="preserve"> concentration after photocatalytic reaction was quantitatively determined using this method.</w:t>
      </w:r>
    </w:p>
    <w:p>
      <w:pPr>
        <w:spacing w:line="480" w:lineRule="auto"/>
        <w:ind w:left="105" w:leftChars="50" w:firstLine="420" w:firstLineChars="200"/>
        <w:rPr>
          <w:rFonts w:ascii="Times New Roman" w:hAnsi="Times New Roman"/>
          <w:szCs w:val="21"/>
        </w:rPr>
      </w:pPr>
    </w:p>
    <w:p>
      <w:pPr>
        <w:spacing w:line="480" w:lineRule="auto"/>
        <w:rPr>
          <w:rFonts w:ascii="Times New Roman" w:hAnsi="Times New Roman"/>
          <w:i/>
          <w:szCs w:val="21"/>
        </w:rPr>
      </w:pPr>
      <w:r>
        <w:rPr>
          <w:rFonts w:ascii="Times New Roman" w:hAnsi="Times New Roman"/>
          <w:i/>
          <w:szCs w:val="21"/>
        </w:rPr>
        <w:t>4. Characterizations of KNbO</w:t>
      </w:r>
      <w:r>
        <w:rPr>
          <w:rFonts w:ascii="Times New Roman" w:hAnsi="Times New Roman"/>
          <w:i/>
          <w:szCs w:val="21"/>
          <w:vertAlign w:val="subscript"/>
        </w:rPr>
        <w:t>3</w:t>
      </w:r>
      <w:r>
        <w:rPr>
          <w:rFonts w:ascii="Times New Roman" w:hAnsi="Times New Roman"/>
          <w:i/>
          <w:szCs w:val="21"/>
        </w:rPr>
        <w:t>/Bi</w:t>
      </w:r>
      <w:r>
        <w:rPr>
          <w:rFonts w:ascii="Times New Roman" w:hAnsi="Times New Roman"/>
          <w:i/>
          <w:szCs w:val="21"/>
          <w:vertAlign w:val="subscript"/>
        </w:rPr>
        <w:t>4</w:t>
      </w:r>
      <w:r>
        <w:rPr>
          <w:rFonts w:ascii="Times New Roman" w:hAnsi="Times New Roman"/>
          <w:i/>
          <w:szCs w:val="21"/>
        </w:rPr>
        <w:t>O</w:t>
      </w:r>
      <w:r>
        <w:rPr>
          <w:rFonts w:ascii="Times New Roman" w:hAnsi="Times New Roman"/>
          <w:i/>
          <w:szCs w:val="21"/>
          <w:vertAlign w:val="subscript"/>
        </w:rPr>
        <w:t>5</w:t>
      </w:r>
      <w:r>
        <w:rPr>
          <w:rFonts w:ascii="Times New Roman" w:hAnsi="Times New Roman"/>
          <w:i/>
          <w:szCs w:val="21"/>
        </w:rPr>
        <w:t>Br</w:t>
      </w:r>
      <w:r>
        <w:rPr>
          <w:rFonts w:ascii="Times New Roman" w:hAnsi="Times New Roman"/>
          <w:i/>
          <w:szCs w:val="21"/>
          <w:vertAlign w:val="subscript"/>
        </w:rPr>
        <w:t>2</w:t>
      </w:r>
      <w:r>
        <w:rPr>
          <w:rFonts w:ascii="Times New Roman" w:hAnsi="Times New Roman"/>
          <w:i/>
          <w:szCs w:val="21"/>
        </w:rPr>
        <w:t xml:space="preserve"> photocatalysts</w:t>
      </w:r>
    </w:p>
    <w:p>
      <w:pPr>
        <w:spacing w:line="480" w:lineRule="auto"/>
        <w:ind w:firstLine="525" w:firstLineChars="250"/>
        <w:rPr>
          <w:rFonts w:ascii="Times New Roman" w:hAnsi="Times New Roman"/>
          <w:szCs w:val="21"/>
        </w:rPr>
      </w:pPr>
      <w:bookmarkStart w:id="11" w:name="_Hlk57194051"/>
      <w:r>
        <w:rPr>
          <w:rFonts w:ascii="Times New Roman" w:hAnsi="Times New Roman"/>
          <w:szCs w:val="21"/>
        </w:rPr>
        <w:t xml:space="preserve">X-ray diffraction </w:t>
      </w:r>
      <w:bookmarkEnd w:id="11"/>
      <w:r>
        <w:rPr>
          <w:rFonts w:ascii="Times New Roman" w:hAnsi="Times New Roman"/>
          <w:szCs w:val="21"/>
        </w:rPr>
        <w:t xml:space="preserve">(XRD) analysis was performed on a D8 Advance (BRUKER AXS GMBH, Germany) X-ray diffractometer using Cu Kα radiation (40 kV/40 mA). The Raman spectra of the </w:t>
      </w:r>
      <w:r>
        <w:rPr>
          <w:rFonts w:ascii="Times New Roman" w:hAnsi="Times New Roman"/>
          <w:iCs/>
          <w:szCs w:val="21"/>
        </w:rPr>
        <w:t>KNbO</w:t>
      </w:r>
      <w:r>
        <w:rPr>
          <w:rFonts w:ascii="Times New Roman" w:hAnsi="Times New Roman"/>
          <w:iCs/>
          <w:szCs w:val="21"/>
          <w:vertAlign w:val="subscript"/>
        </w:rPr>
        <w:t>3</w:t>
      </w:r>
      <w:r>
        <w:rPr>
          <w:rFonts w:ascii="Times New Roman" w:hAnsi="Times New Roman"/>
          <w:iCs/>
          <w:szCs w:val="21"/>
        </w:rPr>
        <w:t>/Bi</w:t>
      </w:r>
      <w:r>
        <w:rPr>
          <w:rFonts w:ascii="Times New Roman" w:hAnsi="Times New Roman"/>
          <w:iCs/>
          <w:szCs w:val="21"/>
          <w:vertAlign w:val="subscript"/>
        </w:rPr>
        <w:t>4</w:t>
      </w:r>
      <w:r>
        <w:rPr>
          <w:rFonts w:ascii="Times New Roman" w:hAnsi="Times New Roman"/>
          <w:iCs/>
          <w:szCs w:val="21"/>
        </w:rPr>
        <w:t>O</w:t>
      </w:r>
      <w:r>
        <w:rPr>
          <w:rFonts w:ascii="Times New Roman" w:hAnsi="Times New Roman"/>
          <w:iCs/>
          <w:szCs w:val="21"/>
          <w:vertAlign w:val="subscript"/>
        </w:rPr>
        <w:t>5</w:t>
      </w:r>
      <w:r>
        <w:rPr>
          <w:rFonts w:ascii="Times New Roman" w:hAnsi="Times New Roman"/>
          <w:iCs/>
          <w:szCs w:val="21"/>
        </w:rPr>
        <w:t>Br</w:t>
      </w:r>
      <w:r>
        <w:rPr>
          <w:rFonts w:ascii="Times New Roman" w:hAnsi="Times New Roman"/>
          <w:iCs/>
          <w:szCs w:val="21"/>
          <w:vertAlign w:val="subscript"/>
        </w:rPr>
        <w:t>2</w:t>
      </w:r>
      <w:r>
        <w:rPr>
          <w:rFonts w:ascii="Times New Roman" w:hAnsi="Times New Roman"/>
          <w:iCs/>
          <w:szCs w:val="21"/>
        </w:rPr>
        <w:t xml:space="preserve"> c</w:t>
      </w:r>
      <w:r>
        <w:rPr>
          <w:rFonts w:ascii="Times New Roman" w:hAnsi="Times New Roman"/>
          <w:szCs w:val="21"/>
        </w:rPr>
        <w:t>atalysts were recorded on a</w:t>
      </w:r>
      <w:r>
        <w:rPr>
          <w:rFonts w:hint="eastAsia" w:ascii="Times New Roman" w:hAnsi="Times New Roman"/>
          <w:szCs w:val="21"/>
          <w:lang w:val="en-US" w:eastAsia="zh-CN"/>
        </w:rPr>
        <w:t>n</w:t>
      </w:r>
      <w:r>
        <w:rPr>
          <w:rFonts w:ascii="Times New Roman" w:hAnsi="Times New Roman"/>
          <w:szCs w:val="21"/>
        </w:rPr>
        <w:t xml:space="preserve"> RM1000 spectrometer (Renishaw) via an excitation source of an Ar ion laser (514.5 nm). </w:t>
      </w:r>
      <w:r>
        <w:rPr>
          <w:rFonts w:ascii="Times New Roman" w:hAnsi="Times New Roman"/>
          <w:szCs w:val="21"/>
          <w:shd w:val="clear" w:color="auto" w:fill="FFFFFF"/>
        </w:rPr>
        <w:t>Brunner−Emmet−Teller (BET) surface area analys</w:t>
      </w:r>
      <w:r>
        <w:rPr>
          <w:rFonts w:ascii="Times New Roman" w:hAnsi="Times New Roman"/>
          <w:szCs w:val="21"/>
        </w:rPr>
        <w:t>is was performed by N</w:t>
      </w:r>
      <w:r>
        <w:rPr>
          <w:rFonts w:ascii="Times New Roman" w:hAnsi="Times New Roman"/>
          <w:szCs w:val="21"/>
          <w:vertAlign w:val="subscript"/>
        </w:rPr>
        <w:t>2</w:t>
      </w:r>
      <w:r>
        <w:rPr>
          <w:rFonts w:ascii="Times New Roman" w:hAnsi="Times New Roman"/>
          <w:szCs w:val="21"/>
        </w:rPr>
        <w:t xml:space="preserve"> adsorption at 77 K on a </w:t>
      </w:r>
      <w:r>
        <w:rPr>
          <w:rFonts w:ascii="Times New Roman" w:hAnsi="Times New Roman"/>
          <w:szCs w:val="24"/>
        </w:rPr>
        <w:t>3H-2000PS2</w:t>
      </w:r>
      <w:r>
        <w:rPr>
          <w:rFonts w:ascii="Times New Roman" w:hAnsi="Times New Roman"/>
          <w:szCs w:val="21"/>
        </w:rPr>
        <w:t xml:space="preserve"> apparatus (Beishide Instrument). </w:t>
      </w:r>
      <w:bookmarkStart w:id="12" w:name="_Hlk57193584"/>
      <w:r>
        <w:rPr>
          <w:rFonts w:ascii="Times New Roman" w:hAnsi="Times New Roman"/>
          <w:szCs w:val="21"/>
        </w:rPr>
        <w:t>Scanning electron microscopy</w:t>
      </w:r>
      <w:bookmarkEnd w:id="12"/>
      <w:r>
        <w:rPr>
          <w:rFonts w:ascii="Times New Roman" w:hAnsi="Times New Roman"/>
          <w:szCs w:val="21"/>
        </w:rPr>
        <w:t xml:space="preserve"> (SEM) was carried out on a Field emission scanning electron microscope (Hitachi S-4800) with the accelerating voltage of 5 kV. </w:t>
      </w:r>
      <w:bookmarkStart w:id="13" w:name="_Hlk57193594"/>
      <w:r>
        <w:rPr>
          <w:rFonts w:ascii="Times New Roman" w:hAnsi="Times New Roman" w:eastAsia="宋体"/>
          <w:szCs w:val="21"/>
        </w:rPr>
        <w:t>Transmission electron microscopy</w:t>
      </w:r>
      <w:bookmarkEnd w:id="13"/>
      <w:r>
        <w:rPr>
          <w:rFonts w:ascii="Times New Roman" w:hAnsi="Times New Roman" w:eastAsia="宋体"/>
          <w:szCs w:val="21"/>
        </w:rPr>
        <w:t xml:space="preserve"> (TEM) was employed on a JEM-2010F transmission electron microscope via </w:t>
      </w:r>
      <w:r>
        <w:rPr>
          <w:rFonts w:hint="eastAsia" w:ascii="Times New Roman" w:hAnsi="Times New Roman" w:eastAsia="宋体"/>
          <w:szCs w:val="21"/>
          <w:lang w:val="en-US" w:eastAsia="zh-CN"/>
        </w:rPr>
        <w:t>an</w:t>
      </w:r>
      <w:r>
        <w:rPr>
          <w:rFonts w:ascii="Times New Roman" w:hAnsi="Times New Roman" w:eastAsia="宋体"/>
          <w:szCs w:val="21"/>
        </w:rPr>
        <w:t xml:space="preserve"> accelerating voltage of 200 kV. </w:t>
      </w:r>
      <w:r>
        <w:rPr>
          <w:rFonts w:ascii="Times New Roman" w:hAnsi="Times New Roman"/>
          <w:szCs w:val="21"/>
        </w:rPr>
        <w:t xml:space="preserve">The </w:t>
      </w:r>
      <w:bookmarkStart w:id="14" w:name="_Hlk57193606"/>
      <w:r>
        <w:rPr>
          <w:rFonts w:ascii="Times New Roman" w:hAnsi="Times New Roman"/>
          <w:szCs w:val="21"/>
        </w:rPr>
        <w:t>X-ray photoelectron spectroscopy</w:t>
      </w:r>
      <w:bookmarkEnd w:id="14"/>
      <w:r>
        <w:rPr>
          <w:rFonts w:ascii="Times New Roman" w:hAnsi="Times New Roman"/>
          <w:szCs w:val="21"/>
        </w:rPr>
        <w:t xml:space="preserve"> (XPS) spectra of the catalysts were obtained via using a Thermo Scientific </w:t>
      </w:r>
      <w:r>
        <w:rPr>
          <w:rFonts w:ascii="Times New Roman" w:hAnsi="Times New Roman"/>
          <w:szCs w:val="24"/>
        </w:rPr>
        <w:t>ESCALAB 250Xi</w:t>
      </w:r>
      <w:r>
        <w:rPr>
          <w:rFonts w:ascii="Times New Roman" w:hAnsi="Times New Roman"/>
          <w:szCs w:val="21"/>
        </w:rPr>
        <w:t xml:space="preserve"> Microprobe instrument using Al-Kα as a ray source. The C 1s signal was adjusted in the location of 284.6 eV. </w:t>
      </w:r>
      <w:bookmarkStart w:id="15" w:name="_Hlk57193642"/>
      <w:r>
        <w:rPr>
          <w:rFonts w:ascii="Times New Roman" w:hAnsi="Times New Roman"/>
          <w:szCs w:val="21"/>
        </w:rPr>
        <w:t>UV-visible diffuse reflection spectroscopy</w:t>
      </w:r>
      <w:bookmarkEnd w:id="15"/>
      <w:r>
        <w:rPr>
          <w:rFonts w:ascii="Times New Roman" w:hAnsi="Times New Roman"/>
          <w:szCs w:val="21"/>
        </w:rPr>
        <w:t xml:space="preserve"> (DRS) was actualized on a UV-visible spectrophotometer (Agilent </w:t>
      </w:r>
      <w:r>
        <w:rPr>
          <w:rFonts w:ascii="Times New Roman" w:hAnsi="Times New Roman"/>
          <w:szCs w:val="24"/>
        </w:rPr>
        <w:t>Cary5000</w:t>
      </w:r>
      <w:r>
        <w:rPr>
          <w:rFonts w:ascii="Times New Roman" w:hAnsi="Times New Roman"/>
          <w:szCs w:val="21"/>
        </w:rPr>
        <w:t>) and the reference sample was BaSO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</w:rPr>
        <w:t xml:space="preserve">. A CHI 660E electrochemical workstation with a standard three-electrode cell was employed to perform the </w:t>
      </w:r>
      <w:bookmarkStart w:id="16" w:name="_Hlk57193667"/>
      <w:r>
        <w:rPr>
          <w:rFonts w:ascii="Times New Roman" w:hAnsi="Times New Roman"/>
          <w:szCs w:val="21"/>
        </w:rPr>
        <w:t>photocurrent</w:t>
      </w:r>
      <w:bookmarkEnd w:id="16"/>
      <w:r>
        <w:rPr>
          <w:rFonts w:ascii="Times New Roman" w:hAnsi="Times New Roman"/>
          <w:szCs w:val="21"/>
        </w:rPr>
        <w:t xml:space="preserve"> (PC) responses, </w:t>
      </w:r>
      <w:bookmarkStart w:id="17" w:name="_Hlk57193658"/>
      <w:r>
        <w:rPr>
          <w:rFonts w:ascii="Times New Roman" w:hAnsi="Times New Roman"/>
          <w:szCs w:val="21"/>
        </w:rPr>
        <w:t xml:space="preserve">electrochemical impedance spectroscopy </w:t>
      </w:r>
      <w:bookmarkEnd w:id="17"/>
      <w:r>
        <w:rPr>
          <w:rFonts w:ascii="Times New Roman" w:hAnsi="Times New Roman"/>
          <w:szCs w:val="21"/>
        </w:rPr>
        <w:t xml:space="preserve">(EIS), </w:t>
      </w:r>
      <w:bookmarkStart w:id="18" w:name="_Hlk51747850"/>
      <w:r>
        <w:rPr>
          <w:rFonts w:ascii="Times New Roman" w:hAnsi="Times New Roman"/>
          <w:szCs w:val="21"/>
        </w:rPr>
        <w:t>and Mott-Schottky</w:t>
      </w:r>
      <w:bookmarkEnd w:id="18"/>
      <w:r>
        <w:rPr>
          <w:rFonts w:ascii="Times New Roman" w:hAnsi="Times New Roman"/>
          <w:szCs w:val="21"/>
        </w:rPr>
        <w:t xml:space="preserve"> measurements. The test was operated at room temperature. The photocatalyst, Ag/AgCl (saturated KCl), and a Pt wire were used as the working electrode, the reference electrode, and the counter electrode, respectively. The coated area of the photocatalyst on the ITO glass was 1×1 cm and </w:t>
      </w:r>
      <w:bookmarkStart w:id="19" w:name="OLE_LINK24"/>
      <w:bookmarkStart w:id="20" w:name="OLE_LINK23"/>
      <w:r>
        <w:rPr>
          <w:rFonts w:ascii="Times New Roman" w:hAnsi="Times New Roman"/>
          <w:szCs w:val="21"/>
        </w:rPr>
        <w:t>Na</w:t>
      </w:r>
      <w:r>
        <w:rPr>
          <w:rFonts w:ascii="Times New Roman" w:hAnsi="Times New Roman"/>
          <w:szCs w:val="21"/>
          <w:vertAlign w:val="subscript"/>
        </w:rPr>
        <w:t>2</w:t>
      </w:r>
      <w:r>
        <w:rPr>
          <w:rFonts w:ascii="Times New Roman" w:hAnsi="Times New Roman"/>
          <w:szCs w:val="21"/>
        </w:rPr>
        <w:t>SO</w:t>
      </w:r>
      <w:r>
        <w:rPr>
          <w:rFonts w:ascii="Times New Roman" w:hAnsi="Times New Roman"/>
          <w:szCs w:val="21"/>
          <w:vertAlign w:val="subscript"/>
        </w:rPr>
        <w:t>4</w:t>
      </w:r>
      <w:bookmarkEnd w:id="19"/>
      <w:bookmarkEnd w:id="20"/>
      <w:r>
        <w:rPr>
          <w:rFonts w:ascii="Times New Roman" w:hAnsi="Times New Roman"/>
          <w:szCs w:val="21"/>
        </w:rPr>
        <w:t xml:space="preserve"> (0.5 M) aqueous solution was used as the electrolyte. For PC measurement, </w:t>
      </w:r>
      <w:bookmarkStart w:id="21" w:name="OLE_LINK1"/>
      <w:r>
        <w:rPr>
          <w:rFonts w:ascii="Times New Roman" w:hAnsi="Times New Roman"/>
          <w:szCs w:val="21"/>
        </w:rPr>
        <w:t xml:space="preserve">a 300 W Xe lamp was </w:t>
      </w:r>
      <w:r>
        <w:rPr>
          <w:rFonts w:hint="eastAsia" w:ascii="Times New Roman" w:hAnsi="Times New Roman"/>
          <w:szCs w:val="21"/>
          <w:lang w:val="en-US" w:eastAsia="zh-CN"/>
        </w:rPr>
        <w:t>used</w:t>
      </w:r>
      <w:r>
        <w:rPr>
          <w:rFonts w:ascii="Times New Roman" w:hAnsi="Times New Roman"/>
          <w:szCs w:val="21"/>
        </w:rPr>
        <w:t xml:space="preserve"> as the light source</w:t>
      </w:r>
      <w:bookmarkEnd w:id="21"/>
      <w:r>
        <w:rPr>
          <w:rFonts w:ascii="Times New Roman" w:hAnsi="Times New Roman"/>
          <w:szCs w:val="21"/>
        </w:rPr>
        <w:t xml:space="preserve">. </w:t>
      </w:r>
      <w:r>
        <w:rPr>
          <w:rFonts w:ascii="Times New Roman" w:hAnsi="Times New Roman" w:eastAsia="宋体"/>
          <w:szCs w:val="21"/>
        </w:rPr>
        <w:t>photoluminescence (PL)</w:t>
      </w:r>
      <w:r>
        <w:rPr>
          <w:rFonts w:ascii="Times New Roman" w:hAnsi="Times New Roman"/>
          <w:szCs w:val="21"/>
        </w:rPr>
        <w:t xml:space="preserve"> spectra of the photocatalyst were recorded on an FLS-920 fluorescence spectrometer manufactured by Edinburgh-Instrument, UK.  </w:t>
      </w:r>
    </w:p>
    <w:p>
      <w:pPr>
        <w:widowControl/>
        <w:jc w:val="left"/>
        <w:rPr>
          <w:rFonts w:ascii="Times New Roman" w:hAnsi="Times New Roman"/>
        </w:rPr>
      </w:pPr>
    </w:p>
    <w:p>
      <w:pPr>
        <w:spacing w:line="480" w:lineRule="auto"/>
        <w:rPr>
          <w:rFonts w:ascii="Times New Roman" w:hAnsi="Times New Roman"/>
          <w:szCs w:val="21"/>
        </w:rPr>
      </w:pPr>
    </w:p>
    <w:p>
      <w:pPr>
        <w:widowControl/>
        <w:shd w:val="clear" w:color="auto" w:fill="FFFFFF"/>
        <w:spacing w:line="276" w:lineRule="auto"/>
      </w:pPr>
      <w:r>
        <w:t xml:space="preserve"> </w:t>
      </w:r>
      <w:r>
        <w:drawing>
          <wp:inline distT="0" distB="0" distL="0" distR="0">
            <wp:extent cx="5274310" cy="2518410"/>
            <wp:effectExtent l="0" t="0" r="2540" b="0"/>
            <wp:docPr id="1417968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9680" name="图片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jc w:val="center"/>
        <w:rPr>
          <w:rFonts w:ascii="Times New Roman" w:hAnsi="Times New Roman"/>
          <w:szCs w:val="21"/>
        </w:rPr>
      </w:pPr>
      <w:r>
        <w:rPr>
          <w:rFonts w:ascii="Times New Roman" w:hAnsi="Times New Roman"/>
          <w:b/>
          <w:bCs/>
        </w:rPr>
        <w:t xml:space="preserve">Figure S1 </w:t>
      </w:r>
      <w:r>
        <w:rPr>
          <w:rFonts w:ascii="Times New Roman" w:hAnsi="Times New Roman"/>
          <w:szCs w:val="21"/>
        </w:rPr>
        <w:t>UV-vis curves of various NH</w:t>
      </w:r>
      <w:r>
        <w:rPr>
          <w:rFonts w:ascii="Times New Roman" w:hAnsi="Times New Roman"/>
          <w:szCs w:val="21"/>
          <w:vertAlign w:val="subscript"/>
        </w:rPr>
        <w:t>3</w:t>
      </w:r>
      <w:r>
        <w:rPr>
          <w:rFonts w:ascii="Times New Roman" w:hAnsi="Times New Roman"/>
          <w:szCs w:val="21"/>
        </w:rPr>
        <w:t xml:space="preserve"> concentrations after incubation for 12 min at room temperature and the (b) calibration curve used for the estimation of the NH</w:t>
      </w:r>
      <w:r>
        <w:rPr>
          <w:rFonts w:ascii="Times New Roman" w:hAnsi="Times New Roman"/>
          <w:szCs w:val="21"/>
          <w:vertAlign w:val="subscript"/>
        </w:rPr>
        <w:t>3</w:t>
      </w:r>
      <w:r>
        <w:rPr>
          <w:rFonts w:ascii="Times New Roman" w:hAnsi="Times New Roman"/>
          <w:szCs w:val="21"/>
        </w:rPr>
        <w:t xml:space="preserve"> concentration</w:t>
      </w:r>
    </w:p>
    <w:p>
      <w:pPr>
        <w:spacing w:line="480" w:lineRule="auto"/>
        <w:rPr>
          <w:rFonts w:ascii="Times New Roman" w:hAnsi="Times New Roman"/>
          <w:szCs w:val="21"/>
        </w:rPr>
      </w:pPr>
    </w:p>
    <w:p>
      <w:pPr>
        <w:spacing w:line="480" w:lineRule="auto"/>
        <w:jc w:val="center"/>
        <w:rPr>
          <w:rFonts w:ascii="Times New Roman" w:hAnsi="Times New Roman"/>
          <w:szCs w:val="21"/>
        </w:rPr>
      </w:pPr>
      <w:r>
        <w:drawing>
          <wp:inline distT="0" distB="0" distL="0" distR="0">
            <wp:extent cx="2879725" cy="2879725"/>
            <wp:effectExtent l="0" t="0" r="0" b="0"/>
            <wp:docPr id="151906674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066741" name="图片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80" w:lineRule="auto"/>
        <w:jc w:val="center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b/>
          <w:bCs/>
          <w:szCs w:val="21"/>
        </w:rPr>
        <w:t>F</w:t>
      </w:r>
      <w:r>
        <w:rPr>
          <w:rFonts w:ascii="Times New Roman" w:hAnsi="Times New Roman"/>
          <w:b/>
          <w:bCs/>
          <w:szCs w:val="21"/>
        </w:rPr>
        <w:t>igure S2</w:t>
      </w:r>
      <w:r>
        <w:rPr>
          <w:rFonts w:ascii="Times New Roman" w:hAnsi="Times New Roman"/>
          <w:szCs w:val="21"/>
        </w:rPr>
        <w:t xml:space="preserve"> O1s XPS spectra of KNbO</w:t>
      </w:r>
      <w:r>
        <w:rPr>
          <w:rFonts w:ascii="Times New Roman" w:hAnsi="Times New Roman"/>
          <w:szCs w:val="21"/>
          <w:vertAlign w:val="subscript"/>
        </w:rPr>
        <w:t>3</w:t>
      </w:r>
      <w:r>
        <w:rPr>
          <w:rFonts w:ascii="Times New Roman" w:hAnsi="Times New Roman"/>
          <w:szCs w:val="21"/>
        </w:rPr>
        <w:t>, Bi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</w:rPr>
        <w:t>O</w:t>
      </w:r>
      <w:r>
        <w:rPr>
          <w:rFonts w:ascii="Times New Roman" w:hAnsi="Times New Roman"/>
          <w:szCs w:val="21"/>
          <w:vertAlign w:val="subscript"/>
        </w:rPr>
        <w:t>5</w:t>
      </w:r>
      <w:r>
        <w:rPr>
          <w:rFonts w:ascii="Times New Roman" w:hAnsi="Times New Roman"/>
          <w:szCs w:val="21"/>
        </w:rPr>
        <w:t>Br</w:t>
      </w:r>
      <w:r>
        <w:rPr>
          <w:rFonts w:ascii="Times New Roman" w:hAnsi="Times New Roman"/>
          <w:szCs w:val="21"/>
          <w:vertAlign w:val="subscript"/>
        </w:rPr>
        <w:t>2</w:t>
      </w:r>
      <w:r>
        <w:rPr>
          <w:rFonts w:ascii="Times New Roman" w:hAnsi="Times New Roman"/>
          <w:szCs w:val="21"/>
        </w:rPr>
        <w:t>, and 7.5% KNO/BOB</w:t>
      </w:r>
    </w:p>
    <w:p>
      <w:pPr>
        <w:spacing w:line="480" w:lineRule="auto"/>
        <w:jc w:val="center"/>
        <w:rPr>
          <w:rFonts w:ascii="Times New Roman" w:hAnsi="Times New Roman"/>
          <w:szCs w:val="21"/>
        </w:rPr>
      </w:pPr>
      <w:r>
        <w:drawing>
          <wp:inline distT="0" distB="0" distL="0" distR="0">
            <wp:extent cx="2879725" cy="2879725"/>
            <wp:effectExtent l="0" t="0" r="0" b="0"/>
            <wp:docPr id="175568059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680595" name="图片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80" w:lineRule="auto"/>
        <w:jc w:val="center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b/>
          <w:bCs/>
          <w:szCs w:val="21"/>
        </w:rPr>
        <w:t>F</w:t>
      </w:r>
      <w:r>
        <w:rPr>
          <w:rFonts w:ascii="Times New Roman" w:hAnsi="Times New Roman"/>
          <w:b/>
          <w:bCs/>
          <w:szCs w:val="21"/>
        </w:rPr>
        <w:t>igure S3</w:t>
      </w:r>
      <w:r>
        <w:rPr>
          <w:rFonts w:ascii="Times New Roman" w:hAnsi="Times New Roman"/>
          <w:szCs w:val="21"/>
        </w:rPr>
        <w:t xml:space="preserve"> N</w:t>
      </w:r>
      <w:r>
        <w:rPr>
          <w:rFonts w:ascii="Times New Roman" w:hAnsi="Times New Roman"/>
          <w:szCs w:val="21"/>
          <w:vertAlign w:val="subscript"/>
        </w:rPr>
        <w:t>2</w:t>
      </w:r>
      <w:r>
        <w:rPr>
          <w:rFonts w:ascii="Times New Roman" w:hAnsi="Times New Roman"/>
          <w:szCs w:val="21"/>
        </w:rPr>
        <w:t xml:space="preserve"> adsorption-desorption isothe</w:t>
      </w:r>
      <w:r>
        <w:rPr>
          <w:rFonts w:hint="eastAsia" w:ascii="Times New Roman" w:hAnsi="Times New Roman"/>
          <w:szCs w:val="21"/>
          <w:lang w:val="en-US" w:eastAsia="zh-CN"/>
        </w:rPr>
        <w:t>r</w:t>
      </w:r>
      <w:r>
        <w:rPr>
          <w:rFonts w:ascii="Times New Roman" w:hAnsi="Times New Roman"/>
          <w:szCs w:val="21"/>
        </w:rPr>
        <w:t>ms of KNbO</w:t>
      </w:r>
      <w:r>
        <w:rPr>
          <w:rFonts w:ascii="Times New Roman" w:hAnsi="Times New Roman"/>
          <w:szCs w:val="21"/>
          <w:vertAlign w:val="subscript"/>
        </w:rPr>
        <w:t>3</w:t>
      </w:r>
      <w:r>
        <w:rPr>
          <w:rFonts w:ascii="Times New Roman" w:hAnsi="Times New Roman"/>
          <w:szCs w:val="21"/>
        </w:rPr>
        <w:t>, Bi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</w:rPr>
        <w:t>O</w:t>
      </w:r>
      <w:r>
        <w:rPr>
          <w:rFonts w:ascii="Times New Roman" w:hAnsi="Times New Roman"/>
          <w:szCs w:val="21"/>
          <w:vertAlign w:val="subscript"/>
        </w:rPr>
        <w:t>5</w:t>
      </w:r>
      <w:r>
        <w:rPr>
          <w:rFonts w:ascii="Times New Roman" w:hAnsi="Times New Roman"/>
          <w:szCs w:val="21"/>
        </w:rPr>
        <w:t>Br</w:t>
      </w:r>
      <w:r>
        <w:rPr>
          <w:rFonts w:ascii="Times New Roman" w:hAnsi="Times New Roman"/>
          <w:szCs w:val="21"/>
          <w:vertAlign w:val="subscript"/>
        </w:rPr>
        <w:t>2</w:t>
      </w:r>
      <w:r>
        <w:rPr>
          <w:rFonts w:ascii="Times New Roman" w:hAnsi="Times New Roman"/>
          <w:szCs w:val="21"/>
        </w:rPr>
        <w:t>, and 7.5% KNO/BOB</w:t>
      </w:r>
    </w:p>
    <w:p>
      <w:pPr>
        <w:spacing w:line="480" w:lineRule="auto"/>
        <w:rPr>
          <w:rFonts w:ascii="Times New Roman" w:hAnsi="Times New Roman"/>
          <w:szCs w:val="21"/>
        </w:rPr>
      </w:pPr>
    </w:p>
    <w:p>
      <w:pPr>
        <w:spacing w:line="480" w:lineRule="auto"/>
        <w:jc w:val="center"/>
        <w:rPr>
          <w:rFonts w:ascii="Times New Roman" w:hAnsi="Times New Roman" w:eastAsia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eastAsia="zh-CN" w:bidi="zh-CN"/>
        </w:rPr>
      </w:pPr>
      <w:r>
        <w:drawing>
          <wp:inline distT="0" distB="0" distL="0" distR="0">
            <wp:extent cx="2879725" cy="2879725"/>
            <wp:effectExtent l="0" t="0" r="0" b="0"/>
            <wp:docPr id="74067757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677571" name="图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80" w:lineRule="auto"/>
        <w:jc w:val="center"/>
        <w:rPr>
          <w:rFonts w:ascii="Times New Roman" w:hAnsi="Times New Roman"/>
          <w:szCs w:val="21"/>
        </w:rPr>
      </w:pPr>
      <w:r>
        <w:rPr>
          <w:rFonts w:ascii="Times New Roman" w:hAnsi="Times New Roman"/>
          <w:b/>
          <w:bCs/>
          <w:szCs w:val="21"/>
        </w:rPr>
        <w:t xml:space="preserve">Figure S4 </w:t>
      </w:r>
      <w:r>
        <w:rPr>
          <w:rFonts w:ascii="Times New Roman" w:hAnsi="Times New Roman"/>
          <w:szCs w:val="21"/>
        </w:rPr>
        <w:t>XRD patterns of 7.5% KNO/BOB composite before and after reaction</w:t>
      </w:r>
    </w:p>
    <w:p>
      <w:pPr>
        <w:spacing w:line="480" w:lineRule="auto"/>
        <w:jc w:val="center"/>
        <w:rPr>
          <w:rFonts w:ascii="Times New Roman" w:hAnsi="Times New Roman"/>
          <w:szCs w:val="21"/>
        </w:rPr>
      </w:pPr>
    </w:p>
    <w:p>
      <w:pPr>
        <w:spacing w:line="480" w:lineRule="auto"/>
        <w:jc w:val="center"/>
        <w:rPr>
          <w:rFonts w:ascii="Times New Roman" w:hAnsi="Times New Roman"/>
          <w:szCs w:val="21"/>
        </w:rPr>
      </w:pPr>
    </w:p>
    <w:p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drawing>
          <wp:inline distT="0" distB="0" distL="0" distR="0">
            <wp:extent cx="5274310" cy="2570480"/>
            <wp:effectExtent l="0" t="0" r="2540" b="1270"/>
            <wp:docPr id="14038508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850805" name="图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Figure S5 </w:t>
      </w: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 xml:space="preserve">H NMR spectra of various </w:t>
      </w:r>
      <w:r>
        <w:rPr>
          <w:rFonts w:ascii="Times New Roman" w:hAnsi="Times New Roman"/>
          <w:vertAlign w:val="superscript"/>
        </w:rPr>
        <w:t>14</w:t>
      </w:r>
      <w:r>
        <w:rPr>
          <w:rFonts w:ascii="Times New Roman" w:hAnsi="Times New Roman"/>
        </w:rPr>
        <w:t>NH</w:t>
      </w:r>
      <w:r>
        <w:rPr>
          <w:rFonts w:ascii="Times New Roman" w:hAnsi="Times New Roman"/>
          <w:vertAlign w:val="subscript"/>
        </w:rPr>
        <w:t>4</w:t>
      </w:r>
      <w:r>
        <w:rPr>
          <w:rFonts w:ascii="Times New Roman" w:hAnsi="Times New Roman"/>
          <w:vertAlign w:val="superscript"/>
        </w:rPr>
        <w:t>+</w:t>
      </w:r>
      <w:r>
        <w:rPr>
          <w:rFonts w:ascii="Times New Roman" w:hAnsi="Times New Roman"/>
        </w:rPr>
        <w:t xml:space="preserve"> solutions (a) and the standard curve line obtained via the external standard method (b).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Garamond-Italic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Garamond-Regular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43466224"/>
      <w:docPartObj>
        <w:docPartGallery w:val="autotext"/>
      </w:docPartObj>
    </w:sdtPr>
    <w:sdtContent>
      <w:p>
        <w:pPr>
          <w:pStyle w:val="4"/>
          <w:jc w:val="center"/>
        </w:pPr>
        <w:r>
          <w:t>S</w:t>
        </w: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NkNmE1MzBiZjczOTI0ZGZjMzY0OGE3YWY1MTI2YjcifQ=="/>
  </w:docVars>
  <w:rsids>
    <w:rsidRoot w:val="00846716"/>
    <w:rsid w:val="00003296"/>
    <w:rsid w:val="00015221"/>
    <w:rsid w:val="00017503"/>
    <w:rsid w:val="00034520"/>
    <w:rsid w:val="00053035"/>
    <w:rsid w:val="000558D3"/>
    <w:rsid w:val="00071CE7"/>
    <w:rsid w:val="00091B4E"/>
    <w:rsid w:val="000972E6"/>
    <w:rsid w:val="000C3283"/>
    <w:rsid w:val="000C5D9D"/>
    <w:rsid w:val="000D426D"/>
    <w:rsid w:val="000E2504"/>
    <w:rsid w:val="00122DFF"/>
    <w:rsid w:val="00124E92"/>
    <w:rsid w:val="00130F4E"/>
    <w:rsid w:val="00172360"/>
    <w:rsid w:val="00173D31"/>
    <w:rsid w:val="001805A5"/>
    <w:rsid w:val="00184A2A"/>
    <w:rsid w:val="001C1417"/>
    <w:rsid w:val="001C2C4F"/>
    <w:rsid w:val="001C516C"/>
    <w:rsid w:val="001E2C97"/>
    <w:rsid w:val="002133F5"/>
    <w:rsid w:val="0023294C"/>
    <w:rsid w:val="00255D2F"/>
    <w:rsid w:val="0026510C"/>
    <w:rsid w:val="00283E97"/>
    <w:rsid w:val="00296300"/>
    <w:rsid w:val="002B2DE7"/>
    <w:rsid w:val="00300D66"/>
    <w:rsid w:val="003175A0"/>
    <w:rsid w:val="00323D3F"/>
    <w:rsid w:val="00357AF1"/>
    <w:rsid w:val="0038166F"/>
    <w:rsid w:val="003817BB"/>
    <w:rsid w:val="003B0D7D"/>
    <w:rsid w:val="003B1452"/>
    <w:rsid w:val="003B2994"/>
    <w:rsid w:val="003C13C6"/>
    <w:rsid w:val="003C30FD"/>
    <w:rsid w:val="003E1775"/>
    <w:rsid w:val="00406BEE"/>
    <w:rsid w:val="00411199"/>
    <w:rsid w:val="00434CD1"/>
    <w:rsid w:val="0044364D"/>
    <w:rsid w:val="0047118F"/>
    <w:rsid w:val="00476951"/>
    <w:rsid w:val="00494484"/>
    <w:rsid w:val="004A18F5"/>
    <w:rsid w:val="004A1D18"/>
    <w:rsid w:val="004B5E72"/>
    <w:rsid w:val="004D085C"/>
    <w:rsid w:val="004E45A2"/>
    <w:rsid w:val="004F2EF7"/>
    <w:rsid w:val="00503DCC"/>
    <w:rsid w:val="00521249"/>
    <w:rsid w:val="00524CFB"/>
    <w:rsid w:val="005309D6"/>
    <w:rsid w:val="00544D62"/>
    <w:rsid w:val="00546BE0"/>
    <w:rsid w:val="005714F0"/>
    <w:rsid w:val="00597AB7"/>
    <w:rsid w:val="005A414B"/>
    <w:rsid w:val="005C06B9"/>
    <w:rsid w:val="005C0720"/>
    <w:rsid w:val="005C0EF4"/>
    <w:rsid w:val="005C1F93"/>
    <w:rsid w:val="005D15C7"/>
    <w:rsid w:val="005D58AE"/>
    <w:rsid w:val="005E1BFC"/>
    <w:rsid w:val="005E63E3"/>
    <w:rsid w:val="006021EE"/>
    <w:rsid w:val="00603F42"/>
    <w:rsid w:val="006261BD"/>
    <w:rsid w:val="006271AD"/>
    <w:rsid w:val="006416B4"/>
    <w:rsid w:val="00654B9F"/>
    <w:rsid w:val="00661410"/>
    <w:rsid w:val="00664B60"/>
    <w:rsid w:val="0067389E"/>
    <w:rsid w:val="006A4B53"/>
    <w:rsid w:val="006A7140"/>
    <w:rsid w:val="006B5148"/>
    <w:rsid w:val="006B5945"/>
    <w:rsid w:val="006E721B"/>
    <w:rsid w:val="006E79DD"/>
    <w:rsid w:val="00713B3A"/>
    <w:rsid w:val="007251A8"/>
    <w:rsid w:val="007264FE"/>
    <w:rsid w:val="00735C6A"/>
    <w:rsid w:val="007475C7"/>
    <w:rsid w:val="00754537"/>
    <w:rsid w:val="00754B8B"/>
    <w:rsid w:val="00757E0D"/>
    <w:rsid w:val="0077217A"/>
    <w:rsid w:val="007C734D"/>
    <w:rsid w:val="007E199F"/>
    <w:rsid w:val="007F5809"/>
    <w:rsid w:val="007F7744"/>
    <w:rsid w:val="00804FAE"/>
    <w:rsid w:val="0081601E"/>
    <w:rsid w:val="00846716"/>
    <w:rsid w:val="008711DC"/>
    <w:rsid w:val="00877D28"/>
    <w:rsid w:val="00885D3F"/>
    <w:rsid w:val="008B2AD8"/>
    <w:rsid w:val="008B3D51"/>
    <w:rsid w:val="008D3463"/>
    <w:rsid w:val="00900AA5"/>
    <w:rsid w:val="0090316C"/>
    <w:rsid w:val="0091487F"/>
    <w:rsid w:val="009207EA"/>
    <w:rsid w:val="0092162F"/>
    <w:rsid w:val="00926555"/>
    <w:rsid w:val="009502BB"/>
    <w:rsid w:val="009543E7"/>
    <w:rsid w:val="009573B4"/>
    <w:rsid w:val="00984874"/>
    <w:rsid w:val="009B4391"/>
    <w:rsid w:val="00A05191"/>
    <w:rsid w:val="00A12AD7"/>
    <w:rsid w:val="00A270B9"/>
    <w:rsid w:val="00A54C1F"/>
    <w:rsid w:val="00A66265"/>
    <w:rsid w:val="00A7246E"/>
    <w:rsid w:val="00A728CE"/>
    <w:rsid w:val="00A80592"/>
    <w:rsid w:val="00AA4C4C"/>
    <w:rsid w:val="00AC5DD5"/>
    <w:rsid w:val="00AD1ACD"/>
    <w:rsid w:val="00AD42DC"/>
    <w:rsid w:val="00B04A35"/>
    <w:rsid w:val="00B06AFB"/>
    <w:rsid w:val="00B26113"/>
    <w:rsid w:val="00B40DFC"/>
    <w:rsid w:val="00B531F1"/>
    <w:rsid w:val="00B63448"/>
    <w:rsid w:val="00B66195"/>
    <w:rsid w:val="00B85FFF"/>
    <w:rsid w:val="00B87544"/>
    <w:rsid w:val="00BA7A3B"/>
    <w:rsid w:val="00BB7E52"/>
    <w:rsid w:val="00BC0B6D"/>
    <w:rsid w:val="00BC2A99"/>
    <w:rsid w:val="00BC6562"/>
    <w:rsid w:val="00BD030E"/>
    <w:rsid w:val="00C13A1F"/>
    <w:rsid w:val="00C2308A"/>
    <w:rsid w:val="00C23ED2"/>
    <w:rsid w:val="00C45EE1"/>
    <w:rsid w:val="00C465D0"/>
    <w:rsid w:val="00C721CC"/>
    <w:rsid w:val="00C9013A"/>
    <w:rsid w:val="00C9476A"/>
    <w:rsid w:val="00C97E6E"/>
    <w:rsid w:val="00CA0AC0"/>
    <w:rsid w:val="00CB5A08"/>
    <w:rsid w:val="00CC7207"/>
    <w:rsid w:val="00CF38CE"/>
    <w:rsid w:val="00D03AD0"/>
    <w:rsid w:val="00D12E72"/>
    <w:rsid w:val="00D3217F"/>
    <w:rsid w:val="00D47D27"/>
    <w:rsid w:val="00D731C1"/>
    <w:rsid w:val="00D83625"/>
    <w:rsid w:val="00D85F22"/>
    <w:rsid w:val="00D8645C"/>
    <w:rsid w:val="00D931DF"/>
    <w:rsid w:val="00DA0FA9"/>
    <w:rsid w:val="00DA4089"/>
    <w:rsid w:val="00DA4898"/>
    <w:rsid w:val="00DB70E6"/>
    <w:rsid w:val="00DF18C1"/>
    <w:rsid w:val="00E15D90"/>
    <w:rsid w:val="00E24253"/>
    <w:rsid w:val="00E52A2E"/>
    <w:rsid w:val="00E57D02"/>
    <w:rsid w:val="00E61890"/>
    <w:rsid w:val="00E96123"/>
    <w:rsid w:val="00EA44D4"/>
    <w:rsid w:val="00F22BC5"/>
    <w:rsid w:val="00F24025"/>
    <w:rsid w:val="00F57695"/>
    <w:rsid w:val="00F60EAA"/>
    <w:rsid w:val="00F6547B"/>
    <w:rsid w:val="00F71B8F"/>
    <w:rsid w:val="00F72D84"/>
    <w:rsid w:val="00F96D3E"/>
    <w:rsid w:val="00FA245D"/>
    <w:rsid w:val="00FA3052"/>
    <w:rsid w:val="00FB2493"/>
    <w:rsid w:val="00FC037A"/>
    <w:rsid w:val="00FC2668"/>
    <w:rsid w:val="00FE2BB6"/>
    <w:rsid w:val="135E1555"/>
    <w:rsid w:val="1B693508"/>
    <w:rsid w:val="1DBE424E"/>
    <w:rsid w:val="475F43C0"/>
    <w:rsid w:val="48017A71"/>
    <w:rsid w:val="5DD9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Subtitle"/>
    <w:basedOn w:val="1"/>
    <w:next w:val="1"/>
    <w:link w:val="21"/>
    <w:autoRedefine/>
    <w:qFormat/>
    <w:uiPriority w:val="11"/>
    <w:pPr>
      <w:spacing w:before="240" w:after="60" w:line="312" w:lineRule="auto"/>
      <w:jc w:val="center"/>
      <w:outlineLvl w:val="1"/>
    </w:pPr>
    <w:rPr>
      <w:rFonts w:asciiTheme="minorHAnsi" w:hAnsiTheme="minorHAnsi" w:eastAsiaTheme="minorEastAsia" w:cstheme="minorBidi"/>
      <w:b/>
      <w:bCs/>
      <w:kern w:val="28"/>
      <w:sz w:val="32"/>
      <w:szCs w:val="32"/>
    </w:rPr>
  </w:style>
  <w:style w:type="character" w:styleId="9">
    <w:name w:val="Hyperlink"/>
    <w:basedOn w:val="8"/>
    <w:autoRedefine/>
    <w:unhideWhenUsed/>
    <w:qFormat/>
    <w:uiPriority w:val="99"/>
    <w:rPr>
      <w:color w:val="0000FF"/>
      <w:u w:val="single"/>
    </w:rPr>
  </w:style>
  <w:style w:type="character" w:customStyle="1" w:styleId="10">
    <w:name w:val="页眉 字符"/>
    <w:link w:val="5"/>
    <w:autoRedefine/>
    <w:qFormat/>
    <w:uiPriority w:val="99"/>
    <w:rPr>
      <w:sz w:val="18"/>
      <w:szCs w:val="18"/>
    </w:rPr>
  </w:style>
  <w:style w:type="character" w:customStyle="1" w:styleId="11">
    <w:name w:val="页脚 字符"/>
    <w:link w:val="4"/>
    <w:autoRedefine/>
    <w:qFormat/>
    <w:uiPriority w:val="99"/>
    <w:rPr>
      <w:sz w:val="18"/>
      <w:szCs w:val="18"/>
    </w:rPr>
  </w:style>
  <w:style w:type="character" w:customStyle="1" w:styleId="12">
    <w:name w:val="fontstyle01"/>
    <w:autoRedefine/>
    <w:qFormat/>
    <w:uiPriority w:val="0"/>
    <w:rPr>
      <w:rFonts w:hint="default" w:ascii="AGaramond-Italic" w:hAnsi="AGaramond-Italic"/>
      <w:i/>
      <w:iCs/>
      <w:color w:val="242021"/>
      <w:sz w:val="20"/>
      <w:szCs w:val="20"/>
    </w:rPr>
  </w:style>
  <w:style w:type="character" w:customStyle="1" w:styleId="13">
    <w:name w:val="fontstyle21"/>
    <w:autoRedefine/>
    <w:qFormat/>
    <w:uiPriority w:val="0"/>
    <w:rPr>
      <w:rFonts w:hint="default" w:ascii="AGaramond-Regular" w:hAnsi="AGaramond-Regular"/>
      <w:color w:val="242021"/>
      <w:sz w:val="20"/>
      <w:szCs w:val="20"/>
    </w:rPr>
  </w:style>
  <w:style w:type="character" w:customStyle="1" w:styleId="14">
    <w:name w:val="fontstyle41"/>
    <w:autoRedefine/>
    <w:qFormat/>
    <w:uiPriority w:val="0"/>
    <w:rPr>
      <w:rFonts w:hint="default" w:ascii="Symbol" w:hAnsi="Symbol"/>
      <w:color w:val="242021"/>
      <w:sz w:val="20"/>
      <w:szCs w:val="20"/>
    </w:rPr>
  </w:style>
  <w:style w:type="character" w:customStyle="1" w:styleId="15">
    <w:name w:val="批注框文本 字符"/>
    <w:basedOn w:val="8"/>
    <w:link w:val="3"/>
    <w:autoRedefine/>
    <w:semiHidden/>
    <w:qFormat/>
    <w:uiPriority w:val="99"/>
    <w:rPr>
      <w:kern w:val="2"/>
      <w:sz w:val="18"/>
      <w:szCs w:val="18"/>
    </w:rPr>
  </w:style>
  <w:style w:type="paragraph" w:customStyle="1" w:styleId="16">
    <w:name w:val="BB_Author_Name"/>
    <w:basedOn w:val="1"/>
    <w:next w:val="17"/>
    <w:autoRedefine/>
    <w:qFormat/>
    <w:uiPriority w:val="0"/>
    <w:pPr>
      <w:widowControl/>
      <w:spacing w:after="240" w:line="480" w:lineRule="auto"/>
      <w:jc w:val="center"/>
    </w:pPr>
    <w:rPr>
      <w:rFonts w:ascii="Times" w:hAnsi="Times" w:eastAsia="宋体"/>
      <w:i/>
      <w:kern w:val="0"/>
      <w:sz w:val="24"/>
      <w:szCs w:val="20"/>
      <w:lang w:eastAsia="en-US"/>
    </w:rPr>
  </w:style>
  <w:style w:type="paragraph" w:customStyle="1" w:styleId="17">
    <w:name w:val="BC_Author_Address"/>
    <w:basedOn w:val="1"/>
    <w:next w:val="18"/>
    <w:autoRedefine/>
    <w:qFormat/>
    <w:uiPriority w:val="0"/>
    <w:pPr>
      <w:widowControl/>
      <w:spacing w:after="240" w:line="480" w:lineRule="auto"/>
      <w:jc w:val="center"/>
    </w:pPr>
    <w:rPr>
      <w:rFonts w:ascii="Times" w:hAnsi="Times" w:eastAsia="宋体"/>
      <w:kern w:val="0"/>
      <w:sz w:val="24"/>
      <w:szCs w:val="20"/>
      <w:lang w:eastAsia="en-US"/>
    </w:rPr>
  </w:style>
  <w:style w:type="paragraph" w:customStyle="1" w:styleId="18">
    <w:name w:val="BI_Email_Address"/>
    <w:basedOn w:val="1"/>
    <w:next w:val="1"/>
    <w:link w:val="19"/>
    <w:autoRedefine/>
    <w:qFormat/>
    <w:uiPriority w:val="0"/>
    <w:pPr>
      <w:widowControl/>
      <w:spacing w:after="200" w:line="480" w:lineRule="auto"/>
    </w:pPr>
    <w:rPr>
      <w:rFonts w:ascii="Times" w:hAnsi="Times" w:eastAsia="宋体"/>
      <w:kern w:val="0"/>
      <w:sz w:val="24"/>
      <w:szCs w:val="20"/>
      <w:lang w:eastAsia="en-US"/>
    </w:rPr>
  </w:style>
  <w:style w:type="character" w:customStyle="1" w:styleId="19">
    <w:name w:val="BI_Email_Address Char"/>
    <w:basedOn w:val="8"/>
    <w:link w:val="18"/>
    <w:autoRedefine/>
    <w:qFormat/>
    <w:uiPriority w:val="0"/>
    <w:rPr>
      <w:rFonts w:ascii="Times" w:hAnsi="Times" w:eastAsia="宋体"/>
      <w:sz w:val="24"/>
      <w:lang w:eastAsia="en-US"/>
    </w:rPr>
  </w:style>
  <w:style w:type="paragraph" w:customStyle="1" w:styleId="20">
    <w:name w:val="TA_Main_Text"/>
    <w:basedOn w:val="1"/>
    <w:autoRedefine/>
    <w:qFormat/>
    <w:uiPriority w:val="0"/>
    <w:pPr>
      <w:widowControl/>
      <w:spacing w:line="480" w:lineRule="auto"/>
      <w:ind w:firstLine="420" w:firstLineChars="200"/>
    </w:pPr>
    <w:rPr>
      <w:rFonts w:ascii="Times New Roman" w:hAnsi="Times New Roman" w:eastAsia="宋体"/>
      <w:kern w:val="0"/>
      <w:szCs w:val="21"/>
    </w:rPr>
  </w:style>
  <w:style w:type="character" w:customStyle="1" w:styleId="21">
    <w:name w:val="副标题 字符"/>
    <w:basedOn w:val="8"/>
    <w:link w:val="6"/>
    <w:autoRedefine/>
    <w:qFormat/>
    <w:uiPriority w:val="11"/>
    <w:rPr>
      <w:rFonts w:asciiTheme="minorHAnsi" w:hAnsiTheme="minorHAnsi" w:eastAsiaTheme="minorEastAsia" w:cstheme="minorBidi"/>
      <w:b/>
      <w:bCs/>
      <w:kern w:val="28"/>
      <w:sz w:val="32"/>
      <w:szCs w:val="32"/>
    </w:rPr>
  </w:style>
  <w:style w:type="paragraph" w:customStyle="1" w:styleId="22">
    <w:name w:val="TF_References_Section"/>
    <w:basedOn w:val="1"/>
    <w:autoRedefine/>
    <w:qFormat/>
    <w:uiPriority w:val="0"/>
    <w:pPr>
      <w:widowControl/>
      <w:spacing w:after="200" w:line="480" w:lineRule="auto"/>
      <w:ind w:firstLine="187"/>
    </w:pPr>
    <w:rPr>
      <w:rFonts w:ascii="Times" w:hAnsi="Times" w:eastAsia="宋体"/>
      <w:kern w:val="0"/>
      <w:sz w:val="24"/>
      <w:szCs w:val="20"/>
      <w:lang w:eastAsia="en-US"/>
    </w:rPr>
  </w:style>
  <w:style w:type="paragraph" w:customStyle="1" w:styleId="23">
    <w:name w:val="BG_Keywords"/>
    <w:basedOn w:val="1"/>
    <w:autoRedefine/>
    <w:qFormat/>
    <w:uiPriority w:val="0"/>
    <w:pPr>
      <w:widowControl/>
      <w:spacing w:after="200" w:line="480" w:lineRule="auto"/>
    </w:pPr>
    <w:rPr>
      <w:rFonts w:ascii="Times" w:hAnsi="Times" w:eastAsia="宋体"/>
      <w:kern w:val="0"/>
      <w:sz w:val="24"/>
      <w:szCs w:val="20"/>
      <w:lang w:eastAsia="en-US"/>
    </w:rPr>
  </w:style>
  <w:style w:type="paragraph" w:styleId="24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 w:eastAsia="宋体"/>
    </w:rPr>
  </w:style>
  <w:style w:type="character" w:customStyle="1" w:styleId="25">
    <w:name w:val="Unresolved Mention"/>
    <w:basedOn w:val="8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tiff"/><Relationship Id="rId8" Type="http://schemas.openxmlformats.org/officeDocument/2006/relationships/image" Target="media/image4.tiff"/><Relationship Id="rId7" Type="http://schemas.openxmlformats.org/officeDocument/2006/relationships/image" Target="media/image3.tiff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846</Words>
  <Characters>4828</Characters>
  <Lines>41</Lines>
  <Paragraphs>11</Paragraphs>
  <TotalTime>48</TotalTime>
  <ScaleCrop>false</ScaleCrop>
  <LinksUpToDate>false</LinksUpToDate>
  <CharactersWithSpaces>5657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2023-12-07T01:11:00Z</dcterms:created>
  <dc:creator>Administrator</dc:creator>
  <cp:lastModifiedBy>Lihong</cp:lastModifiedBy>
  <dcterms:modified xsi:type="dcterms:W3CDTF">2024-05-16T03:16:39Z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F5E8C8707ED8423EB2E2E940B1959BA0_13</vt:lpwstr>
  </property>
</Properties>
</file>