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79F668">
      <w:pPr>
        <w:widowControl/>
        <w:jc w:val="left"/>
        <w:rPr>
          <w:rFonts w:ascii="Times New Roman" w:hAnsi="Times New Roman" w:cs="Times New Roman"/>
          <w:b/>
          <w:bCs/>
          <w:sz w:val="28"/>
          <w:szCs w:val="28"/>
        </w:rPr>
      </w:pPr>
      <w:r>
        <w:rPr>
          <w:rFonts w:ascii="Times New Roman" w:hAnsi="Times New Roman" w:cs="Times New Roman"/>
          <w:b/>
          <w:bCs/>
          <w:sz w:val="28"/>
          <w:szCs w:val="28"/>
        </w:rPr>
        <w:t>1 Methods</w:t>
      </w:r>
    </w:p>
    <w:p w14:paraId="7811E56E">
      <w:pPr>
        <w:spacing w:line="480" w:lineRule="auto"/>
        <w:rPr>
          <w:rFonts w:ascii="Times New Roman" w:hAnsi="Times New Roman" w:cs="Times New Roman"/>
          <w:b/>
          <w:bCs/>
          <w:i/>
          <w:iCs/>
          <w:sz w:val="24"/>
          <w:szCs w:val="24"/>
        </w:rPr>
      </w:pPr>
      <w:r>
        <w:rPr>
          <w:rFonts w:ascii="Times New Roman" w:hAnsi="Times New Roman" w:cs="Times New Roman"/>
          <w:b/>
          <w:bCs/>
          <w:i/>
          <w:iCs/>
          <w:sz w:val="24"/>
          <w:szCs w:val="24"/>
        </w:rPr>
        <w:t>1.1 Numerical simulation of the metasurface band structure</w:t>
      </w:r>
    </w:p>
    <w:p w14:paraId="1605B87A">
      <w:pPr>
        <w:spacing w:line="480" w:lineRule="auto"/>
        <w:rPr>
          <w:rFonts w:ascii="Times New Roman" w:hAnsi="Times New Roman" w:cs="Times New Roman"/>
          <w:sz w:val="24"/>
          <w:szCs w:val="24"/>
        </w:rPr>
      </w:pPr>
      <w:r>
        <w:rPr>
          <w:rFonts w:ascii="Times New Roman" w:hAnsi="Times New Roman" w:cs="Times New Roman"/>
          <w:sz w:val="24"/>
          <w:szCs w:val="24"/>
        </w:rPr>
        <w:t>Finite-element simulations were performed using COMSOL Multiphysics software Multiphysics to calculate the band structure of the metasurface discussed in the main text. The periodic system was modeled using a unit cell with periodic boundary conditions, while perfectly matched layers (PMLs) were introduced on both sides along the z-direction to absorb outgoing waves. In the simulations, both the substrate and the slab were treated as lossless dielectric layers with refractive indices of 1.45 and 2.4, respectively.</w:t>
      </w:r>
    </w:p>
    <w:p w14:paraId="1E9AEB1C">
      <w:pPr>
        <w:spacing w:line="480" w:lineRule="auto"/>
        <w:rPr>
          <w:rFonts w:ascii="Times New Roman" w:hAnsi="Times New Roman" w:cs="Times New Roman"/>
          <w:sz w:val="24"/>
          <w:szCs w:val="24"/>
        </w:rPr>
      </w:pPr>
    </w:p>
    <w:p w14:paraId="61EB382C">
      <w:pPr>
        <w:spacing w:line="480" w:lineRule="auto"/>
        <w:rPr>
          <w:rFonts w:ascii="Times New Roman" w:hAnsi="Times New Roman" w:cs="Times New Roman"/>
          <w:b/>
          <w:bCs/>
          <w:i/>
          <w:iCs/>
          <w:sz w:val="24"/>
          <w:szCs w:val="24"/>
        </w:rPr>
      </w:pPr>
      <w:r>
        <w:rPr>
          <w:rFonts w:ascii="Times New Roman" w:hAnsi="Times New Roman" w:cs="Times New Roman"/>
          <w:b/>
          <w:bCs/>
          <w:i/>
          <w:iCs/>
          <w:sz w:val="24"/>
          <w:szCs w:val="24"/>
        </w:rPr>
        <w:t>1.2 Implementation of the chiral constitutive relations</w:t>
      </w:r>
    </w:p>
    <w:p w14:paraId="27680D4D">
      <w:pPr>
        <w:spacing w:line="480" w:lineRule="auto"/>
        <w:rPr>
          <w:rFonts w:ascii="Times New Roman" w:hAnsi="Times New Roman" w:cs="Times New Roman"/>
          <w:sz w:val="24"/>
          <w:szCs w:val="24"/>
        </w:rPr>
      </w:pPr>
      <w:r>
        <w:rPr>
          <w:rFonts w:ascii="Times New Roman" w:hAnsi="Times New Roman" w:cs="Times New Roman"/>
          <w:sz w:val="24"/>
          <w:szCs w:val="24"/>
        </w:rPr>
        <w:t xml:space="preserve">For chiral enantiomers characterized by a Pasteur parameter </w:t>
      </w:r>
      <w:r>
        <w:rPr>
          <w:rFonts w:ascii="Times New Roman" w:hAnsi="Times New Roman" w:cs="Times New Roman"/>
          <w:sz w:val="24"/>
          <w:szCs w:val="24"/>
        </w:rPr>
        <w:t>𝜅</w:t>
      </w:r>
      <w:r>
        <w:rPr>
          <w:rFonts w:ascii="Times New Roman" w:hAnsi="Times New Roman" w:cs="Times New Roman"/>
          <w:sz w:val="24"/>
          <w:szCs w:val="24"/>
        </w:rPr>
        <w:t xml:space="preserve">, additional chiral-coupling terms must be introduced into Maxwell’s equations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&lt;EndNote&gt;&lt;Cite&gt;&lt;Author&gt;Graf&lt;/Author&gt;&lt;Year&gt;2019&lt;/Year&gt;&lt;RecNum&gt;454&lt;/RecNum&gt;&lt;DisplayText&gt;&lt;style face="superscript"&gt;[1]&lt;/style&gt;&lt;/DisplayText&gt;&lt;record&gt;&lt;rec-number&gt;454&lt;/rec-number&gt;&lt;foreign-keys&gt;&lt;key app="EN" db-id="zrw9pxrs90ter3e52xrxzze0we02axwaf0wx" timestamp="1776259450"&gt;454&lt;/key&gt;&lt;/foreign-keys&gt;&lt;ref-type name="Journal Article"&gt;17&lt;/ref-type&gt;&lt;contributors&gt;&lt;authors&gt;&lt;author&gt;Graf, Florian&lt;/author&gt;&lt;author&gt;Feis, Joshua&lt;/author&gt;&lt;author&gt;Garcia-Santiago, Xavier&lt;/author&gt;&lt;author&gt;Wegener, Martin&lt;/author&gt;&lt;author&gt;Rockstuhl, Carsten&lt;/author&gt;&lt;author&gt;Fernandez-Corbaton, Ivan&lt;/author&gt;&lt;/authors&gt;&lt;/contributors&gt;&lt;titles&gt;&lt;title&gt;Achiral, Helicity Preserving, and Resonant Structures for Enhanced Sensing of Chiral Molecules&lt;/title&gt;&lt;secondary-title&gt;ACS Photonics&lt;/secondary-title&gt;&lt;/titles&gt;&lt;periodical&gt;&lt;full-title&gt;ACS Photonics&lt;/full-title&gt;&lt;/periodical&gt;&lt;pages&gt;482-491&lt;/pages&gt;&lt;volume&gt;6&lt;/volume&gt;&lt;number&gt;2&lt;/number&gt;&lt;dates&gt;&lt;year&gt;2019&lt;/year&gt;&lt;pub-dates&gt;&lt;date&gt;2019/02/20&lt;/date&gt;&lt;/pub-dates&gt;&lt;/dates&gt;&lt;publisher&gt;American Chemical Society&lt;/publisher&gt;&lt;urls&gt;&lt;related-urls&gt;&lt;url&gt;https://doi.org/10.1021/acsphotonics.8b01454&lt;/url&gt;&lt;/related-urls&gt;&lt;/urls&gt;&lt;electronic-resource-num&gt;10.1021/acsphotonics.8b01454&lt;/electronic-resource-num&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hint="eastAsia" w:ascii="Times New Roman" w:hAnsi="Times New Roman" w:cs="Times New Roman"/>
          <w:sz w:val="24"/>
          <w:szCs w:val="24"/>
        </w:rPr>
        <w:t>：</w:t>
      </w:r>
    </w:p>
    <w:p w14:paraId="2F217264">
      <w:pPr>
        <w:spacing w:line="480" w:lineRule="auto"/>
        <w:jc w:val="center"/>
        <w:rPr>
          <w:rFonts w:ascii="Times New Roman" w:hAnsi="Times New Roman" w:cs="Times New Roman"/>
        </w:rPr>
      </w:pPr>
      <w:r>
        <w:rPr>
          <w:rFonts w:hint="eastAsia" w:ascii="Times New Roman" w:hAnsi="Times New Roman" w:cs="Times New Roman"/>
        </w:rPr>
        <w:t xml:space="preserve"> </w:t>
      </w:r>
      <w:r>
        <w:rPr>
          <w:rFonts w:ascii="Times New Roman" w:hAnsi="Times New Roman" w:cs="Times New Roman"/>
        </w:rPr>
        <w:t xml:space="preserve">                               </w:t>
      </w:r>
      <m:oMath>
        <m:r>
          <m:rPr>
            <m:nor/>
            <m:sty m:val="p"/>
          </m:rPr>
          <w:rPr>
            <w:rFonts w:hint="default" w:ascii="Times New Roman" w:hAnsi="Times New Roman" w:cs="Times New Roman"/>
          </w:rPr>
          <m:t>D</m:t>
        </m:r>
        <m:r>
          <m:rPr>
            <m:nor/>
            <m:sty m:val="p"/>
          </m:rPr>
          <w:rPr>
            <w:rFonts w:ascii="Times New Roman" w:hAnsi="Times New Roman" w:cs="Times New Roman"/>
            <w:i w:val="0"/>
          </w:rPr>
          <m:t xml:space="preserve">= </m:t>
        </m:r>
        <m:sSub>
          <m:sSubPr>
            <m:ctrlPr>
              <w:rPr>
                <w:rFonts w:ascii="Cambria Math" w:hAnsi="Cambria Math" w:cs="Times New Roman"/>
                <w:i/>
              </w:rPr>
            </m:ctrlPr>
          </m:sSubPr>
          <m:e>
            <m:r>
              <m:rPr>
                <m:nor/>
              </m:rPr>
              <w:rPr>
                <w:rFonts w:hint="default" w:ascii="Times New Roman" w:hAnsi="Times New Roman" w:cs="Times New Roman"/>
                <w:i/>
                <w:iCs/>
              </w:rPr>
              <m:t>ε</m:t>
            </m:r>
            <m:ctrlPr>
              <w:rPr>
                <w:rFonts w:ascii="Cambria Math" w:hAnsi="Cambria Math" w:cs="Times New Roman"/>
                <w:i/>
              </w:rPr>
            </m:ctrlPr>
          </m:e>
          <m:sub>
            <m:r>
              <m:rPr>
                <m:nor/>
                <m:sty m:val="p"/>
              </m:rPr>
              <w:rPr>
                <w:rFonts w:hint="default" w:ascii="Times New Roman" w:hAnsi="Times New Roman" w:cs="Times New Roman"/>
                <w:i w:val="0"/>
              </w:rPr>
              <m:t>0</m:t>
            </m:r>
            <m:ctrlPr>
              <w:rPr>
                <w:rFonts w:ascii="Cambria Math" w:hAnsi="Cambria Math" w:cs="Times New Roman"/>
                <w:i/>
              </w:rPr>
            </m:ctrlPr>
          </m:sub>
        </m:sSub>
        <m:sSub>
          <m:sSubPr>
            <m:ctrlPr>
              <w:rPr>
                <w:rFonts w:ascii="Cambria Math" w:hAnsi="Cambria Math" w:cs="Times New Roman"/>
                <w:i/>
              </w:rPr>
            </m:ctrlPr>
          </m:sSubPr>
          <m:e>
            <m:r>
              <m:rPr>
                <m:nor/>
              </m:rPr>
              <w:rPr>
                <w:rFonts w:hint="default" w:ascii="Times New Roman" w:hAnsi="Times New Roman" w:cs="Times New Roman"/>
                <w:i/>
                <w:iCs/>
              </w:rPr>
              <m:t>ε</m:t>
            </m:r>
            <m:ctrlPr>
              <w:rPr>
                <w:rFonts w:ascii="Cambria Math" w:hAnsi="Cambria Math" w:cs="Times New Roman"/>
                <w:i/>
              </w:rPr>
            </m:ctrlPr>
          </m:e>
          <m:sub>
            <m:r>
              <m:rPr>
                <m:nor/>
                <m:sty m:val="p"/>
              </m:rPr>
              <w:rPr>
                <w:rFonts w:hint="default" w:ascii="Times New Roman" w:hAnsi="Times New Roman" w:cs="Times New Roman"/>
              </w:rPr>
              <m:t>r</m:t>
            </m:r>
            <m:ctrlPr>
              <w:rPr>
                <w:rFonts w:ascii="Cambria Math" w:hAnsi="Cambria Math" w:cs="Times New Roman"/>
                <w:i/>
              </w:rPr>
            </m:ctrlPr>
          </m:sub>
        </m:sSub>
        <m:r>
          <m:rPr>
            <m:nor/>
            <m:sty m:val="p"/>
          </m:rPr>
          <w:rPr>
            <w:rFonts w:hint="default" w:ascii="Times New Roman" w:hAnsi="Times New Roman" w:cs="Times New Roman"/>
          </w:rPr>
          <m:t>E</m:t>
        </m:r>
        <m:r>
          <m:rPr>
            <m:nor/>
            <m:sty m:val="p"/>
          </m:rPr>
          <w:rPr>
            <w:rFonts w:hint="default" w:ascii="Times New Roman" w:hAnsi="Times New Roman" w:cs="Times New Roman"/>
            <w:i w:val="0"/>
          </w:rPr>
          <m:t xml:space="preserve"> + </m:t>
        </m:r>
        <m:f>
          <m:fPr>
            <m:ctrlPr>
              <w:rPr>
                <w:rFonts w:ascii="Cambria Math" w:hAnsi="Cambria Math" w:cs="Times New Roman"/>
                <w:i/>
              </w:rPr>
            </m:ctrlPr>
          </m:fPr>
          <m:num>
            <m:r>
              <m:rPr>
                <m:nor/>
              </m:rPr>
              <w:rPr>
                <w:rFonts w:hint="default" w:ascii="Times New Roman" w:hAnsi="Times New Roman" w:cs="Times New Roman"/>
                <w:i/>
                <w:iCs/>
              </w:rPr>
              <m:t>iκ</m:t>
            </m:r>
            <m:ctrlPr>
              <w:rPr>
                <w:rFonts w:ascii="Cambria Math" w:hAnsi="Cambria Math" w:cs="Times New Roman"/>
                <w:i/>
              </w:rPr>
            </m:ctrlPr>
          </m:num>
          <m:den>
            <m:sSub>
              <m:sSubPr>
                <m:ctrlPr>
                  <w:rPr>
                    <w:rFonts w:ascii="Cambria Math" w:hAnsi="Cambria Math" w:cs="Times New Roman"/>
                    <w:i/>
                  </w:rPr>
                </m:ctrlPr>
              </m:sSubPr>
              <m:e>
                <m:r>
                  <m:rPr>
                    <m:nor/>
                    <m:sty m:val="p"/>
                  </m:rPr>
                  <w:rPr>
                    <w:rFonts w:hint="default" w:ascii="Times New Roman" w:hAnsi="Times New Roman" w:cs="Times New Roman"/>
                  </w:rPr>
                  <m:t>c</m:t>
                </m:r>
                <m:ctrlPr>
                  <w:rPr>
                    <w:rFonts w:ascii="Cambria Math" w:hAnsi="Cambria Math" w:cs="Times New Roman"/>
                    <w:i/>
                  </w:rPr>
                </m:ctrlPr>
              </m:e>
              <m:sub>
                <m:r>
                  <m:rPr>
                    <m:nor/>
                    <m:sty m:val="p"/>
                  </m:rPr>
                  <w:rPr>
                    <w:rFonts w:hint="default" w:ascii="Times New Roman" w:hAnsi="Times New Roman" w:cs="Times New Roman"/>
                    <w:i w:val="0"/>
                    <w:iCs/>
                  </w:rPr>
                  <m:t>0</m:t>
                </m:r>
                <m:ctrlPr>
                  <w:rPr>
                    <w:rFonts w:ascii="Cambria Math" w:hAnsi="Cambria Math" w:cs="Times New Roman"/>
                    <w:i/>
                  </w:rPr>
                </m:ctrlPr>
              </m:sub>
            </m:sSub>
            <m:ctrlPr>
              <w:rPr>
                <w:rFonts w:ascii="Cambria Math" w:hAnsi="Cambria Math" w:cs="Times New Roman"/>
                <w:i/>
              </w:rPr>
            </m:ctrlPr>
          </m:den>
        </m:f>
        <m:r>
          <m:rPr>
            <m:nor/>
            <m:sty m:val="p"/>
          </m:rPr>
          <w:rPr>
            <w:rFonts w:hint="default" w:ascii="Times New Roman" w:hAnsi="Times New Roman" w:cs="Times New Roman"/>
          </w:rPr>
          <m:t>H</m:t>
        </m:r>
      </m:oMath>
      <w:r>
        <w:rPr>
          <w:rFonts w:ascii="Times New Roman" w:hAnsi="Times New Roman" w:cs="Times New Roman"/>
        </w:rPr>
        <w:t xml:space="preserve">                           </w:t>
      </w:r>
      <w:r>
        <w:rPr>
          <w:rFonts w:ascii="Times New Roman" w:hAnsi="Times New Roman" w:cs="Times New Roman"/>
        </w:rPr>
        <w:t xml:space="preserve">   (1)</w:t>
      </w:r>
    </w:p>
    <w:p w14:paraId="312E2C2A">
      <w:pPr>
        <w:spacing w:line="480" w:lineRule="auto"/>
        <w:jc w:val="center"/>
        <w:rPr>
          <w:rFonts w:ascii="Times New Roman" w:hAnsi="Times New Roman" w:cs="Times New Roman"/>
        </w:rPr>
      </w:pPr>
      <w:r>
        <w:rPr>
          <w:rFonts w:ascii="Times New Roman" w:hAnsi="Times New Roman" w:cs="Times New Roman"/>
        </w:rPr>
        <w:t xml:space="preserve">                             </w:t>
      </w:r>
      <m:oMath>
        <m:r>
          <m:rPr>
            <m:nor/>
            <m:sty m:val="p"/>
          </m:rPr>
          <w:rPr>
            <w:rFonts w:hint="default" w:ascii="Times New Roman" w:hAnsi="Times New Roman" w:cs="Times New Roman"/>
          </w:rPr>
          <m:t>H</m:t>
        </m:r>
        <m:r>
          <m:rPr>
            <m:nor/>
            <m:sty m:val="p"/>
          </m:rPr>
          <w:rPr>
            <w:rFonts w:ascii="Times New Roman" w:hAnsi="Times New Roman" w:cs="Times New Roman"/>
            <w:i w:val="0"/>
          </w:rPr>
          <m:t xml:space="preserve">= </m:t>
        </m:r>
        <m:f>
          <m:fPr>
            <m:ctrlPr>
              <w:rPr>
                <w:rFonts w:ascii="Cambria Math" w:hAnsi="Cambria Math" w:cs="Times New Roman"/>
                <w:i/>
              </w:rPr>
            </m:ctrlPr>
          </m:fPr>
          <m:num>
            <m:r>
              <m:rPr>
                <m:nor/>
                <m:sty m:val="p"/>
              </m:rPr>
              <w:rPr>
                <w:rFonts w:hint="default" w:ascii="Times New Roman" w:hAnsi="Times New Roman" w:cs="Times New Roman"/>
                <w:i w:val="0"/>
              </w:rPr>
              <m:t>1</m:t>
            </m:r>
            <m:ctrlPr>
              <w:rPr>
                <w:rFonts w:ascii="Cambria Math" w:hAnsi="Cambria Math" w:cs="Times New Roman"/>
                <w:i/>
              </w:rPr>
            </m:ctrlPr>
          </m:num>
          <m:den>
            <m:sSub>
              <m:sSubPr>
                <m:ctrlPr>
                  <w:rPr>
                    <w:rFonts w:ascii="Cambria Math" w:hAnsi="Cambria Math" w:cs="Times New Roman"/>
                    <w:i/>
                  </w:rPr>
                </m:ctrlPr>
              </m:sSubPr>
              <m:e>
                <m:r>
                  <m:rPr>
                    <m:nor/>
                  </m:rPr>
                  <w:rPr>
                    <w:rFonts w:hint="default" w:ascii="Times New Roman" w:hAnsi="Times New Roman" w:cs="Times New Roman"/>
                    <w:i/>
                    <w:iCs/>
                  </w:rPr>
                  <m:t>μ</m:t>
                </m:r>
                <m:ctrlPr>
                  <w:rPr>
                    <w:rFonts w:ascii="Cambria Math" w:hAnsi="Cambria Math" w:cs="Times New Roman"/>
                    <w:i/>
                  </w:rPr>
                </m:ctrlPr>
              </m:e>
              <m:sub>
                <m:r>
                  <m:rPr>
                    <m:nor/>
                    <m:sty m:val="p"/>
                  </m:rPr>
                  <w:rPr>
                    <w:rFonts w:hint="default" w:ascii="Times New Roman" w:hAnsi="Times New Roman" w:cs="Times New Roman"/>
                    <w:i w:val="0"/>
                  </w:rPr>
                  <m:t>0</m:t>
                </m:r>
                <m:ctrlPr>
                  <w:rPr>
                    <w:rFonts w:ascii="Cambria Math" w:hAnsi="Cambria Math" w:cs="Times New Roman"/>
                    <w:i/>
                  </w:rPr>
                </m:ctrlPr>
              </m:sub>
            </m:sSub>
            <m:sSub>
              <m:sSubPr>
                <m:ctrlPr>
                  <w:rPr>
                    <w:rFonts w:ascii="Cambria Math" w:hAnsi="Cambria Math" w:cs="Times New Roman"/>
                    <w:i/>
                  </w:rPr>
                </m:ctrlPr>
              </m:sSubPr>
              <m:e>
                <m:r>
                  <m:rPr>
                    <m:nor/>
                    <m:sty m:val="p"/>
                  </m:rPr>
                  <w:rPr>
                    <w:rFonts w:hint="default" w:ascii="Times New Roman" w:hAnsi="Times New Roman" w:cs="Times New Roman"/>
                  </w:rPr>
                  <m:t>μ</m:t>
                </m:r>
                <m:ctrlPr>
                  <w:rPr>
                    <w:rFonts w:ascii="Cambria Math" w:hAnsi="Cambria Math" w:cs="Times New Roman"/>
                    <w:i/>
                  </w:rPr>
                </m:ctrlPr>
              </m:e>
              <m:sub>
                <m:r>
                  <m:rPr>
                    <m:nor/>
                    <m:sty m:val="p"/>
                  </m:rPr>
                  <w:rPr>
                    <w:rFonts w:hint="default" w:ascii="Times New Roman" w:hAnsi="Times New Roman" w:cs="Times New Roman"/>
                  </w:rPr>
                  <m:t>r</m:t>
                </m:r>
                <m:ctrlPr>
                  <w:rPr>
                    <w:rFonts w:ascii="Cambria Math" w:hAnsi="Cambria Math" w:cs="Times New Roman"/>
                    <w:i/>
                  </w:rPr>
                </m:ctrlPr>
              </m:sub>
            </m:sSub>
            <m:ctrlPr>
              <w:rPr>
                <w:rFonts w:ascii="Cambria Math" w:hAnsi="Cambria Math" w:cs="Times New Roman"/>
                <w:i/>
              </w:rPr>
            </m:ctrlPr>
          </m:den>
        </m:f>
        <m:d>
          <m:dPr>
            <m:ctrlPr>
              <w:rPr>
                <w:rFonts w:ascii="Cambria Math" w:hAnsi="Cambria Math" w:cs="Times New Roman"/>
                <w:i/>
              </w:rPr>
            </m:ctrlPr>
          </m:dPr>
          <m:e>
            <m:r>
              <m:rPr>
                <m:nor/>
                <m:sty m:val="p"/>
              </m:rPr>
              <w:rPr>
                <w:rFonts w:hint="default" w:ascii="Times New Roman" w:hAnsi="Times New Roman" w:cs="Times New Roman"/>
              </w:rPr>
              <m:t>B</m:t>
            </m:r>
            <m:r>
              <m:rPr>
                <m:nor/>
                <m:sty m:val="p"/>
              </m:rPr>
              <w:rPr>
                <w:rFonts w:hint="default" w:ascii="Times New Roman" w:hAnsi="Times New Roman" w:cs="Times New Roman"/>
                <w:i w:val="0"/>
              </w:rPr>
              <m:t xml:space="preserve"> </m:t>
            </m:r>
            <w:bookmarkStart w:id="0" w:name="_Hlk229056836"/>
            <m:r>
              <m:rPr>
                <m:nor/>
                <m:sty m:val="p"/>
              </m:rPr>
              <w:rPr>
                <w:rFonts w:ascii="Times New Roman" w:hAnsi="Times New Roman" w:cs="Times New Roman"/>
              </w:rPr>
              <m:t xml:space="preserve"> </m:t>
            </m:r>
            <m:r>
              <m:rPr>
                <m:nor/>
                <m:sty m:val="p"/>
              </m:rPr>
              <w:rPr>
                <w:rStyle w:val="27"/>
                <w:rFonts w:hint="default" w:ascii="Times New Roman" w:hAnsi="Times New Roman" w:eastAsia="宋体" w:cs="Times New Roman"/>
                <w:i w:val="0"/>
                <w:color w:val="222222"/>
                <w:sz w:val="17"/>
                <w:szCs w:val="24"/>
                <w:shd w:val="clear" w:color="auto" w:fill="FFFFFF"/>
              </w:rPr>
              <m:t>−</m:t>
            </m:r>
            <w:bookmarkEnd w:id="0"/>
            <m:f>
              <m:fPr>
                <m:ctrlPr>
                  <w:rPr>
                    <w:rFonts w:ascii="Cambria Math" w:hAnsi="Cambria Math" w:cs="Times New Roman"/>
                    <w:i/>
                  </w:rPr>
                </m:ctrlPr>
              </m:fPr>
              <m:num>
                <m:r>
                  <m:rPr>
                    <m:nor/>
                  </m:rPr>
                  <w:rPr>
                    <w:rFonts w:hint="default" w:ascii="Times New Roman" w:hAnsi="Times New Roman" w:cs="Times New Roman"/>
                    <w:i/>
                    <w:iCs/>
                  </w:rPr>
                  <m:t>iκ</m:t>
                </m:r>
                <m:ctrlPr>
                  <w:rPr>
                    <w:rFonts w:ascii="Cambria Math" w:hAnsi="Cambria Math" w:cs="Times New Roman"/>
                    <w:i/>
                  </w:rPr>
                </m:ctrlPr>
              </m:num>
              <m:den>
                <m:sSub>
                  <m:sSubPr>
                    <m:ctrlPr>
                      <w:rPr>
                        <w:rFonts w:ascii="Cambria Math" w:hAnsi="Cambria Math" w:cs="Times New Roman"/>
                        <w:i/>
                      </w:rPr>
                    </m:ctrlPr>
                  </m:sSubPr>
                  <m:e>
                    <m:r>
                      <m:rPr>
                        <m:nor/>
                      </m:rPr>
                      <w:rPr>
                        <w:rFonts w:hint="default" w:ascii="Times New Roman" w:hAnsi="Times New Roman" w:cs="Times New Roman"/>
                        <w:i/>
                        <w:iCs/>
                      </w:rPr>
                      <m:t>c</m:t>
                    </m:r>
                    <m:ctrlPr>
                      <w:rPr>
                        <w:rFonts w:ascii="Cambria Math" w:hAnsi="Cambria Math" w:cs="Times New Roman"/>
                        <w:i/>
                      </w:rPr>
                    </m:ctrlPr>
                  </m:e>
                  <m:sub>
                    <m:r>
                      <m:rPr>
                        <m:nor/>
                        <m:sty m:val="p"/>
                      </m:rPr>
                      <w:rPr>
                        <w:rFonts w:hint="default" w:ascii="Times New Roman" w:hAnsi="Times New Roman" w:cs="Times New Roman"/>
                        <w:i w:val="0"/>
                      </w:rPr>
                      <m:t>0</m:t>
                    </m:r>
                    <m:ctrlPr>
                      <w:rPr>
                        <w:rFonts w:ascii="Cambria Math" w:hAnsi="Cambria Math" w:cs="Times New Roman"/>
                        <w:i/>
                      </w:rPr>
                    </m:ctrlPr>
                  </m:sub>
                </m:sSub>
                <m:ctrlPr>
                  <w:rPr>
                    <w:rFonts w:ascii="Cambria Math" w:hAnsi="Cambria Math" w:cs="Times New Roman"/>
                    <w:i/>
                  </w:rPr>
                </m:ctrlPr>
              </m:den>
            </m:f>
            <m:r>
              <m:rPr>
                <m:nor/>
                <m:sty m:val="p"/>
              </m:rPr>
              <w:rPr>
                <w:rFonts w:hint="default" w:ascii="Times New Roman" w:hAnsi="Times New Roman" w:cs="Times New Roman"/>
              </w:rPr>
              <m:t>E</m:t>
            </m:r>
            <m:ctrlPr>
              <w:rPr>
                <w:rFonts w:ascii="Cambria Math" w:hAnsi="Cambria Math" w:cs="Times New Roman"/>
                <w:i/>
              </w:rPr>
            </m:ctrlPr>
          </m:e>
        </m:d>
      </m:oMath>
      <w:r>
        <w:rPr>
          <w:rFonts w:ascii="Times New Roman" w:hAnsi="Times New Roman" w:cs="Times New Roman"/>
        </w:rPr>
        <w:t xml:space="preserve">                               (2)</w:t>
      </w:r>
    </w:p>
    <w:p w14:paraId="131C99B7">
      <w:pPr>
        <w:spacing w:line="480" w:lineRule="auto"/>
        <w:rPr>
          <w:rFonts w:ascii="Times New Roman" w:hAnsi="Times New Roman" w:cs="Times New Roman"/>
          <w:sz w:val="24"/>
          <w:szCs w:val="24"/>
        </w:rPr>
      </w:pPr>
      <w:r>
        <w:rPr>
          <w:rFonts w:ascii="Times New Roman" w:hAnsi="Times New Roman" w:cs="Times New Roman"/>
          <w:sz w:val="24"/>
          <w:szCs w:val="24"/>
        </w:rPr>
        <w:t>COMSOL allows users to implement such a chiral constitutive relation by modifying the underlying governing equations. In the frequency-domain wave optics module, this can be achieved by enabling the Equation View, selecting Electromagnetic Waves, Frequency Domain (ewfd), and then entering the equation view of Wave Equation, Electric 1.</w:t>
      </w:r>
    </w:p>
    <w:p w14:paraId="78B5ACAD">
      <w:pPr>
        <w:spacing w:line="480" w:lineRule="auto"/>
        <w:ind w:firstLine="480" w:firstLineChars="200"/>
        <w:rPr>
          <w:rFonts w:ascii="Times New Roman" w:hAnsi="Times New Roman" w:cs="Times New Roman"/>
          <w:sz w:val="24"/>
          <w:szCs w:val="24"/>
        </w:rPr>
      </w:pPr>
      <w:r>
        <w:rPr>
          <w:rFonts w:ascii="Times New Roman" w:hAnsi="Times New Roman" w:cs="Times New Roman"/>
          <w:sz w:val="24"/>
          <w:szCs w:val="24"/>
        </w:rPr>
        <w:t>In this model, the electric displacement vector D</w:t>
      </w:r>
      <w:r>
        <w:rPr>
          <w:rFonts w:ascii="Times New Roman" w:hAnsi="Times New Roman" w:cs="Times New Roman"/>
          <w:sz w:val="24"/>
          <w:szCs w:val="24"/>
        </w:rPr>
        <w:t xml:space="preserve"> </w:t>
      </w:r>
      <w:r>
        <w:rPr>
          <w:rFonts w:ascii="Times New Roman" w:hAnsi="Times New Roman" w:cs="Times New Roman"/>
          <w:sz w:val="24"/>
          <w:szCs w:val="24"/>
        </w:rPr>
        <w:t xml:space="preserve">and the polarization vector P satisfy </w:t>
      </w:r>
      <w:r>
        <w:rPr>
          <w:rFonts w:ascii="Times New Roman" w:hAnsi="Times New Roman" w:eastAsia="宋体" w:cs="Times New Roman"/>
          <w:kern w:val="0"/>
          <w:sz w:val="22"/>
        </w:rPr>
        <w:t>D</w:t>
      </w:r>
      <w:r>
        <w:rPr>
          <w:rFonts w:hint="eastAsia" w:ascii="Times New Roman" w:hAnsi="Times New Roman" w:eastAsia="宋体" w:cs="Times New Roman"/>
          <w:kern w:val="0"/>
          <w:sz w:val="22"/>
        </w:rPr>
        <w:t xml:space="preserve"> </w:t>
      </w:r>
      <w:r>
        <w:rPr>
          <w:rFonts w:ascii="Times New Roman" w:hAnsi="Times New Roman" w:eastAsia="宋体" w:cs="Times New Roman"/>
          <w:kern w:val="0"/>
          <w:sz w:val="22"/>
        </w:rPr>
        <w:t>=</w:t>
      </w:r>
      <w:r>
        <w:rPr>
          <w:rFonts w:hint="eastAsia" w:ascii="Times New Roman" w:hAnsi="Times New Roman" w:eastAsia="宋体" w:cs="Times New Roman"/>
          <w:kern w:val="0"/>
          <w:sz w:val="22"/>
        </w:rPr>
        <w:t xml:space="preserve"> </w:t>
      </w:r>
      <w:r>
        <w:rPr>
          <w:rFonts w:ascii="Times New Roman" w:hAnsi="Times New Roman" w:eastAsia="宋体" w:cs="Times New Roman"/>
          <w:i/>
          <w:iCs/>
          <w:kern w:val="0"/>
          <w:sz w:val="22"/>
        </w:rPr>
        <w:t>ε</w:t>
      </w:r>
      <w:r>
        <w:rPr>
          <w:rFonts w:ascii="Times New Roman" w:hAnsi="Times New Roman" w:eastAsia="宋体" w:cs="Times New Roman"/>
          <w:kern w:val="0"/>
          <w:sz w:val="22"/>
          <w:vertAlign w:val="subscript"/>
        </w:rPr>
        <w:t>0</w:t>
      </w:r>
      <w:r>
        <w:rPr>
          <w:rFonts w:ascii="Times New Roman" w:hAnsi="Times New Roman" w:eastAsia="宋体" w:cs="Times New Roman"/>
          <w:kern w:val="0"/>
          <w:sz w:val="22"/>
        </w:rPr>
        <w:t>E</w:t>
      </w:r>
      <w:r>
        <w:rPr>
          <w:rFonts w:hint="eastAsia" w:ascii="Times New Roman" w:hAnsi="Times New Roman" w:eastAsia="宋体" w:cs="Times New Roman"/>
          <w:kern w:val="0"/>
          <w:sz w:val="22"/>
        </w:rPr>
        <w:t xml:space="preserve"> </w:t>
      </w:r>
      <w:r>
        <w:rPr>
          <w:rFonts w:ascii="Times New Roman" w:hAnsi="Times New Roman" w:eastAsia="宋体" w:cs="Times New Roman"/>
          <w:kern w:val="0"/>
          <w:sz w:val="22"/>
        </w:rPr>
        <w:t>+</w:t>
      </w:r>
      <w:r>
        <w:rPr>
          <w:rFonts w:hint="eastAsia" w:ascii="Times New Roman" w:hAnsi="Times New Roman" w:eastAsia="宋体" w:cs="Times New Roman"/>
          <w:kern w:val="0"/>
          <w:sz w:val="22"/>
        </w:rPr>
        <w:t xml:space="preserve"> </w:t>
      </w:r>
      <w:r>
        <w:rPr>
          <w:rFonts w:ascii="Times New Roman" w:hAnsi="Times New Roman" w:eastAsia="宋体" w:cs="Times New Roman"/>
          <w:kern w:val="0"/>
          <w:sz w:val="22"/>
        </w:rPr>
        <w:t>P, P</w:t>
      </w:r>
      <w:r>
        <w:rPr>
          <w:rFonts w:hint="eastAsia" w:ascii="Times New Roman" w:hAnsi="Times New Roman" w:eastAsia="宋体" w:cs="Times New Roman"/>
          <w:kern w:val="0"/>
          <w:sz w:val="22"/>
        </w:rPr>
        <w:t xml:space="preserve"> </w:t>
      </w:r>
      <w:r>
        <w:rPr>
          <w:rFonts w:ascii="Times New Roman" w:hAnsi="Times New Roman" w:eastAsia="宋体" w:cs="Times New Roman"/>
          <w:kern w:val="0"/>
          <w:sz w:val="22"/>
        </w:rPr>
        <w:t>=</w:t>
      </w:r>
      <w:r>
        <w:rPr>
          <w:rFonts w:hint="eastAsia" w:ascii="Times New Roman" w:hAnsi="Times New Roman" w:eastAsia="宋体" w:cs="Times New Roman"/>
          <w:kern w:val="0"/>
          <w:sz w:val="22"/>
        </w:rPr>
        <w:t xml:space="preserve"> </w:t>
      </w:r>
      <w:r>
        <w:rPr>
          <w:rFonts w:ascii="Times New Roman" w:hAnsi="Times New Roman" w:eastAsia="宋体" w:cs="Times New Roman"/>
          <w:i/>
          <w:iCs/>
          <w:kern w:val="0"/>
          <w:sz w:val="22"/>
        </w:rPr>
        <w:t>ε</w:t>
      </w:r>
      <w:r>
        <w:rPr>
          <w:rFonts w:ascii="Times New Roman" w:hAnsi="Times New Roman" w:eastAsia="宋体" w:cs="Times New Roman"/>
          <w:kern w:val="0"/>
          <w:sz w:val="22"/>
          <w:vertAlign w:val="subscript"/>
        </w:rPr>
        <w:t>0</w:t>
      </w:r>
      <w:r>
        <w:rPr>
          <w:rFonts w:ascii="Times New Roman" w:hAnsi="Times New Roman" w:eastAsia="宋体" w:cs="Times New Roman"/>
          <w:i/>
          <w:iCs/>
          <w:kern w:val="0"/>
          <w:sz w:val="22"/>
        </w:rPr>
        <w:t>ε</w:t>
      </w:r>
      <w:r>
        <w:rPr>
          <w:rFonts w:ascii="Times New Roman" w:hAnsi="Times New Roman" w:eastAsia="宋体" w:cs="Times New Roman"/>
          <w:kern w:val="0"/>
          <w:sz w:val="22"/>
          <w:vertAlign w:val="subscript"/>
        </w:rPr>
        <w:t>r</w:t>
      </w:r>
      <w:r>
        <w:rPr>
          <w:rFonts w:ascii="Times New Roman" w:hAnsi="Times New Roman" w:eastAsia="宋体" w:cs="Times New Roman"/>
          <w:kern w:val="0"/>
          <w:sz w:val="22"/>
        </w:rPr>
        <w:t>E. The expressions for the three components of the electric displacement field are modified as follows:</w:t>
      </w:r>
    </w:p>
    <w:p w14:paraId="59456D14">
      <w:pPr>
        <w:spacing w:line="480" w:lineRule="auto"/>
        <w:jc w:val="center"/>
        <w:rPr>
          <w:rFonts w:ascii="Times New Roman" w:hAnsi="Times New Roman" w:cs="Times New Roman"/>
        </w:rPr>
      </w:pPr>
      <w:r>
        <w:rPr>
          <w:rFonts w:ascii="Times New Roman" w:hAnsi="Times New Roman" w:cs="Times New Roman"/>
          <w:b/>
          <w:bCs/>
        </w:rPr>
        <w:t>ewfd.Dx</w:t>
      </w:r>
      <w:r>
        <w:rPr>
          <w:rFonts w:ascii="Times New Roman" w:hAnsi="Times New Roman" w:cs="Times New Roman"/>
        </w:rPr>
        <w:t>: epsilon0 const*ewfd.Ex</w:t>
      </w:r>
      <w:r>
        <w:rPr>
          <w:rFonts w:hint="eastAsia" w:ascii="Times New Roman" w:hAnsi="Times New Roman" w:cs="Times New Roman"/>
        </w:rPr>
        <w:t xml:space="preserve"> </w:t>
      </w:r>
      <w:r>
        <w:rPr>
          <w:rFonts w:ascii="Times New Roman" w:hAnsi="Times New Roman" w:cs="Times New Roman"/>
        </w:rPr>
        <w:t>+</w:t>
      </w:r>
      <w:r>
        <w:rPr>
          <w:rFonts w:hint="eastAsia" w:ascii="Times New Roman" w:hAnsi="Times New Roman" w:cs="Times New Roman"/>
        </w:rPr>
        <w:t xml:space="preserve"> </w:t>
      </w:r>
      <w:r>
        <w:rPr>
          <w:rFonts w:ascii="Times New Roman" w:hAnsi="Times New Roman" w:cs="Times New Roman"/>
        </w:rPr>
        <w:t>ewfd.Px-i*kappa)/c0*ewfd.Hx</w:t>
      </w:r>
    </w:p>
    <w:p w14:paraId="57768955">
      <w:pPr>
        <w:spacing w:line="480" w:lineRule="auto"/>
        <w:jc w:val="center"/>
        <w:rPr>
          <w:rFonts w:ascii="Times New Roman" w:hAnsi="Times New Roman" w:cs="Times New Roman"/>
        </w:rPr>
      </w:pPr>
      <w:r>
        <w:rPr>
          <w:rFonts w:ascii="Times New Roman" w:hAnsi="Times New Roman" w:cs="Times New Roman"/>
          <w:b/>
          <w:bCs/>
        </w:rPr>
        <w:t>ewfd.Dy</w:t>
      </w:r>
      <w:r>
        <w:rPr>
          <w:rFonts w:ascii="Times New Roman" w:hAnsi="Times New Roman" w:cs="Times New Roman"/>
        </w:rPr>
        <w:t>: epsilon0 const*ewfd.Ey</w:t>
      </w:r>
      <w:r>
        <w:rPr>
          <w:rFonts w:hint="eastAsia" w:ascii="Times New Roman" w:hAnsi="Times New Roman" w:cs="Times New Roman"/>
        </w:rPr>
        <w:t xml:space="preserve"> </w:t>
      </w:r>
      <w:r>
        <w:rPr>
          <w:rFonts w:ascii="Times New Roman" w:hAnsi="Times New Roman" w:cs="Times New Roman"/>
        </w:rPr>
        <w:t>+</w:t>
      </w:r>
      <w:r>
        <w:rPr>
          <w:rFonts w:hint="eastAsia" w:ascii="Times New Roman" w:hAnsi="Times New Roman" w:cs="Times New Roman"/>
        </w:rPr>
        <w:t xml:space="preserve"> </w:t>
      </w:r>
      <w:r>
        <w:rPr>
          <w:rFonts w:ascii="Times New Roman" w:hAnsi="Times New Roman" w:cs="Times New Roman"/>
        </w:rPr>
        <w:t>ewfd.Py-i*kappa)/c0*ewfd.Hy</w:t>
      </w:r>
    </w:p>
    <w:p w14:paraId="5298D00D">
      <w:pPr>
        <w:spacing w:line="480" w:lineRule="auto"/>
        <w:jc w:val="center"/>
        <w:rPr>
          <w:rFonts w:ascii="Times New Roman" w:hAnsi="Times New Roman" w:cs="Times New Roman"/>
        </w:rPr>
      </w:pPr>
      <w:r>
        <w:rPr>
          <w:rFonts w:ascii="Times New Roman" w:hAnsi="Times New Roman" w:cs="Times New Roman"/>
          <w:b/>
          <w:bCs/>
        </w:rPr>
        <w:t>ewfd.Dz</w:t>
      </w:r>
      <w:r>
        <w:rPr>
          <w:rFonts w:ascii="Times New Roman" w:hAnsi="Times New Roman" w:cs="Times New Roman"/>
        </w:rPr>
        <w:t>: epsilon0 const*ewfd.Ez</w:t>
      </w:r>
      <w:r>
        <w:rPr>
          <w:rFonts w:hint="eastAsia" w:ascii="Times New Roman" w:hAnsi="Times New Roman" w:cs="Times New Roman"/>
        </w:rPr>
        <w:t xml:space="preserve"> </w:t>
      </w:r>
      <w:r>
        <w:rPr>
          <w:rFonts w:ascii="Times New Roman" w:hAnsi="Times New Roman" w:cs="Times New Roman"/>
        </w:rPr>
        <w:t>+</w:t>
      </w:r>
      <w:r>
        <w:rPr>
          <w:rFonts w:hint="eastAsia" w:ascii="Times New Roman" w:hAnsi="Times New Roman" w:cs="Times New Roman"/>
        </w:rPr>
        <w:t xml:space="preserve"> </w:t>
      </w:r>
      <w:r>
        <w:rPr>
          <w:rFonts w:ascii="Times New Roman" w:hAnsi="Times New Roman" w:cs="Times New Roman"/>
        </w:rPr>
        <w:t>ewfd.Pz-i*kappa)/c0*ewfd.Hz.</w:t>
      </w:r>
    </w:p>
    <w:p w14:paraId="63D96284">
      <w:pPr>
        <w:spacing w:line="480" w:lineRule="auto"/>
        <w:rPr>
          <w:rFonts w:ascii="Times New Roman" w:hAnsi="Times New Roman" w:cs="Times New Roman"/>
        </w:rPr>
      </w:pPr>
      <w:r>
        <w:rPr>
          <w:rFonts w:ascii="Times New Roman" w:hAnsi="Times New Roman" w:cs="Times New Roman"/>
        </w:rPr>
        <w:t>Similarly, the constitutive relations for the magnetic field H</w:t>
      </w:r>
      <w:r>
        <w:rPr>
          <w:rFonts w:ascii="Times New Roman" w:hAnsi="Times New Roman" w:cs="Times New Roman"/>
        </w:rPr>
        <w:t xml:space="preserve"> </w:t>
      </w:r>
      <w:r>
        <w:rPr>
          <w:rFonts w:ascii="Times New Roman" w:hAnsi="Times New Roman" w:cs="Times New Roman"/>
        </w:rPr>
        <w:t>and its time derivative dH/dt are modified as follows:</w:t>
      </w:r>
    </w:p>
    <w:p w14:paraId="186C78B8">
      <w:pPr>
        <w:spacing w:line="480" w:lineRule="auto"/>
        <w:rPr>
          <w:rFonts w:ascii="Times New Roman" w:hAnsi="Times New Roman" w:cs="Times New Roman"/>
          <w:sz w:val="24"/>
          <w:szCs w:val="24"/>
        </w:rPr>
      </w:pPr>
      <w:r>
        <w:rPr>
          <w:rFonts w:ascii="Times New Roman" w:hAnsi="Times New Roman" w:cs="Times New Roman"/>
          <w:b/>
          <w:bCs/>
          <w:sz w:val="24"/>
          <w:szCs w:val="24"/>
        </w:rPr>
        <w:t>ewfd.Hx</w:t>
      </w:r>
      <w:r>
        <w:rPr>
          <w:rFonts w:ascii="Times New Roman" w:hAnsi="Times New Roman" w:cs="Times New Roman"/>
          <w:sz w:val="24"/>
          <w:szCs w:val="24"/>
        </w:rPr>
        <w:t>: (ewfd.murinvxx*(ewfd.Bx-i*kappa/c0*ewfd.Ex)</w:t>
      </w:r>
      <w:r>
        <w:rPr>
          <w:rFonts w:hint="eastAsia" w:ascii="Times New Roman" w:hAnsi="Times New Roman" w:cs="Times New Roman"/>
          <w:sz w:val="24"/>
          <w:szCs w:val="24"/>
        </w:rPr>
        <w:t xml:space="preserve"> </w:t>
      </w:r>
      <w:r>
        <w:rPr>
          <w:rFonts w:ascii="Times New Roman" w:hAnsi="Times New Roman" w:cs="Times New Roman"/>
          <w:sz w:val="24"/>
          <w:szCs w:val="24"/>
        </w:rPr>
        <w:t>+</w:t>
      </w:r>
    </w:p>
    <w:p w14:paraId="145FDC4D">
      <w:pPr>
        <w:spacing w:line="480" w:lineRule="auto"/>
        <w:rPr>
          <w:rFonts w:ascii="Times New Roman" w:hAnsi="Times New Roman" w:cs="Times New Roman"/>
          <w:sz w:val="24"/>
          <w:szCs w:val="24"/>
        </w:rPr>
      </w:pPr>
      <w:r>
        <w:rPr>
          <w:rFonts w:ascii="Times New Roman" w:hAnsi="Times New Roman" w:cs="Times New Roman"/>
          <w:sz w:val="24"/>
          <w:szCs w:val="24"/>
        </w:rPr>
        <w:t>ewfd.murinvxy*(ewfd.By-i*kappa/c0*ewfd.Ey)</w:t>
      </w:r>
      <w:r>
        <w:rPr>
          <w:rFonts w:hint="eastAsia" w:ascii="Times New Roman" w:hAnsi="Times New Roman" w:cs="Times New Roman"/>
          <w:sz w:val="24"/>
          <w:szCs w:val="24"/>
        </w:rPr>
        <w:t xml:space="preserve"> </w:t>
      </w:r>
      <w:r>
        <w:rPr>
          <w:rFonts w:ascii="Times New Roman" w:hAnsi="Times New Roman" w:cs="Times New Roman"/>
          <w:sz w:val="24"/>
          <w:szCs w:val="24"/>
        </w:rPr>
        <w:t>+</w:t>
      </w:r>
    </w:p>
    <w:p w14:paraId="3C9324F4">
      <w:pPr>
        <w:spacing w:line="480" w:lineRule="auto"/>
        <w:rPr>
          <w:rFonts w:ascii="Times New Roman" w:hAnsi="Times New Roman" w:cs="Times New Roman"/>
          <w:sz w:val="24"/>
          <w:szCs w:val="24"/>
        </w:rPr>
      </w:pPr>
      <w:r>
        <w:rPr>
          <w:rFonts w:ascii="Times New Roman" w:hAnsi="Times New Roman" w:cs="Times New Roman"/>
          <w:sz w:val="24"/>
          <w:szCs w:val="24"/>
        </w:rPr>
        <w:t>ewfd.murinvxz*(ewfd.Bz-i*kappa/c0*ewfd.Ez))/mu0_const</w:t>
      </w:r>
    </w:p>
    <w:p w14:paraId="73FD7A35">
      <w:pPr>
        <w:spacing w:line="480" w:lineRule="auto"/>
        <w:rPr>
          <w:rFonts w:ascii="Times New Roman" w:hAnsi="Times New Roman" w:cs="Times New Roman"/>
          <w:sz w:val="24"/>
          <w:szCs w:val="24"/>
        </w:rPr>
      </w:pPr>
      <w:r>
        <w:rPr>
          <w:rFonts w:ascii="Times New Roman" w:hAnsi="Times New Roman" w:cs="Times New Roman"/>
          <w:b/>
          <w:bCs/>
          <w:sz w:val="24"/>
          <w:szCs w:val="24"/>
        </w:rPr>
        <w:t>ewfd.Hy</w:t>
      </w:r>
      <w:r>
        <w:rPr>
          <w:rFonts w:ascii="Times New Roman" w:hAnsi="Times New Roman" w:cs="Times New Roman"/>
          <w:sz w:val="24"/>
          <w:szCs w:val="24"/>
        </w:rPr>
        <w:t>: (ewfd.murinvyx*(ewfd.Bx-i*kappa/c0*ewfd.Ex)</w:t>
      </w:r>
      <w:r>
        <w:rPr>
          <w:rFonts w:hint="eastAsia" w:ascii="Times New Roman" w:hAnsi="Times New Roman" w:cs="Times New Roman"/>
          <w:sz w:val="24"/>
          <w:szCs w:val="24"/>
        </w:rPr>
        <w:t xml:space="preserve"> </w:t>
      </w:r>
      <w:r>
        <w:rPr>
          <w:rFonts w:ascii="Times New Roman" w:hAnsi="Times New Roman" w:cs="Times New Roman"/>
          <w:sz w:val="24"/>
          <w:szCs w:val="24"/>
        </w:rPr>
        <w:t>+</w:t>
      </w:r>
    </w:p>
    <w:p w14:paraId="5E462DBA">
      <w:pPr>
        <w:spacing w:line="480" w:lineRule="auto"/>
        <w:rPr>
          <w:rFonts w:ascii="Times New Roman" w:hAnsi="Times New Roman" w:cs="Times New Roman"/>
          <w:sz w:val="24"/>
          <w:szCs w:val="24"/>
        </w:rPr>
      </w:pPr>
      <w:r>
        <w:rPr>
          <w:rFonts w:ascii="Times New Roman" w:hAnsi="Times New Roman" w:cs="Times New Roman"/>
          <w:sz w:val="24"/>
          <w:szCs w:val="24"/>
        </w:rPr>
        <w:t>ewfd.murinvyy*(ewfd.By-i*kappa/c0*ewfd.Ey)</w:t>
      </w:r>
      <w:r>
        <w:rPr>
          <w:rFonts w:hint="eastAsia" w:ascii="Times New Roman" w:hAnsi="Times New Roman" w:cs="Times New Roman"/>
          <w:sz w:val="24"/>
          <w:szCs w:val="24"/>
        </w:rPr>
        <w:t xml:space="preserve"> </w:t>
      </w:r>
      <w:r>
        <w:rPr>
          <w:rFonts w:ascii="Times New Roman" w:hAnsi="Times New Roman" w:cs="Times New Roman"/>
          <w:sz w:val="24"/>
          <w:szCs w:val="24"/>
        </w:rPr>
        <w:t>+</w:t>
      </w:r>
    </w:p>
    <w:p w14:paraId="455516C1">
      <w:pPr>
        <w:spacing w:line="480" w:lineRule="auto"/>
        <w:rPr>
          <w:rFonts w:ascii="Times New Roman" w:hAnsi="Times New Roman" w:cs="Times New Roman"/>
          <w:sz w:val="24"/>
          <w:szCs w:val="24"/>
        </w:rPr>
      </w:pPr>
      <w:r>
        <w:rPr>
          <w:rFonts w:ascii="Times New Roman" w:hAnsi="Times New Roman" w:cs="Times New Roman"/>
          <w:sz w:val="24"/>
          <w:szCs w:val="24"/>
        </w:rPr>
        <w:t>ewfd.murinvyz*(ewfd.Bz-i*kappa/c0*ewfd.Ez))/mu0_const</w:t>
      </w:r>
    </w:p>
    <w:p w14:paraId="6C56D050">
      <w:pPr>
        <w:spacing w:line="480" w:lineRule="auto"/>
        <w:rPr>
          <w:rFonts w:ascii="Times New Roman" w:hAnsi="Times New Roman" w:cs="Times New Roman"/>
          <w:sz w:val="24"/>
          <w:szCs w:val="24"/>
        </w:rPr>
      </w:pPr>
      <w:r>
        <w:rPr>
          <w:rFonts w:ascii="Times New Roman" w:hAnsi="Times New Roman" w:cs="Times New Roman"/>
          <w:b/>
          <w:bCs/>
          <w:sz w:val="24"/>
          <w:szCs w:val="24"/>
        </w:rPr>
        <w:t>ewfd.Hz</w:t>
      </w:r>
      <w:r>
        <w:rPr>
          <w:rFonts w:ascii="Times New Roman" w:hAnsi="Times New Roman" w:cs="Times New Roman"/>
          <w:sz w:val="24"/>
          <w:szCs w:val="24"/>
        </w:rPr>
        <w:t>: (ewfd.murinvzx*(ewfd.Bx-i*kappa/c0*ewfd.Ex)</w:t>
      </w:r>
      <w:r>
        <w:rPr>
          <w:rFonts w:hint="eastAsia" w:ascii="Times New Roman" w:hAnsi="Times New Roman" w:cs="Times New Roman"/>
          <w:sz w:val="24"/>
          <w:szCs w:val="24"/>
        </w:rPr>
        <w:t xml:space="preserve"> </w:t>
      </w:r>
      <w:r>
        <w:rPr>
          <w:rFonts w:ascii="Times New Roman" w:hAnsi="Times New Roman" w:cs="Times New Roman"/>
          <w:sz w:val="24"/>
          <w:szCs w:val="24"/>
        </w:rPr>
        <w:t>+</w:t>
      </w:r>
    </w:p>
    <w:p w14:paraId="598283F9">
      <w:pPr>
        <w:spacing w:line="480" w:lineRule="auto"/>
        <w:rPr>
          <w:rFonts w:ascii="Times New Roman" w:hAnsi="Times New Roman" w:cs="Times New Roman"/>
          <w:sz w:val="24"/>
          <w:szCs w:val="24"/>
        </w:rPr>
      </w:pPr>
      <w:r>
        <w:rPr>
          <w:rFonts w:ascii="Times New Roman" w:hAnsi="Times New Roman" w:cs="Times New Roman"/>
          <w:sz w:val="24"/>
          <w:szCs w:val="24"/>
        </w:rPr>
        <w:t>ewfd.murinvzy*(ewfd.By-i*kappa/c0*ewfd.Ey)</w:t>
      </w:r>
      <w:r>
        <w:rPr>
          <w:rFonts w:hint="eastAsia" w:ascii="Times New Roman" w:hAnsi="Times New Roman" w:cs="Times New Roman"/>
          <w:sz w:val="24"/>
          <w:szCs w:val="24"/>
        </w:rPr>
        <w:t xml:space="preserve"> </w:t>
      </w:r>
      <w:r>
        <w:rPr>
          <w:rFonts w:ascii="Times New Roman" w:hAnsi="Times New Roman" w:cs="Times New Roman"/>
          <w:sz w:val="24"/>
          <w:szCs w:val="24"/>
        </w:rPr>
        <w:t>+</w:t>
      </w:r>
    </w:p>
    <w:p w14:paraId="7F0DCB7C">
      <w:pPr>
        <w:spacing w:line="480" w:lineRule="auto"/>
        <w:rPr>
          <w:rFonts w:ascii="Times New Roman" w:hAnsi="Times New Roman" w:cs="Times New Roman"/>
        </w:rPr>
      </w:pPr>
      <w:r>
        <w:rPr>
          <w:rFonts w:ascii="Times New Roman" w:hAnsi="Times New Roman" w:cs="Times New Roman"/>
        </w:rPr>
        <w:t>ewfd.murinvzz*(ewfd.Bz-i*kappa/c0*ewfd.Ez))/mu0_const</w:t>
      </w:r>
    </w:p>
    <w:p w14:paraId="4F4440B1">
      <w:pPr>
        <w:spacing w:line="480" w:lineRule="auto"/>
        <w:rPr>
          <w:rFonts w:ascii="Times New Roman" w:hAnsi="Times New Roman" w:cs="Times New Roman"/>
        </w:rPr>
      </w:pPr>
      <w:r>
        <w:rPr>
          <w:rFonts w:ascii="Times New Roman" w:hAnsi="Times New Roman" w:cs="Times New Roman"/>
          <w:b/>
          <w:bCs/>
        </w:rPr>
        <w:t>ewfd.dHdtx</w:t>
      </w:r>
      <w:r>
        <w:rPr>
          <w:rFonts w:ascii="Times New Roman" w:hAnsi="Times New Roman" w:cs="Times New Roman"/>
        </w:rPr>
        <w:t>: (ewfd.murinvxx*(ewfd.dBdtx-i*kappa/c0*ewfd.iomega*ewfd.Ex)</w:t>
      </w:r>
      <w:r>
        <w:rPr>
          <w:rFonts w:hint="eastAsia" w:ascii="Times New Roman" w:hAnsi="Times New Roman" w:cs="Times New Roman"/>
        </w:rPr>
        <w:t xml:space="preserve"> </w:t>
      </w:r>
      <w:r>
        <w:rPr>
          <w:rFonts w:ascii="Times New Roman" w:hAnsi="Times New Roman" w:cs="Times New Roman"/>
        </w:rPr>
        <w:t>+</w:t>
      </w:r>
    </w:p>
    <w:p w14:paraId="0872AED4">
      <w:pPr>
        <w:spacing w:line="480" w:lineRule="auto"/>
        <w:rPr>
          <w:rFonts w:ascii="Times New Roman" w:hAnsi="Times New Roman" w:cs="Times New Roman"/>
        </w:rPr>
      </w:pPr>
      <w:r>
        <w:rPr>
          <w:rFonts w:ascii="Times New Roman" w:hAnsi="Times New Roman" w:cs="Times New Roman"/>
        </w:rPr>
        <w:t>ewfd.murinvxy*(ewfd.dBdty-i*kappa/c0*ewfd.iomega*ewfd.Ey)+ewfd.murinvxz*</w:t>
      </w:r>
    </w:p>
    <w:p w14:paraId="32A9BD67">
      <w:pPr>
        <w:spacing w:line="480" w:lineRule="auto"/>
        <w:rPr>
          <w:rFonts w:ascii="Times New Roman" w:hAnsi="Times New Roman" w:cs="Times New Roman"/>
        </w:rPr>
      </w:pPr>
      <w:r>
        <w:rPr>
          <w:rFonts w:ascii="Times New Roman" w:hAnsi="Times New Roman" w:cs="Times New Roman"/>
        </w:rPr>
        <w:t>(ewfd.dBdtz-i*kappa)/c0*ewfd.iomega*ewfd.Ez))/mu0_const</w:t>
      </w:r>
    </w:p>
    <w:p w14:paraId="34D3EFB6">
      <w:pPr>
        <w:spacing w:line="480" w:lineRule="auto"/>
        <w:rPr>
          <w:rFonts w:ascii="Times New Roman" w:hAnsi="Times New Roman" w:cs="Times New Roman"/>
        </w:rPr>
      </w:pPr>
      <w:r>
        <w:rPr>
          <w:rFonts w:ascii="Times New Roman" w:hAnsi="Times New Roman" w:cs="Times New Roman"/>
          <w:b/>
          <w:bCs/>
        </w:rPr>
        <w:t>ewfd.dHdty</w:t>
      </w:r>
      <w:r>
        <w:rPr>
          <w:rFonts w:ascii="Times New Roman" w:hAnsi="Times New Roman" w:cs="Times New Roman"/>
        </w:rPr>
        <w:t>: (ewfd.murinvyx*(ewfd.dBdtx-i*kappa/c0*ewfd.iomega*ewfd.Ex)</w:t>
      </w:r>
      <w:r>
        <w:rPr>
          <w:rFonts w:hint="eastAsia" w:ascii="Times New Roman" w:hAnsi="Times New Roman" w:cs="Times New Roman"/>
        </w:rPr>
        <w:t xml:space="preserve"> </w:t>
      </w:r>
      <w:r>
        <w:rPr>
          <w:rFonts w:ascii="Times New Roman" w:hAnsi="Times New Roman" w:cs="Times New Roman"/>
        </w:rPr>
        <w:t>+</w:t>
      </w:r>
    </w:p>
    <w:p w14:paraId="419FE40C">
      <w:pPr>
        <w:spacing w:line="480" w:lineRule="auto"/>
        <w:rPr>
          <w:rFonts w:ascii="Times New Roman" w:hAnsi="Times New Roman" w:cs="Times New Roman"/>
        </w:rPr>
      </w:pPr>
      <w:r>
        <w:rPr>
          <w:rFonts w:ascii="Times New Roman" w:hAnsi="Times New Roman" w:cs="Times New Roman"/>
        </w:rPr>
        <w:t>ewfd.murinvyy*(ewfd.dBdty-i*kappa/c0*ewfd.iomega*ewfd.Ey)+ewfd.murinvyz*</w:t>
      </w:r>
    </w:p>
    <w:p w14:paraId="2DFC6C6A">
      <w:pPr>
        <w:spacing w:line="480" w:lineRule="auto"/>
        <w:rPr>
          <w:rFonts w:ascii="Times New Roman" w:hAnsi="Times New Roman" w:cs="Times New Roman"/>
        </w:rPr>
      </w:pPr>
      <w:r>
        <w:rPr>
          <w:rFonts w:ascii="Times New Roman" w:hAnsi="Times New Roman" w:cs="Times New Roman"/>
        </w:rPr>
        <w:t>(ewfd.dBdtz-i*kappa/c0*ewfd.iomega*ewfd.Ez))/mu0_const</w:t>
      </w:r>
    </w:p>
    <w:p w14:paraId="47D7DFFF">
      <w:pPr>
        <w:spacing w:line="480" w:lineRule="auto"/>
        <w:rPr>
          <w:rFonts w:ascii="Times New Roman" w:hAnsi="Times New Roman" w:cs="Times New Roman"/>
        </w:rPr>
      </w:pPr>
      <w:r>
        <w:rPr>
          <w:rFonts w:ascii="Times New Roman" w:hAnsi="Times New Roman" w:cs="Times New Roman"/>
          <w:b/>
          <w:bCs/>
        </w:rPr>
        <w:t>ewfd.dHdtz</w:t>
      </w:r>
      <w:r>
        <w:rPr>
          <w:rFonts w:ascii="Times New Roman" w:hAnsi="Times New Roman" w:cs="Times New Roman"/>
        </w:rPr>
        <w:t>: (ewfd.murinvzx*(ewfd.dBdtx-i*kappa/c0*ewfd.iomega*ewfd.Ex)</w:t>
      </w:r>
      <w:r>
        <w:rPr>
          <w:rFonts w:hint="eastAsia" w:ascii="Times New Roman" w:hAnsi="Times New Roman" w:cs="Times New Roman"/>
        </w:rPr>
        <w:t xml:space="preserve"> </w:t>
      </w:r>
      <w:r>
        <w:rPr>
          <w:rFonts w:ascii="Times New Roman" w:hAnsi="Times New Roman" w:cs="Times New Roman"/>
        </w:rPr>
        <w:t>+</w:t>
      </w:r>
    </w:p>
    <w:p w14:paraId="3FB90A09">
      <w:pPr>
        <w:spacing w:line="480" w:lineRule="auto"/>
        <w:rPr>
          <w:rFonts w:ascii="Times New Roman" w:hAnsi="Times New Roman" w:cs="Times New Roman"/>
        </w:rPr>
      </w:pPr>
      <w:r>
        <w:rPr>
          <w:rFonts w:ascii="Times New Roman" w:hAnsi="Times New Roman" w:cs="Times New Roman"/>
        </w:rPr>
        <w:t>ewfd.murinvzy*(ewfd.dBdty-i*kappa/c0*ewfd.iomega*ewfd.Ey)+ewfd.murinvzz*</w:t>
      </w:r>
    </w:p>
    <w:p w14:paraId="3B831597">
      <w:pPr>
        <w:spacing w:line="480" w:lineRule="auto"/>
        <w:rPr>
          <w:rFonts w:ascii="Times New Roman" w:hAnsi="Times New Roman" w:cs="Times New Roman"/>
        </w:rPr>
      </w:pPr>
      <w:r>
        <w:rPr>
          <w:rFonts w:ascii="Times New Roman" w:hAnsi="Times New Roman" w:cs="Times New Roman"/>
        </w:rPr>
        <w:t>(ewfd.dBdtz-i*kappa/c0*ewfd.iomega*ewfd.Ez))/mu0_const.</w:t>
      </w:r>
      <w:r>
        <w:rPr>
          <w:rFonts w:ascii="Times New Roman" w:hAnsi="Times New Roman" w:cs="Times New Roman"/>
        </w:rPr>
        <w:t xml:space="preserve"> </w:t>
      </w:r>
      <w:bookmarkStart w:id="4" w:name="_GoBack"/>
      <w:bookmarkEnd w:id="4"/>
    </w:p>
    <w:p w14:paraId="5EE96EA9">
      <w:pPr>
        <w:spacing w:line="480" w:lineRule="auto"/>
        <w:rPr>
          <w:rFonts w:ascii="Times New Roman" w:hAnsi="Times New Roman" w:cs="Times New Roman"/>
        </w:rPr>
      </w:pPr>
      <w:r>
        <w:rPr>
          <w:rFonts w:ascii="Times New Roman" w:hAnsi="Times New Roman" w:cs="Times New Roman"/>
        </w:rPr>
        <w:t xml:space="preserve">Before applying the above implementation, the following variables should be predefined in Component 1 </w:t>
      </w:r>
      <w:r>
        <w:rPr>
          <w:rFonts w:hint="eastAsia" w:ascii="Times New Roman" w:hAnsi="Times New Roman" w:cs="Times New Roman"/>
        </w:rPr>
        <w:t>→</w:t>
      </w:r>
      <w:r>
        <w:rPr>
          <w:rFonts w:ascii="Times New Roman" w:hAnsi="Times New Roman" w:cs="Times New Roman"/>
        </w:rPr>
        <w:t xml:space="preserve"> Definitions </w:t>
      </w:r>
      <w:r>
        <w:rPr>
          <w:rFonts w:hint="eastAsia" w:ascii="Times New Roman" w:hAnsi="Times New Roman" w:cs="Times New Roman"/>
        </w:rPr>
        <w:t>→</w:t>
      </w:r>
      <w:r>
        <w:rPr>
          <w:rFonts w:ascii="Times New Roman" w:hAnsi="Times New Roman" w:cs="Times New Roman"/>
        </w:rPr>
        <w:t xml:space="preserve"> Variables: “kappa” and “c0=1/sqrt(epsilon0_const*mu0_const)”</w:t>
      </w:r>
    </w:p>
    <w:p w14:paraId="7E8E18D1">
      <w:pPr>
        <w:spacing w:line="480" w:lineRule="auto"/>
        <w:rPr>
          <w:rFonts w:ascii="Times New Roman" w:hAnsi="Times New Roman" w:cs="Times New Roman"/>
          <w:b/>
          <w:bCs/>
          <w:sz w:val="24"/>
          <w:szCs w:val="24"/>
        </w:rPr>
      </w:pPr>
      <w:bookmarkStart w:id="1" w:name="OLE_LINK6"/>
    </w:p>
    <w:p w14:paraId="5EEBEB85">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Note S1. </w:t>
      </w:r>
      <w:bookmarkEnd w:id="1"/>
      <w:r>
        <w:rPr>
          <w:rFonts w:ascii="Times New Roman" w:hAnsi="Times New Roman" w:cs="Times New Roman"/>
          <w:b/>
          <w:bCs/>
          <w:sz w:val="24"/>
          <w:szCs w:val="24"/>
        </w:rPr>
        <w:t>Detailed parameters of the deep neural network</w:t>
      </w:r>
    </w:p>
    <w:p w14:paraId="63241B86">
      <w:pPr>
        <w:spacing w:line="480" w:lineRule="auto"/>
        <w:ind w:firstLine="420"/>
        <w:rPr>
          <w:rFonts w:ascii="Times New Roman" w:hAnsi="Times New Roman" w:eastAsia="宋体" w:cs="Times New Roman"/>
          <w:kern w:val="0"/>
          <w:sz w:val="24"/>
          <w:szCs w:val="24"/>
        </w:rPr>
      </w:pPr>
      <w:r>
        <w:rPr>
          <w:rFonts w:ascii="Times New Roman" w:hAnsi="Times New Roman" w:cs="Times New Roman"/>
          <w:sz w:val="24"/>
          <w:szCs w:val="24"/>
        </w:rPr>
        <w:t xml:space="preserve">A fully connected deep neural network (DNN) was employed to establish a rapid mapping between the metasurface structural parameters and the corresponding eigenmodes. The network consists of an input layer, three hidden layers, and an output layer, with an architecture of 3–256–256–128–8. The input layer contains three neurons corresponding to the three structural parameters </w:t>
      </w:r>
      <w:r>
        <w:rPr>
          <w:rFonts w:ascii="Times New Roman" w:hAnsi="Times New Roman" w:eastAsia="宋体" w:cs="Times New Roman"/>
          <w:kern w:val="0"/>
          <w:sz w:val="24"/>
          <w:szCs w:val="24"/>
        </w:rPr>
        <w:t>[</w:t>
      </w:r>
      <w:r>
        <w:rPr>
          <w:rFonts w:ascii="Times New Roman" w:hAnsi="Times New Roman" w:eastAsia="宋体" w:cs="Times New Roman"/>
          <w:i/>
          <w:iCs/>
          <w:kern w:val="0"/>
          <w:sz w:val="24"/>
          <w:szCs w:val="24"/>
        </w:rPr>
        <w:t>r</w:t>
      </w:r>
      <w:r>
        <w:rPr>
          <w:rFonts w:ascii="Times New Roman" w:hAnsi="Times New Roman" w:eastAsia="宋体" w:cs="Times New Roman"/>
          <w:kern w:val="0"/>
          <w:sz w:val="24"/>
          <w:szCs w:val="24"/>
        </w:rPr>
        <w:t xml:space="preserve">, </w:t>
      </w:r>
      <w:r>
        <w:rPr>
          <w:rFonts w:ascii="Times New Roman" w:hAnsi="Times New Roman" w:eastAsia="宋体" w:cs="Times New Roman"/>
          <w:i/>
          <w:iCs/>
          <w:kern w:val="0"/>
          <w:sz w:val="24"/>
          <w:szCs w:val="24"/>
        </w:rPr>
        <w:t>d</w:t>
      </w:r>
      <w:r>
        <w:rPr>
          <w:rFonts w:ascii="Times New Roman" w:hAnsi="Times New Roman" w:eastAsia="宋体" w:cs="Times New Roman"/>
          <w:kern w:val="0"/>
          <w:sz w:val="24"/>
          <w:szCs w:val="24"/>
        </w:rPr>
        <w:t xml:space="preserve">, </w:t>
      </w:r>
      <w:r>
        <w:rPr>
          <w:rFonts w:ascii="Times New Roman" w:hAnsi="Times New Roman" w:eastAsia="宋体" w:cs="Times New Roman"/>
          <w:i/>
          <w:iCs/>
          <w:kern w:val="0"/>
          <w:sz w:val="24"/>
          <w:szCs w:val="24"/>
        </w:rPr>
        <w:t>t</w:t>
      </w:r>
      <w:r>
        <w:rPr>
          <w:rFonts w:ascii="Times New Roman" w:hAnsi="Times New Roman" w:eastAsia="宋体" w:cs="Times New Roman"/>
          <w:kern w:val="0"/>
          <w:sz w:val="24"/>
          <w:szCs w:val="24"/>
        </w:rPr>
        <w:t>], while the output layer contains eight neurons corresponding to the resonance wavelengths and quality factors of four eigenmodes, i.e., [</w:t>
      </w:r>
      <w:r>
        <w:rPr>
          <w:rFonts w:ascii="Times New Roman" w:hAnsi="Times New Roman" w:eastAsia="宋体" w:cs="Times New Roman"/>
          <w:i/>
          <w:iCs/>
          <w:kern w:val="0"/>
          <w:sz w:val="24"/>
          <w:szCs w:val="24"/>
        </w:rPr>
        <w:t>λ</w:t>
      </w:r>
      <w:r>
        <w:rPr>
          <w:rFonts w:ascii="Times New Roman" w:hAnsi="Times New Roman" w:eastAsia="宋体" w:cs="Times New Roman"/>
          <w:kern w:val="0"/>
          <w:sz w:val="24"/>
          <w:szCs w:val="24"/>
          <w:vertAlign w:val="subscript"/>
        </w:rPr>
        <w:t>1</w:t>
      </w:r>
      <w:r>
        <w:rPr>
          <w:rFonts w:ascii="Times New Roman" w:hAnsi="Times New Roman" w:eastAsia="宋体" w:cs="Times New Roman"/>
          <w:kern w:val="0"/>
          <w:sz w:val="24"/>
          <w:szCs w:val="24"/>
        </w:rPr>
        <w:t xml:space="preserve">, </w:t>
      </w:r>
      <w:r>
        <w:rPr>
          <w:rFonts w:ascii="Times New Roman" w:hAnsi="Times New Roman" w:eastAsia="宋体" w:cs="Times New Roman"/>
          <w:i/>
          <w:iCs/>
          <w:kern w:val="0"/>
          <w:sz w:val="24"/>
          <w:szCs w:val="24"/>
        </w:rPr>
        <w:t>λ</w:t>
      </w:r>
      <w:r>
        <w:rPr>
          <w:rFonts w:ascii="Times New Roman" w:hAnsi="Times New Roman" w:eastAsia="宋体" w:cs="Times New Roman"/>
          <w:kern w:val="0"/>
          <w:sz w:val="24"/>
          <w:szCs w:val="24"/>
          <w:vertAlign w:val="subscript"/>
        </w:rPr>
        <w:t>2</w:t>
      </w:r>
      <w:r>
        <w:rPr>
          <w:rFonts w:ascii="Times New Roman" w:hAnsi="Times New Roman" w:eastAsia="宋体" w:cs="Times New Roman"/>
          <w:kern w:val="0"/>
          <w:sz w:val="24"/>
          <w:szCs w:val="24"/>
        </w:rPr>
        <w:t>,</w:t>
      </w:r>
      <w:r>
        <w:rPr>
          <w:rFonts w:ascii="Times New Roman" w:hAnsi="Times New Roman" w:eastAsia="宋体" w:cs="Times New Roman"/>
          <w:i/>
          <w:iCs/>
          <w:kern w:val="0"/>
          <w:sz w:val="24"/>
          <w:szCs w:val="24"/>
        </w:rPr>
        <w:t xml:space="preserve"> λ</w:t>
      </w:r>
      <w:r>
        <w:rPr>
          <w:rFonts w:ascii="Times New Roman" w:hAnsi="Times New Roman" w:eastAsia="宋体" w:cs="Times New Roman"/>
          <w:kern w:val="0"/>
          <w:sz w:val="24"/>
          <w:szCs w:val="24"/>
          <w:vertAlign w:val="subscript"/>
        </w:rPr>
        <w:t>3</w:t>
      </w:r>
      <w:r>
        <w:rPr>
          <w:rFonts w:ascii="Times New Roman" w:hAnsi="Times New Roman" w:eastAsia="宋体" w:cs="Times New Roman"/>
          <w:kern w:val="0"/>
          <w:sz w:val="24"/>
          <w:szCs w:val="24"/>
        </w:rPr>
        <w:t>,</w:t>
      </w:r>
      <w:r>
        <w:rPr>
          <w:rFonts w:ascii="Times New Roman" w:hAnsi="Times New Roman" w:eastAsia="宋体" w:cs="Times New Roman"/>
          <w:i/>
          <w:iCs/>
          <w:kern w:val="0"/>
          <w:sz w:val="24"/>
          <w:szCs w:val="24"/>
        </w:rPr>
        <w:t xml:space="preserve"> λ</w:t>
      </w:r>
      <w:r>
        <w:rPr>
          <w:rFonts w:ascii="Times New Roman" w:hAnsi="Times New Roman" w:eastAsia="宋体" w:cs="Times New Roman"/>
          <w:kern w:val="0"/>
          <w:sz w:val="24"/>
          <w:szCs w:val="24"/>
          <w:vertAlign w:val="subscript"/>
        </w:rPr>
        <w:t>4</w:t>
      </w:r>
      <w:r>
        <w:rPr>
          <w:rFonts w:ascii="Times New Roman" w:hAnsi="Times New Roman" w:eastAsia="宋体" w:cs="Times New Roman"/>
          <w:kern w:val="0"/>
          <w:sz w:val="24"/>
          <w:szCs w:val="24"/>
        </w:rPr>
        <w:t xml:space="preserve">, </w:t>
      </w:r>
      <w:r>
        <w:rPr>
          <w:rFonts w:ascii="Times New Roman" w:hAnsi="Times New Roman" w:eastAsia="宋体" w:cs="Times New Roman"/>
          <w:i/>
          <w:iCs/>
          <w:kern w:val="0"/>
          <w:sz w:val="24"/>
          <w:szCs w:val="24"/>
        </w:rPr>
        <w:t>Q</w:t>
      </w:r>
      <w:r>
        <w:rPr>
          <w:rFonts w:ascii="Times New Roman" w:hAnsi="Times New Roman" w:eastAsia="宋体" w:cs="Times New Roman"/>
          <w:kern w:val="0"/>
          <w:sz w:val="24"/>
          <w:szCs w:val="24"/>
          <w:vertAlign w:val="subscript"/>
        </w:rPr>
        <w:t>1</w:t>
      </w:r>
      <w:r>
        <w:rPr>
          <w:rFonts w:ascii="Times New Roman" w:hAnsi="Times New Roman" w:eastAsia="宋体" w:cs="Times New Roman"/>
          <w:kern w:val="0"/>
          <w:sz w:val="24"/>
          <w:szCs w:val="24"/>
        </w:rPr>
        <w:t xml:space="preserve">, </w:t>
      </w:r>
      <w:r>
        <w:rPr>
          <w:rFonts w:ascii="Times New Roman" w:hAnsi="Times New Roman" w:eastAsia="宋体" w:cs="Times New Roman"/>
          <w:i/>
          <w:iCs/>
          <w:kern w:val="0"/>
          <w:sz w:val="24"/>
          <w:szCs w:val="24"/>
        </w:rPr>
        <w:t>Q</w:t>
      </w:r>
      <w:r>
        <w:rPr>
          <w:rFonts w:ascii="Times New Roman" w:hAnsi="Times New Roman" w:eastAsia="宋体" w:cs="Times New Roman"/>
          <w:kern w:val="0"/>
          <w:sz w:val="24"/>
          <w:szCs w:val="24"/>
          <w:vertAlign w:val="subscript"/>
        </w:rPr>
        <w:t>2</w:t>
      </w:r>
      <w:r>
        <w:rPr>
          <w:rFonts w:ascii="Times New Roman" w:hAnsi="Times New Roman" w:eastAsia="宋体" w:cs="Times New Roman"/>
          <w:kern w:val="0"/>
          <w:sz w:val="24"/>
          <w:szCs w:val="24"/>
        </w:rPr>
        <w:t>,</w:t>
      </w:r>
      <w:r>
        <w:rPr>
          <w:rFonts w:ascii="Times New Roman" w:hAnsi="Times New Roman" w:eastAsia="宋体" w:cs="Times New Roman"/>
          <w:i/>
          <w:iCs/>
          <w:kern w:val="0"/>
          <w:sz w:val="24"/>
          <w:szCs w:val="24"/>
        </w:rPr>
        <w:t xml:space="preserve"> Q</w:t>
      </w:r>
      <w:r>
        <w:rPr>
          <w:rFonts w:ascii="Times New Roman" w:hAnsi="Times New Roman" w:eastAsia="宋体" w:cs="Times New Roman"/>
          <w:kern w:val="0"/>
          <w:sz w:val="24"/>
          <w:szCs w:val="24"/>
          <w:vertAlign w:val="subscript"/>
        </w:rPr>
        <w:t>3</w:t>
      </w:r>
      <w:r>
        <w:rPr>
          <w:rFonts w:ascii="Times New Roman" w:hAnsi="Times New Roman" w:eastAsia="宋体" w:cs="Times New Roman"/>
          <w:kern w:val="0"/>
          <w:sz w:val="24"/>
          <w:szCs w:val="24"/>
        </w:rPr>
        <w:t>,</w:t>
      </w:r>
      <w:r>
        <w:rPr>
          <w:rFonts w:ascii="Times New Roman" w:hAnsi="Times New Roman" w:eastAsia="宋体" w:cs="Times New Roman"/>
          <w:i/>
          <w:iCs/>
          <w:kern w:val="0"/>
          <w:sz w:val="24"/>
          <w:szCs w:val="24"/>
        </w:rPr>
        <w:t xml:space="preserve"> Q</w:t>
      </w:r>
      <w:r>
        <w:rPr>
          <w:rFonts w:ascii="Times New Roman" w:hAnsi="Times New Roman" w:eastAsia="宋体" w:cs="Times New Roman"/>
          <w:kern w:val="0"/>
          <w:sz w:val="24"/>
          <w:szCs w:val="24"/>
          <w:vertAlign w:val="subscript"/>
        </w:rPr>
        <w:t>4</w:t>
      </w:r>
      <w:r>
        <w:rPr>
          <w:rFonts w:ascii="Times New Roman" w:hAnsi="Times New Roman" w:eastAsia="宋体" w:cs="Times New Roman"/>
          <w:kern w:val="0"/>
          <w:sz w:val="24"/>
          <w:szCs w:val="24"/>
        </w:rPr>
        <w:t xml:space="preserve">]. Because the dynamic range of the Q factors is much larger than that of the wavelength components, and the Q values of different modes may span several orders of magnitude, the fifth to eighth output dimensions were transformed from </w:t>
      </w:r>
      <w:r>
        <w:rPr>
          <w:rFonts w:ascii="Times New Roman" w:hAnsi="Times New Roman" w:eastAsia="宋体" w:cs="Times New Roman"/>
          <w:i/>
          <w:iCs/>
          <w:kern w:val="0"/>
          <w:sz w:val="24"/>
          <w:szCs w:val="24"/>
        </w:rPr>
        <w:t>Q</w:t>
      </w:r>
      <w:r>
        <w:rPr>
          <w:rFonts w:ascii="Times New Roman" w:hAnsi="Times New Roman" w:eastAsia="宋体" w:cs="Times New Roman"/>
          <w:kern w:val="0"/>
          <w:sz w:val="24"/>
          <w:szCs w:val="24"/>
        </w:rPr>
        <w:t xml:space="preserve"> to log</w:t>
      </w:r>
      <w:r>
        <w:rPr>
          <w:rFonts w:ascii="Times New Roman" w:hAnsi="Times New Roman" w:eastAsia="宋体" w:cs="Times New Roman"/>
          <w:kern w:val="0"/>
          <w:sz w:val="24"/>
          <w:szCs w:val="24"/>
          <w:vertAlign w:val="subscript"/>
        </w:rPr>
        <w:t>10</w:t>
      </w:r>
      <w:r>
        <w:rPr>
          <w:rFonts w:ascii="Times New Roman" w:hAnsi="Times New Roman" w:eastAsia="宋体" w:cs="Times New Roman"/>
          <w:i/>
          <w:iCs/>
          <w:kern w:val="0"/>
          <w:sz w:val="24"/>
          <w:szCs w:val="24"/>
        </w:rPr>
        <w:t>Q</w:t>
      </w:r>
      <w:r>
        <w:rPr>
          <w:rFonts w:ascii="Times New Roman" w:hAnsi="Times New Roman" w:eastAsia="宋体" w:cs="Times New Roman"/>
          <w:kern w:val="0"/>
          <w:sz w:val="24"/>
          <w:szCs w:val="24"/>
        </w:rPr>
        <w:t xml:space="preserve"> during training to reduce scale imbalance among the output variables and improve training stability. Accordingly, the network was trained to predict [</w:t>
      </w:r>
      <w:r>
        <w:rPr>
          <w:rFonts w:ascii="Times New Roman" w:hAnsi="Times New Roman" w:eastAsia="宋体" w:cs="Times New Roman"/>
          <w:i/>
          <w:iCs/>
          <w:kern w:val="0"/>
          <w:sz w:val="24"/>
          <w:szCs w:val="24"/>
        </w:rPr>
        <w:t>λ</w:t>
      </w:r>
      <w:r>
        <w:rPr>
          <w:rFonts w:ascii="Times New Roman" w:hAnsi="Times New Roman" w:eastAsia="宋体" w:cs="Times New Roman"/>
          <w:kern w:val="0"/>
          <w:sz w:val="24"/>
          <w:szCs w:val="24"/>
          <w:vertAlign w:val="subscript"/>
        </w:rPr>
        <w:t>1</w:t>
      </w:r>
      <w:r>
        <w:rPr>
          <w:rFonts w:ascii="Times New Roman" w:hAnsi="Times New Roman" w:eastAsia="宋体" w:cs="Times New Roman"/>
          <w:kern w:val="0"/>
          <w:sz w:val="24"/>
          <w:szCs w:val="24"/>
        </w:rPr>
        <w:t xml:space="preserve">, </w:t>
      </w:r>
      <w:r>
        <w:rPr>
          <w:rFonts w:ascii="Times New Roman" w:hAnsi="Times New Roman" w:eastAsia="宋体" w:cs="Times New Roman"/>
          <w:i/>
          <w:iCs/>
          <w:kern w:val="0"/>
          <w:sz w:val="24"/>
          <w:szCs w:val="24"/>
        </w:rPr>
        <w:t>λ</w:t>
      </w:r>
      <w:r>
        <w:rPr>
          <w:rFonts w:ascii="Times New Roman" w:hAnsi="Times New Roman" w:eastAsia="宋体" w:cs="Times New Roman"/>
          <w:kern w:val="0"/>
          <w:sz w:val="24"/>
          <w:szCs w:val="24"/>
          <w:vertAlign w:val="subscript"/>
        </w:rPr>
        <w:t>2</w:t>
      </w:r>
      <w:r>
        <w:rPr>
          <w:rFonts w:ascii="Times New Roman" w:hAnsi="Times New Roman" w:eastAsia="宋体" w:cs="Times New Roman"/>
          <w:kern w:val="0"/>
          <w:sz w:val="24"/>
          <w:szCs w:val="24"/>
        </w:rPr>
        <w:t>,</w:t>
      </w:r>
      <w:r>
        <w:rPr>
          <w:rFonts w:ascii="Times New Roman" w:hAnsi="Times New Roman" w:eastAsia="宋体" w:cs="Times New Roman"/>
          <w:i/>
          <w:iCs/>
          <w:kern w:val="0"/>
          <w:sz w:val="24"/>
          <w:szCs w:val="24"/>
        </w:rPr>
        <w:t xml:space="preserve"> λ</w:t>
      </w:r>
      <w:r>
        <w:rPr>
          <w:rFonts w:ascii="Times New Roman" w:hAnsi="Times New Roman" w:eastAsia="宋体" w:cs="Times New Roman"/>
          <w:kern w:val="0"/>
          <w:sz w:val="24"/>
          <w:szCs w:val="24"/>
          <w:vertAlign w:val="subscript"/>
        </w:rPr>
        <w:t>3</w:t>
      </w:r>
      <w:r>
        <w:rPr>
          <w:rFonts w:ascii="Times New Roman" w:hAnsi="Times New Roman" w:eastAsia="宋体" w:cs="Times New Roman"/>
          <w:kern w:val="0"/>
          <w:sz w:val="24"/>
          <w:szCs w:val="24"/>
        </w:rPr>
        <w:t>,</w:t>
      </w:r>
      <w:r>
        <w:rPr>
          <w:rFonts w:ascii="Times New Roman" w:hAnsi="Times New Roman" w:eastAsia="宋体" w:cs="Times New Roman"/>
          <w:i/>
          <w:iCs/>
          <w:kern w:val="0"/>
          <w:sz w:val="24"/>
          <w:szCs w:val="24"/>
        </w:rPr>
        <w:t xml:space="preserve"> λ</w:t>
      </w:r>
      <w:r>
        <w:rPr>
          <w:rFonts w:ascii="Times New Roman" w:hAnsi="Times New Roman" w:eastAsia="宋体" w:cs="Times New Roman"/>
          <w:kern w:val="0"/>
          <w:sz w:val="24"/>
          <w:szCs w:val="24"/>
          <w:vertAlign w:val="subscript"/>
        </w:rPr>
        <w:t>4</w:t>
      </w:r>
      <w:r>
        <w:rPr>
          <w:rFonts w:ascii="Times New Roman" w:hAnsi="Times New Roman" w:eastAsia="宋体" w:cs="Times New Roman"/>
          <w:kern w:val="0"/>
          <w:sz w:val="24"/>
          <w:szCs w:val="24"/>
        </w:rPr>
        <w:t>, log</w:t>
      </w:r>
      <w:r>
        <w:rPr>
          <w:rFonts w:ascii="Times New Roman" w:hAnsi="Times New Roman" w:eastAsia="宋体" w:cs="Times New Roman"/>
          <w:kern w:val="0"/>
          <w:sz w:val="24"/>
          <w:szCs w:val="24"/>
          <w:vertAlign w:val="subscript"/>
        </w:rPr>
        <w:t>10</w:t>
      </w:r>
      <w:r>
        <w:rPr>
          <w:rFonts w:ascii="Times New Roman" w:hAnsi="Times New Roman" w:eastAsia="宋体" w:cs="Times New Roman"/>
          <w:i/>
          <w:iCs/>
          <w:kern w:val="0"/>
          <w:sz w:val="24"/>
          <w:szCs w:val="24"/>
        </w:rPr>
        <w:t>Q</w:t>
      </w:r>
      <w:r>
        <w:rPr>
          <w:rFonts w:ascii="Times New Roman" w:hAnsi="Times New Roman" w:eastAsia="宋体" w:cs="Times New Roman"/>
          <w:kern w:val="0"/>
          <w:sz w:val="24"/>
          <w:szCs w:val="24"/>
          <w:vertAlign w:val="subscript"/>
        </w:rPr>
        <w:t>1</w:t>
      </w:r>
      <w:r>
        <w:rPr>
          <w:rFonts w:ascii="Times New Roman" w:hAnsi="Times New Roman" w:eastAsia="宋体" w:cs="Times New Roman"/>
          <w:kern w:val="0"/>
          <w:sz w:val="24"/>
          <w:szCs w:val="24"/>
        </w:rPr>
        <w:t>, log</w:t>
      </w:r>
      <w:r>
        <w:rPr>
          <w:rFonts w:ascii="Times New Roman" w:hAnsi="Times New Roman" w:eastAsia="宋体" w:cs="Times New Roman"/>
          <w:kern w:val="0"/>
          <w:sz w:val="24"/>
          <w:szCs w:val="24"/>
          <w:vertAlign w:val="subscript"/>
        </w:rPr>
        <w:t>10</w:t>
      </w:r>
      <w:r>
        <w:rPr>
          <w:rFonts w:ascii="Times New Roman" w:hAnsi="Times New Roman" w:eastAsia="宋体" w:cs="Times New Roman"/>
          <w:kern w:val="0"/>
          <w:sz w:val="24"/>
          <w:szCs w:val="24"/>
        </w:rPr>
        <w:t xml:space="preserve"> </w:t>
      </w:r>
      <w:r>
        <w:rPr>
          <w:rFonts w:ascii="Times New Roman" w:hAnsi="Times New Roman" w:eastAsia="宋体" w:cs="Times New Roman"/>
          <w:i/>
          <w:iCs/>
          <w:kern w:val="0"/>
          <w:sz w:val="24"/>
          <w:szCs w:val="24"/>
        </w:rPr>
        <w:t>Q</w:t>
      </w:r>
      <w:r>
        <w:rPr>
          <w:rFonts w:ascii="Times New Roman" w:hAnsi="Times New Roman" w:eastAsia="宋体" w:cs="Times New Roman"/>
          <w:kern w:val="0"/>
          <w:sz w:val="24"/>
          <w:szCs w:val="24"/>
          <w:vertAlign w:val="subscript"/>
        </w:rPr>
        <w:t>2</w:t>
      </w:r>
      <w:r>
        <w:rPr>
          <w:rFonts w:ascii="Times New Roman" w:hAnsi="Times New Roman" w:eastAsia="宋体" w:cs="Times New Roman"/>
          <w:kern w:val="0"/>
          <w:sz w:val="24"/>
          <w:szCs w:val="24"/>
        </w:rPr>
        <w:t>,</w:t>
      </w:r>
      <w:r>
        <w:rPr>
          <w:rFonts w:ascii="Times New Roman" w:hAnsi="Times New Roman" w:eastAsia="宋体" w:cs="Times New Roman"/>
          <w:i/>
          <w:iCs/>
          <w:kern w:val="0"/>
          <w:sz w:val="24"/>
          <w:szCs w:val="24"/>
        </w:rPr>
        <w:t xml:space="preserve"> </w:t>
      </w:r>
      <w:r>
        <w:rPr>
          <w:rFonts w:ascii="Times New Roman" w:hAnsi="Times New Roman" w:eastAsia="宋体" w:cs="Times New Roman"/>
          <w:kern w:val="0"/>
          <w:sz w:val="24"/>
          <w:szCs w:val="24"/>
        </w:rPr>
        <w:t>log</w:t>
      </w:r>
      <w:r>
        <w:rPr>
          <w:rFonts w:ascii="Times New Roman" w:hAnsi="Times New Roman" w:eastAsia="宋体" w:cs="Times New Roman"/>
          <w:kern w:val="0"/>
          <w:sz w:val="24"/>
          <w:szCs w:val="24"/>
          <w:vertAlign w:val="subscript"/>
        </w:rPr>
        <w:t>10</w:t>
      </w:r>
      <w:r>
        <w:rPr>
          <w:rFonts w:ascii="Times New Roman" w:hAnsi="Times New Roman" w:eastAsia="宋体" w:cs="Times New Roman"/>
          <w:i/>
          <w:iCs/>
          <w:kern w:val="0"/>
          <w:sz w:val="24"/>
          <w:szCs w:val="24"/>
        </w:rPr>
        <w:t>Q</w:t>
      </w:r>
      <w:r>
        <w:rPr>
          <w:rFonts w:ascii="Times New Roman" w:hAnsi="Times New Roman" w:eastAsia="宋体" w:cs="Times New Roman"/>
          <w:kern w:val="0"/>
          <w:sz w:val="24"/>
          <w:szCs w:val="24"/>
          <w:vertAlign w:val="subscript"/>
        </w:rPr>
        <w:t>3</w:t>
      </w:r>
      <w:r>
        <w:rPr>
          <w:rFonts w:ascii="Times New Roman" w:hAnsi="Times New Roman" w:eastAsia="宋体" w:cs="Times New Roman"/>
          <w:kern w:val="0"/>
          <w:sz w:val="24"/>
          <w:szCs w:val="24"/>
        </w:rPr>
        <w:t>,</w:t>
      </w:r>
      <w:r>
        <w:rPr>
          <w:rFonts w:ascii="Times New Roman" w:hAnsi="Times New Roman" w:eastAsia="宋体" w:cs="Times New Roman"/>
          <w:i/>
          <w:iCs/>
          <w:kern w:val="0"/>
          <w:sz w:val="24"/>
          <w:szCs w:val="24"/>
        </w:rPr>
        <w:t xml:space="preserve"> </w:t>
      </w:r>
      <w:r>
        <w:rPr>
          <w:rFonts w:ascii="Times New Roman" w:hAnsi="Times New Roman" w:eastAsia="宋体" w:cs="Times New Roman"/>
          <w:kern w:val="0"/>
          <w:sz w:val="24"/>
          <w:szCs w:val="24"/>
        </w:rPr>
        <w:t>log</w:t>
      </w:r>
      <w:r>
        <w:rPr>
          <w:rFonts w:ascii="Times New Roman" w:hAnsi="Times New Roman" w:eastAsia="宋体" w:cs="Times New Roman"/>
          <w:kern w:val="0"/>
          <w:sz w:val="24"/>
          <w:szCs w:val="24"/>
          <w:vertAlign w:val="subscript"/>
        </w:rPr>
        <w:t>10</w:t>
      </w:r>
      <w:r>
        <w:rPr>
          <w:rFonts w:ascii="Times New Roman" w:hAnsi="Times New Roman" w:eastAsia="宋体" w:cs="Times New Roman"/>
          <w:i/>
          <w:iCs/>
          <w:kern w:val="0"/>
          <w:sz w:val="24"/>
          <w:szCs w:val="24"/>
        </w:rPr>
        <w:t>Q</w:t>
      </w:r>
      <w:r>
        <w:rPr>
          <w:rFonts w:ascii="Times New Roman" w:hAnsi="Times New Roman" w:eastAsia="宋体" w:cs="Times New Roman"/>
          <w:kern w:val="0"/>
          <w:sz w:val="24"/>
          <w:szCs w:val="24"/>
          <w:vertAlign w:val="subscript"/>
        </w:rPr>
        <w:t>4</w:t>
      </w:r>
      <w:r>
        <w:rPr>
          <w:rFonts w:ascii="Times New Roman" w:hAnsi="Times New Roman" w:eastAsia="宋体" w:cs="Times New Roman"/>
          <w:kern w:val="0"/>
          <w:sz w:val="24"/>
          <w:szCs w:val="24"/>
        </w:rPr>
        <w:t>]</w:t>
      </w:r>
      <w:r>
        <w:rPr>
          <w:rFonts w:ascii="Times New Roman" w:hAnsi="Times New Roman" w:cs="Times New Roman"/>
          <w:sz w:val="24"/>
          <w:szCs w:val="24"/>
        </w:rPr>
        <w:t>. A</w:t>
      </w:r>
      <w:r>
        <w:rPr>
          <w:rFonts w:ascii="Times New Roman" w:hAnsi="Times New Roman" w:eastAsia="宋体" w:cs="Times New Roman"/>
          <w:kern w:val="0"/>
          <w:sz w:val="24"/>
          <w:szCs w:val="24"/>
        </w:rPr>
        <w:t>fter prediction, the log</w:t>
      </w:r>
      <w:r>
        <w:rPr>
          <w:rFonts w:ascii="Times New Roman" w:hAnsi="Times New Roman" w:eastAsia="宋体" w:cs="Times New Roman"/>
          <w:kern w:val="0"/>
          <w:sz w:val="24"/>
          <w:szCs w:val="24"/>
          <w:vertAlign w:val="subscript"/>
        </w:rPr>
        <w:t>10</w:t>
      </w:r>
      <w:r>
        <w:rPr>
          <w:rFonts w:ascii="Times New Roman" w:hAnsi="Times New Roman" w:eastAsia="宋体" w:cs="Times New Roman"/>
          <w:i/>
          <w:iCs/>
          <w:kern w:val="0"/>
          <w:sz w:val="24"/>
          <w:szCs w:val="24"/>
        </w:rPr>
        <w:t>Q</w:t>
      </w:r>
      <w:r>
        <w:rPr>
          <w:rFonts w:ascii="Times New Roman" w:hAnsi="Times New Roman" w:eastAsia="宋体" w:cs="Times New Roman"/>
          <w:kern w:val="0"/>
          <w:sz w:val="24"/>
          <w:szCs w:val="24"/>
        </w:rPr>
        <w:t xml:space="preserve"> were transformed back to the corresponding physical Q factors. The three hidden layers are fully connected and contain 256, 256, and 128 neurons, respectively. The activation function was chosen as SiLU. Both the input and output variables were normalized separately using MinMaxScaler to mitigate the influence of different physical scales. The dataset was divided into training, validation, and test sets with a ratio of 6</w:t>
      </w:r>
      <w:r>
        <w:rPr>
          <w:rFonts w:ascii="Times New Roman" w:hAnsi="Times New Roman" w:cs="Times New Roman"/>
        </w:rPr>
        <w:t>∶</w:t>
      </w:r>
      <w:r>
        <w:rPr>
          <w:rFonts w:ascii="Times New Roman" w:hAnsi="Times New Roman" w:eastAsia="宋体" w:cs="Times New Roman"/>
          <w:kern w:val="0"/>
          <w:sz w:val="24"/>
          <w:szCs w:val="24"/>
        </w:rPr>
        <w:t>2</w:t>
      </w:r>
      <w:r>
        <w:rPr>
          <w:rFonts w:ascii="Times New Roman" w:hAnsi="Times New Roman" w:cs="Times New Roman"/>
        </w:rPr>
        <w:t>∶</w:t>
      </w:r>
      <w:r>
        <w:rPr>
          <w:rFonts w:ascii="Times New Roman" w:hAnsi="Times New Roman" w:eastAsia="宋体" w:cs="Times New Roman"/>
          <w:kern w:val="0"/>
          <w:sz w:val="24"/>
          <w:szCs w:val="24"/>
        </w:rPr>
        <w:t>2.</w:t>
      </w:r>
    </w:p>
    <w:p w14:paraId="5752F55E">
      <w:pPr>
        <w:spacing w:line="480" w:lineRule="auto"/>
        <w:ind w:firstLine="420"/>
        <w:rPr>
          <w:rFonts w:ascii="Times New Roman" w:hAnsi="Times New Roman" w:eastAsia="宋体" w:cs="Times New Roman"/>
          <w:kern w:val="0"/>
          <w:sz w:val="24"/>
          <w:szCs w:val="24"/>
        </w:rPr>
      </w:pPr>
      <w:r>
        <w:rPr>
          <w:rFonts w:ascii="Times New Roman" w:hAnsi="Times New Roman" w:eastAsia="宋体" w:cs="Times New Roman"/>
          <w:kern w:val="0"/>
          <w:sz w:val="24"/>
          <w:szCs w:val="24"/>
        </w:rPr>
        <w:t>It should be noted that, because the four eigenmodes may approach, cross, or undergo avoided crossing in the parameter space, mode-label switching can occur, meaning that the same output column does not necessarily correspond to the same physical mode across neighboring samples. To address this issue, the original ordered multi-output regression task was reformulated as a modal-set prediction problem, and a permutation-invariant loss was introduced during training. Specifically, all possible permutations of the four modal pairs (</w:t>
      </w:r>
      <w:r>
        <w:rPr>
          <w:rFonts w:ascii="Times New Roman" w:hAnsi="Times New Roman" w:eastAsia="宋体" w:cs="Times New Roman"/>
          <w:i/>
          <w:iCs/>
          <w:kern w:val="0"/>
          <w:sz w:val="24"/>
          <w:szCs w:val="24"/>
        </w:rPr>
        <w:t>λ</w:t>
      </w:r>
      <w:r>
        <w:rPr>
          <w:rFonts w:ascii="Times New Roman" w:hAnsi="Times New Roman" w:eastAsia="宋体" w:cs="Times New Roman"/>
          <w:kern w:val="0"/>
          <w:sz w:val="24"/>
          <w:szCs w:val="24"/>
          <w:vertAlign w:val="subscript"/>
        </w:rPr>
        <w:t>i</w:t>
      </w:r>
      <w:r>
        <w:rPr>
          <w:rFonts w:ascii="Times New Roman" w:hAnsi="Times New Roman" w:eastAsia="宋体" w:cs="Times New Roman"/>
          <w:kern w:val="0"/>
          <w:sz w:val="24"/>
          <w:szCs w:val="24"/>
        </w:rPr>
        <w:t>, log</w:t>
      </w:r>
      <w:r>
        <w:rPr>
          <w:rFonts w:ascii="Times New Roman" w:hAnsi="Times New Roman" w:eastAsia="宋体" w:cs="Times New Roman"/>
          <w:kern w:val="0"/>
          <w:sz w:val="24"/>
          <w:szCs w:val="24"/>
          <w:vertAlign w:val="subscript"/>
        </w:rPr>
        <w:t>10</w:t>
      </w:r>
      <w:r>
        <w:rPr>
          <w:rFonts w:ascii="Times New Roman" w:hAnsi="Times New Roman" w:eastAsia="宋体" w:cs="Times New Roman"/>
          <w:i/>
          <w:iCs/>
          <w:kern w:val="0"/>
          <w:sz w:val="24"/>
          <w:szCs w:val="24"/>
        </w:rPr>
        <w:t>Q</w:t>
      </w:r>
      <w:r>
        <w:rPr>
          <w:rFonts w:ascii="Times New Roman" w:hAnsi="Times New Roman" w:eastAsia="宋体" w:cs="Times New Roman"/>
          <w:kern w:val="0"/>
          <w:sz w:val="24"/>
          <w:szCs w:val="24"/>
          <w:vertAlign w:val="subscript"/>
        </w:rPr>
        <w:t>i</w:t>
      </w:r>
      <w:r>
        <w:rPr>
          <w:rFonts w:ascii="Times New Roman" w:hAnsi="Times New Roman" w:eastAsia="宋体" w:cs="Times New Roman"/>
          <w:kern w:val="0"/>
          <w:sz w:val="24"/>
          <w:szCs w:val="24"/>
        </w:rPr>
        <w:t>) were considered, and the minimum matching error was used as the optimization objective. In this way, the network learns the mapping from structural parameters to an unordered modal set, rather than performing element-wise regression against fixed column labels.</w:t>
      </w:r>
    </w:p>
    <w:p w14:paraId="07AE8B04">
      <w:pPr>
        <w:spacing w:line="480" w:lineRule="auto"/>
        <w:ind w:firstLine="420"/>
        <w:rPr>
          <w:rFonts w:ascii="Times New Roman" w:hAnsi="Times New Roman" w:eastAsia="宋体" w:cs="Times New Roman"/>
          <w:kern w:val="0"/>
          <w:sz w:val="24"/>
          <w:szCs w:val="24"/>
        </w:rPr>
      </w:pPr>
      <w:r>
        <w:rPr>
          <w:rFonts w:ascii="Times New Roman" w:hAnsi="Times New Roman" w:eastAsia="宋体" w:cs="Times New Roman"/>
          <w:kern w:val="0"/>
          <w:sz w:val="24"/>
          <w:szCs w:val="24"/>
        </w:rPr>
        <w:t>Training was carried out using the Adam optimizer with an initial learning rate of 1</w:t>
      </w:r>
      <w:r>
        <w:rPr>
          <w:rFonts w:hint="eastAsia" w:ascii="Times New Roman" w:hAnsi="Times New Roman" w:eastAsia="宋体" w:cs="Times New Roman"/>
          <w:kern w:val="0"/>
          <w:sz w:val="24"/>
          <w:szCs w:val="24"/>
        </w:rPr>
        <w:t xml:space="preserve"> </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eastAsia="宋体" w:cs="Times New Roman"/>
          <w:kern w:val="0"/>
          <w:sz w:val="24"/>
          <w:szCs w:val="24"/>
        </w:rPr>
        <w:t>10</w:t>
      </w:r>
      <w:r>
        <w:rPr>
          <w:rFonts w:ascii="Times New Roman" w:hAnsi="Times New Roman" w:eastAsia="宋体" w:cs="Times New Roman"/>
          <w:kern w:val="0"/>
          <w:sz w:val="24"/>
          <w:szCs w:val="24"/>
          <w:vertAlign w:val="superscript"/>
        </w:rPr>
        <w:t>-3</w:t>
      </w:r>
      <w:r>
        <w:rPr>
          <w:rFonts w:ascii="Times New Roman" w:hAnsi="Times New Roman" w:eastAsia="宋体" w:cs="Times New Roman"/>
          <w:kern w:val="0"/>
          <w:sz w:val="24"/>
          <w:szCs w:val="24"/>
        </w:rPr>
        <w:t xml:space="preserve"> and a batch size of 128. The loss function was defined as a permutation-matched mean squared error (MSE). In addition, a ReduceLROnPlateau learning-rate scheduler was employed: when the validation loss did not show significant improvement for 100 consecutive epochs, the learning rate was reduced by a factor of 0.5. To prevent overfitting, an early stopping strategy was further adopted: training was terminated if the validation loss did not improve for 300 consecutive epochs, and the model parameters corresponding to the best validation performance were retained. The maximum number of training epochs was set to 2000.</w:t>
      </w:r>
    </w:p>
    <w:p w14:paraId="075A2412">
      <w:pPr>
        <w:spacing w:line="480" w:lineRule="auto"/>
        <w:ind w:firstLine="420"/>
        <w:rPr>
          <w:rFonts w:ascii="Times New Roman" w:hAnsi="Times New Roman" w:eastAsia="宋体" w:cs="Times New Roman"/>
          <w:kern w:val="0"/>
          <w:sz w:val="24"/>
          <w:szCs w:val="24"/>
        </w:rPr>
      </w:pPr>
      <w:r>
        <w:rPr>
          <w:rFonts w:ascii="Times New Roman" w:hAnsi="Times New Roman" w:eastAsia="宋体" w:cs="Times New Roman"/>
          <w:kern w:val="0"/>
          <w:sz w:val="24"/>
          <w:szCs w:val="24"/>
        </w:rPr>
        <w:t>The DNN was trained to minimize the discrepancy between the predicted eigenmodes and those obtained from COMSOL simulations, while the validation set was used to monitor convergence behavior and generalization performance. The resulting trained model serves as a high-accuracy forward surrogate for the subsequent Bayesian optimization process, enabling rapid structural evaluation and inverse design.</w:t>
      </w:r>
    </w:p>
    <w:p w14:paraId="7DE30690">
      <w:pPr>
        <w:spacing w:line="480" w:lineRule="auto"/>
        <w:rPr>
          <w:rFonts w:ascii="Times New Roman" w:hAnsi="Times New Roman" w:cs="Times New Roman"/>
        </w:rPr>
      </w:pPr>
    </w:p>
    <w:p w14:paraId="401FA8CB">
      <w:pPr>
        <w:spacing w:line="480" w:lineRule="auto"/>
        <w:rPr>
          <w:rFonts w:ascii="Times New Roman" w:hAnsi="Times New Roman" w:cs="Times New Roman"/>
          <w:b/>
          <w:bCs/>
          <w:sz w:val="24"/>
          <w:szCs w:val="24"/>
        </w:rPr>
      </w:pPr>
      <w:r>
        <w:rPr>
          <w:rFonts w:ascii="Times New Roman" w:hAnsi="Times New Roman" w:cs="Times New Roman"/>
          <w:b/>
          <w:bCs/>
          <w:sz w:val="24"/>
          <w:szCs w:val="24"/>
        </w:rPr>
        <w:t>Note S2. Relationship between Optical Chirality Enhancement and CD Signal Enhancement</w:t>
      </w:r>
    </w:p>
    <w:p w14:paraId="4A4B16FC">
      <w:pPr>
        <w:spacing w:line="480" w:lineRule="auto"/>
        <w:ind w:firstLine="480" w:firstLineChars="200"/>
        <w:rPr>
          <w:rFonts w:ascii="Times New Roman" w:hAnsi="Times New Roman" w:cs="Times New Roman"/>
          <w:sz w:val="24"/>
          <w:szCs w:val="24"/>
        </w:rPr>
      </w:pPr>
      <w:r>
        <w:rPr>
          <w:rFonts w:ascii="Times New Roman" w:hAnsi="Times New Roman" w:cs="Times New Roman"/>
          <w:sz w:val="24"/>
          <w:szCs w:val="24"/>
        </w:rPr>
        <w:t xml:space="preserve">The intrinsic circular dichroism (CD) signal of chiral molecules is typically very weak because the chiroptical response of natural molecules is inherently small. For electromagnetic fields, the optical chirality </w:t>
      </w:r>
      <w:r>
        <w:rPr>
          <w:rFonts w:ascii="Times New Roman" w:hAnsi="Times New Roman" w:cs="Times New Roman"/>
          <w:i/>
          <w:iCs/>
          <w:sz w:val="24"/>
          <w:szCs w:val="24"/>
        </w:rPr>
        <w:t>C</w:t>
      </w:r>
      <w:r>
        <w:rPr>
          <w:rFonts w:ascii="Times New Roman" w:hAnsi="Times New Roman" w:cs="Times New Roman"/>
          <w:sz w:val="24"/>
          <w:szCs w:val="24"/>
        </w:rPr>
        <w:t xml:space="preserve"> can be expressed as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&lt;EndNote&gt;&lt;Cite&gt;&lt;Author&gt;Hu&lt;/Author&gt;&lt;Year&gt;2020&lt;/Year&gt;&lt;RecNum&gt;457&lt;/RecNum&gt;&lt;DisplayText&gt;&lt;style face="superscript"&gt;[2]&lt;/style&gt;&lt;/DisplayText&gt;&lt;record&gt;&lt;rec-number&gt;457&lt;/rec-number&gt;&lt;foreign-keys&gt;&lt;key app="EN" db-id="zrw9pxrs90ter3e52xrxzze0we02axwaf0wx" timestamp="1776259570"&gt;457&lt;/key&gt;&lt;/foreign-keys&gt;&lt;ref-type name="Journal Article"&gt;17&lt;/ref-type&gt;&lt;contributors&gt;&lt;authors&gt;&lt;author&gt;Hu, Jack&lt;/author&gt;&lt;author&gt;Lawrence, Mark&lt;/author&gt;&lt;author&gt;Dionne, Jennifer A.&lt;/author&gt;&lt;/authors&gt;&lt;/contributors&gt;&lt;titles&gt;&lt;title&gt;High Quality Factor Dielectric Metasurfaces for Ultraviolet Circular Dichroism Spectroscopy&lt;/title&gt;&lt;secondary-title&gt;ACS Photonics&lt;/secondary-title&gt;&lt;/titles&gt;&lt;periodical&gt;&lt;full-title&gt;ACS Photonics&lt;/full-title&gt;&lt;/periodical&gt;&lt;pages&gt;36-42&lt;/pages&gt;&lt;volume&gt;7&lt;/volume&gt;&lt;number&gt;1&lt;/number&gt;&lt;dates&gt;&lt;year&gt;2020&lt;/year&gt;&lt;pub-dates&gt;&lt;date&gt;2020/01/15&lt;/date&gt;&lt;/pub-dates&gt;&lt;/dates&gt;&lt;publisher&gt;American Chemical Society&lt;/publisher&gt;&lt;urls&gt;&lt;related-urls&gt;&lt;url&gt;https://doi.org/10.1021/acsphotonics.9b01352&lt;/url&gt;&lt;/related-urls&gt;&lt;/urls&gt;&lt;electronic-resource-num&gt;10.1021/acsphotonics.9b01352&lt;/electronic-resource-num&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p>
    <w:p w14:paraId="2F053071">
      <w:pPr>
        <w:spacing w:line="480" w:lineRule="auto"/>
        <w:jc w:val="center"/>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w:t>
      </w:r>
      <m:oMath>
        <m:r>
          <m:rPr>
            <m:nor/>
            <m:sty m:val="p"/>
          </m:rPr>
          <w:rPr>
            <w:rFonts w:hint="default" w:ascii="Times New Roman" w:hAnsi="Times New Roman" w:cs="Times New Roman"/>
            <w:sz w:val="24"/>
            <w:szCs w:val="24"/>
          </w:rPr>
          <m:t>C</m:t>
        </m:r>
        <m:r>
          <m:rPr>
            <m:nor/>
            <m:sty m:val="p"/>
          </m:rPr>
          <w:rPr>
            <w:rFonts w:ascii="Times New Roman" w:hAnsi="Times New Roman" w:cs="Times New Roman"/>
            <w:i w:val="0"/>
            <w:sz w:val="24"/>
            <w:szCs w:val="24"/>
          </w:rPr>
          <m:t xml:space="preserve">= − </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m:rPr>
                    <m:nor/>
                    <m:sty m:val="p"/>
                  </m:rPr>
                  <w:rPr>
                    <w:rFonts w:hint="default" w:ascii="Times New Roman" w:hAnsi="Times New Roman" w:cs="Times New Roman"/>
                    <w:sz w:val="24"/>
                    <w:szCs w:val="24"/>
                  </w:rPr>
                  <m:t>ε</m:t>
                </m:r>
                <m:ctrlPr>
                  <w:rPr>
                    <w:rFonts w:ascii="Cambria Math" w:hAnsi="Cambria Math" w:cs="Times New Roman"/>
                    <w:i/>
                    <w:sz w:val="24"/>
                    <w:szCs w:val="24"/>
                  </w:rPr>
                </m:ctrlPr>
              </m:e>
              <m:sub>
                <m:r>
                  <m:rPr>
                    <m:nor/>
                    <m:sty m:val="p"/>
                  </m:rPr>
                  <w:rPr>
                    <w:rFonts w:hint="default" w:ascii="Times New Roman" w:hAnsi="Times New Roman" w:cs="Times New Roman"/>
                    <w:i w:val="0"/>
                    <w:sz w:val="24"/>
                    <w:szCs w:val="24"/>
                  </w:rPr>
                  <m:t>0</m:t>
                </m:r>
                <m:ctrlPr>
                  <w:rPr>
                    <w:rFonts w:ascii="Cambria Math" w:hAnsi="Cambria Math" w:cs="Times New Roman"/>
                    <w:i/>
                    <w:sz w:val="24"/>
                    <w:szCs w:val="24"/>
                  </w:rPr>
                </m:ctrlPr>
              </m:sub>
            </m:sSub>
            <m:r>
              <m:rPr>
                <m:nor/>
                <m:sty m:val="p"/>
              </m:rPr>
              <w:rPr>
                <w:rFonts w:hint="default" w:ascii="Times New Roman" w:hAnsi="Times New Roman" w:cs="Times New Roman"/>
                <w:sz w:val="24"/>
                <w:szCs w:val="24"/>
              </w:rPr>
              <m:t>ω</m:t>
            </m:r>
            <m:ctrlPr>
              <w:rPr>
                <w:rFonts w:ascii="Cambria Math" w:hAnsi="Cambria Math" w:cs="Times New Roman"/>
                <w:i/>
                <w:sz w:val="24"/>
                <w:szCs w:val="24"/>
              </w:rPr>
            </m:ctrlPr>
          </m:num>
          <m:den>
            <m:r>
              <m:rPr>
                <m:nor/>
                <m:sty m:val="p"/>
              </m:rPr>
              <w:rPr>
                <w:rFonts w:ascii="Times New Roman" w:hAnsi="Times New Roman" w:cs="Times New Roman"/>
                <w:i w:val="0"/>
                <w:sz w:val="24"/>
                <w:szCs w:val="24"/>
              </w:rPr>
              <m:t>2</m:t>
            </m:r>
            <m:ctrlPr>
              <w:rPr>
                <w:rFonts w:ascii="Cambria Math" w:hAnsi="Cambria Math" w:cs="Times New Roman"/>
                <w:i/>
                <w:sz w:val="24"/>
                <w:szCs w:val="24"/>
              </w:rPr>
            </m:ctrlPr>
          </m:den>
        </m:f>
        <m:r>
          <m:rPr>
            <m:nor/>
            <m:sty m:val="p"/>
          </m:rPr>
          <w:rPr>
            <w:rFonts w:hint="default" w:ascii="Times New Roman" w:hAnsi="Times New Roman" w:cs="Times New Roman"/>
            <w:iCs/>
            <w:sz w:val="24"/>
            <w:szCs w:val="24"/>
          </w:rPr>
          <m:t>Im</m:t>
        </m:r>
        <m:d>
          <m:dPr>
            <m:ctrlPr>
              <w:rPr>
                <w:rFonts w:ascii="Cambria Math" w:hAnsi="Cambria Math" w:cs="Times New Roman"/>
                <w:iCs/>
                <w:sz w:val="24"/>
                <w:szCs w:val="24"/>
              </w:rPr>
            </m:ctrlPr>
          </m:dPr>
          <m:e>
            <m:sSup>
              <m:sSupPr>
                <m:ctrlPr>
                  <w:rPr>
                    <w:rFonts w:ascii="Cambria Math" w:hAnsi="Cambria Math" w:cs="Times New Roman"/>
                    <w:i/>
                    <w:iCs/>
                    <w:sz w:val="24"/>
                    <w:szCs w:val="24"/>
                  </w:rPr>
                </m:ctrlPr>
              </m:sSupPr>
              <m:e>
                <m:r>
                  <m:rPr>
                    <m:nor/>
                    <m:sty m:val="p"/>
                  </m:rPr>
                  <w:rPr>
                    <w:rFonts w:hint="default" w:ascii="Times New Roman" w:hAnsi="Times New Roman" w:cs="Times New Roman"/>
                    <w:iCs/>
                    <w:sz w:val="24"/>
                    <w:szCs w:val="24"/>
                  </w:rPr>
                  <m:t>E</m:t>
                </m:r>
                <m:ctrlPr>
                  <w:rPr>
                    <w:rFonts w:ascii="Cambria Math" w:hAnsi="Cambria Math" w:cs="Times New Roman"/>
                    <w:i/>
                    <w:iCs/>
                    <w:sz w:val="24"/>
                    <w:szCs w:val="24"/>
                  </w:rPr>
                </m:ctrlPr>
              </m:e>
              <m:sup>
                <m:r>
                  <m:rPr>
                    <m:nor/>
                    <m:sty m:val="p"/>
                  </m:rPr>
                  <w:rPr>
                    <w:rFonts w:hint="default" w:ascii="Times New Roman" w:hAnsi="Times New Roman" w:cs="Times New Roman"/>
                    <w:i w:val="0"/>
                    <w:iCs/>
                    <w:sz w:val="24"/>
                    <w:szCs w:val="24"/>
                  </w:rPr>
                  <m:t>*</m:t>
                </m:r>
                <m:ctrlPr>
                  <w:rPr>
                    <w:rFonts w:ascii="Cambria Math" w:hAnsi="Cambria Math" w:cs="Times New Roman"/>
                    <w:i/>
                    <w:iCs/>
                    <w:sz w:val="24"/>
                    <w:szCs w:val="24"/>
                  </w:rPr>
                </m:ctrlPr>
              </m:sup>
            </m:sSup>
            <m:r>
              <m:rPr>
                <m:nor/>
                <m:sty m:val="p"/>
              </m:rPr>
              <w:rPr>
                <w:rFonts w:hint="default" w:ascii="Times New Roman" w:hAnsi="Times New Roman" w:cs="Times New Roman"/>
                <w:i w:val="0"/>
                <w:iCs/>
                <w:sz w:val="24"/>
                <w:szCs w:val="24"/>
              </w:rPr>
              <m:t>∙</m:t>
            </m:r>
            <m:r>
              <m:rPr>
                <m:nor/>
                <m:sty m:val="p"/>
              </m:rPr>
              <w:rPr>
                <w:rFonts w:hint="default" w:ascii="Times New Roman" w:hAnsi="Times New Roman" w:cs="Times New Roman"/>
                <w:iCs/>
                <w:sz w:val="24"/>
                <w:szCs w:val="24"/>
              </w:rPr>
              <m:t>B</m:t>
            </m:r>
            <m:ctrlPr>
              <w:rPr>
                <w:rFonts w:ascii="Cambria Math" w:hAnsi="Cambria Math" w:cs="Times New Roman"/>
                <w:iCs/>
                <w:sz w:val="24"/>
                <w:szCs w:val="24"/>
              </w:rPr>
            </m:ctrlPr>
          </m:e>
        </m:d>
        <m:r>
          <m:rPr>
            <m:nor/>
            <m:sty m:val="p"/>
          </m:rPr>
          <w:rPr>
            <w:rFonts w:ascii="Times New Roman" w:hAnsi="Times New Roman" w:cs="Times New Roman"/>
            <w:i w:val="0"/>
            <w:sz w:val="24"/>
            <w:szCs w:val="24"/>
          </w:rPr>
          <m:t xml:space="preserve">= − </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m:rPr>
                    <m:nor/>
                    <m:sty m:val="p"/>
                  </m:rPr>
                  <w:rPr>
                    <w:rFonts w:hint="default" w:ascii="Times New Roman" w:hAnsi="Times New Roman" w:cs="Times New Roman"/>
                    <w:sz w:val="24"/>
                    <w:szCs w:val="24"/>
                  </w:rPr>
                  <m:t>ε</m:t>
                </m:r>
                <m:ctrlPr>
                  <w:rPr>
                    <w:rFonts w:ascii="Cambria Math" w:hAnsi="Cambria Math" w:cs="Times New Roman"/>
                    <w:i/>
                    <w:sz w:val="24"/>
                    <w:szCs w:val="24"/>
                  </w:rPr>
                </m:ctrlPr>
              </m:e>
              <m:sub>
                <m:r>
                  <m:rPr>
                    <m:nor/>
                    <m:sty m:val="p"/>
                  </m:rPr>
                  <w:rPr>
                    <w:rFonts w:hint="default" w:ascii="Times New Roman" w:hAnsi="Times New Roman" w:cs="Times New Roman"/>
                    <w:i w:val="0"/>
                    <w:sz w:val="24"/>
                    <w:szCs w:val="24"/>
                  </w:rPr>
                  <m:t>0</m:t>
                </m:r>
                <m:ctrlPr>
                  <w:rPr>
                    <w:rFonts w:ascii="Cambria Math" w:hAnsi="Cambria Math" w:cs="Times New Roman"/>
                    <w:i/>
                    <w:sz w:val="24"/>
                    <w:szCs w:val="24"/>
                  </w:rPr>
                </m:ctrlPr>
              </m:sub>
            </m:sSub>
            <m:r>
              <m:rPr>
                <m:nor/>
                <m:sty m:val="p"/>
              </m:rPr>
              <w:rPr>
                <w:rFonts w:hint="default" w:ascii="Times New Roman" w:hAnsi="Times New Roman" w:cs="Times New Roman"/>
                <w:sz w:val="24"/>
                <w:szCs w:val="24"/>
              </w:rPr>
              <m:t>ω</m:t>
            </m:r>
            <m:ctrlPr>
              <w:rPr>
                <w:rFonts w:ascii="Cambria Math" w:hAnsi="Cambria Math" w:cs="Times New Roman"/>
                <w:i/>
                <w:sz w:val="24"/>
                <w:szCs w:val="24"/>
              </w:rPr>
            </m:ctrlPr>
          </m:num>
          <m:den>
            <m:r>
              <m:rPr>
                <m:nor/>
                <m:sty m:val="p"/>
              </m:rPr>
              <w:rPr>
                <w:rFonts w:ascii="Times New Roman" w:hAnsi="Times New Roman" w:cs="Times New Roman"/>
                <w:i w:val="0"/>
                <w:sz w:val="24"/>
                <w:szCs w:val="24"/>
              </w:rPr>
              <m:t>2</m:t>
            </m:r>
            <m:ctrlPr>
              <w:rPr>
                <w:rFonts w:ascii="Cambria Math" w:hAnsi="Cambria Math" w:cs="Times New Roman"/>
                <w:i/>
                <w:sz w:val="24"/>
                <w:szCs w:val="24"/>
              </w:rPr>
            </m:ctrlPr>
          </m:den>
        </m:f>
        <m:d>
          <m:dPr>
            <m:begChr m:val="|"/>
            <m:endChr m:val="|"/>
            <m:ctrlPr>
              <w:rPr>
                <w:rFonts w:ascii="Cambria Math" w:hAnsi="Cambria Math" w:cs="Times New Roman"/>
                <w:i/>
                <w:sz w:val="24"/>
                <w:szCs w:val="24"/>
              </w:rPr>
            </m:ctrlPr>
          </m:dPr>
          <m:e>
            <m:r>
              <m:rPr>
                <m:nor/>
                <m:sty m:val="p"/>
              </m:rPr>
              <w:rPr>
                <w:rFonts w:hint="default" w:ascii="Times New Roman" w:hAnsi="Times New Roman" w:cs="Times New Roman"/>
                <w:sz w:val="24"/>
                <w:szCs w:val="24"/>
              </w:rPr>
              <m:t>E</m:t>
            </m:r>
            <m:ctrlPr>
              <w:rPr>
                <w:rFonts w:ascii="Cambria Math" w:hAnsi="Cambria Math" w:cs="Times New Roman"/>
                <w:i/>
                <w:sz w:val="24"/>
                <w:szCs w:val="24"/>
              </w:rPr>
            </m:ctrlPr>
          </m:e>
        </m:d>
        <m:d>
          <m:dPr>
            <m:begChr m:val="|"/>
            <m:endChr m:val="|"/>
            <m:ctrlPr>
              <w:rPr>
                <w:rFonts w:ascii="Cambria Math" w:hAnsi="Cambria Math" w:cs="Times New Roman"/>
                <w:i/>
                <w:sz w:val="24"/>
                <w:szCs w:val="24"/>
              </w:rPr>
            </m:ctrlPr>
          </m:dPr>
          <m:e>
            <m:r>
              <m:rPr>
                <m:nor/>
                <m:sty m:val="p"/>
              </m:rPr>
              <w:rPr>
                <w:rFonts w:hint="default" w:ascii="Times New Roman" w:hAnsi="Times New Roman" w:cs="Times New Roman"/>
                <w:sz w:val="24"/>
                <w:szCs w:val="24"/>
              </w:rPr>
              <m:t>H</m:t>
            </m:r>
            <m:ctrlPr>
              <w:rPr>
                <w:rFonts w:ascii="Cambria Math" w:hAnsi="Cambria Math" w:cs="Times New Roman"/>
                <w:i/>
                <w:sz w:val="24"/>
                <w:szCs w:val="24"/>
              </w:rPr>
            </m:ctrlPr>
          </m:e>
        </m:d>
        <m:r>
          <m:rPr>
            <m:nor/>
            <m:sty m:val="p"/>
          </m:rPr>
          <w:rPr>
            <w:rFonts w:hint="default" w:ascii="Times New Roman" w:hAnsi="Times New Roman" w:cs="Times New Roman"/>
            <w:sz w:val="24"/>
            <w:szCs w:val="24"/>
          </w:rPr>
          <m:t>cos</m:t>
        </m:r>
        <m:d>
          <m:dPr>
            <m:ctrlPr>
              <w:rPr>
                <w:rFonts w:ascii="Cambria Math" w:hAnsi="Cambria Math" w:cs="Times New Roman"/>
                <w:i/>
                <w:sz w:val="24"/>
                <w:szCs w:val="24"/>
              </w:rPr>
            </m:ctrlPr>
          </m:dPr>
          <m:e>
            <m:sSub>
              <w:bookmarkStart w:id="2" w:name="OLE_LINK7"/>
              <m:sSubPr>
                <m:ctrlPr>
                  <w:rPr>
                    <w:rFonts w:ascii="Cambria Math" w:hAnsi="Cambria Math" w:cs="Times New Roman"/>
                    <w:i/>
                    <w:sz w:val="24"/>
                    <w:szCs w:val="24"/>
                  </w:rPr>
                </m:ctrlPr>
              </m:sSubPr>
              <m:e>
                <m:r>
                  <m:rPr>
                    <m:nor/>
                  </m:rPr>
                  <w:rPr>
                    <w:rFonts w:hint="default" w:ascii="Times New Roman" w:hAnsi="Times New Roman" w:cs="Times New Roman"/>
                    <w:i/>
                    <w:iCs/>
                    <w:sz w:val="24"/>
                    <w:szCs w:val="24"/>
                  </w:rPr>
                  <m:t>φ</m:t>
                </m:r>
                <m:ctrlPr>
                  <w:rPr>
                    <w:rFonts w:ascii="Cambria Math" w:hAnsi="Cambria Math" w:cs="Times New Roman"/>
                    <w:i/>
                    <w:sz w:val="24"/>
                    <w:szCs w:val="24"/>
                  </w:rPr>
                </m:ctrlPr>
              </m:e>
              <m:sub>
                <m:r>
                  <m:rPr>
                    <m:nor/>
                  </m:rPr>
                  <w:rPr>
                    <w:rFonts w:hint="default" w:ascii="Times New Roman" w:hAnsi="Times New Roman" w:cs="Times New Roman"/>
                    <w:i/>
                    <w:iCs/>
                    <w:sz w:val="24"/>
                    <w:szCs w:val="24"/>
                  </w:rPr>
                  <m:t>i</m:t>
                </m:r>
                <m:r>
                  <m:rPr>
                    <m:nor/>
                    <m:sty m:val="p"/>
                  </m:rPr>
                  <w:rPr>
                    <w:rFonts w:hint="default" w:ascii="Times New Roman" w:hAnsi="Times New Roman" w:cs="Times New Roman"/>
                    <w:sz w:val="24"/>
                    <w:szCs w:val="24"/>
                  </w:rPr>
                  <m:t>E</m:t>
                </m:r>
                <m:r>
                  <m:rPr>
                    <m:nor/>
                    <m:sty m:val="p"/>
                  </m:rPr>
                  <w:rPr>
                    <w:rFonts w:hint="default" w:ascii="Times New Roman" w:hAnsi="Times New Roman" w:cs="Times New Roman"/>
                    <w:i w:val="0"/>
                    <w:sz w:val="24"/>
                    <w:szCs w:val="24"/>
                  </w:rPr>
                  <m:t xml:space="preserve">, </m:t>
                </m:r>
                <m:r>
                  <m:rPr>
                    <m:nor/>
                    <m:sty m:val="p"/>
                  </m:rPr>
                  <w:rPr>
                    <w:rFonts w:hint="default" w:ascii="Times New Roman" w:hAnsi="Times New Roman" w:cs="Times New Roman"/>
                    <w:sz w:val="24"/>
                    <w:szCs w:val="24"/>
                  </w:rPr>
                  <m:t>H</m:t>
                </m:r>
                <m:ctrlPr>
                  <w:rPr>
                    <w:rFonts w:ascii="Cambria Math" w:hAnsi="Cambria Math" w:cs="Times New Roman"/>
                    <w:i/>
                    <w:sz w:val="24"/>
                    <w:szCs w:val="24"/>
                  </w:rPr>
                </m:ctrlPr>
                <w:bookmarkEnd w:id="2"/>
              </m:sub>
            </m:sSub>
            <m:ctrlPr>
              <w:rPr>
                <w:rFonts w:ascii="Cambria Math" w:hAnsi="Cambria Math" w:cs="Times New Roman"/>
                <w:i/>
                <w:sz w:val="24"/>
                <w:szCs w:val="24"/>
              </w:rPr>
            </m:ctrlPr>
          </m:e>
        </m:d>
      </m:oMath>
      <w:r>
        <w:rPr>
          <w:rFonts w:ascii="Times New Roman" w:hAnsi="Times New Roman" w:cs="Times New Roman"/>
          <w:sz w:val="24"/>
          <w:szCs w:val="24"/>
        </w:rPr>
        <w:t xml:space="preserve">               (3)</w:t>
      </w:r>
    </w:p>
    <w:p w14:paraId="7EC3A69E">
      <w:pPr>
        <w:spacing w:line="480" w:lineRule="auto"/>
        <w:rPr>
          <w:rFonts w:ascii="Times New Roman" w:hAnsi="Times New Roman" w:cs="Times New Roman"/>
          <w:sz w:val="24"/>
          <w:szCs w:val="24"/>
        </w:rPr>
      </w:pPr>
      <w:r>
        <w:rPr>
          <w:rFonts w:ascii="Times New Roman" w:hAnsi="Times New Roman" w:cs="Times New Roman"/>
          <w:sz w:val="24"/>
          <w:szCs w:val="24"/>
        </w:rPr>
        <w:t xml:space="preserve">where </w:t>
      </w:r>
      <w:r>
        <w:rPr>
          <w:rFonts w:ascii="Times New Roman" w:hAnsi="Times New Roman" w:cs="Times New Roman"/>
          <w:sz w:val="24"/>
          <w:szCs w:val="24"/>
        </w:rPr>
        <w:t>𝜔</w:t>
      </w:r>
      <w:r>
        <w:rPr>
          <w:rFonts w:ascii="Times New Roman" w:hAnsi="Times New Roman" w:cs="Times New Roman"/>
          <w:sz w:val="24"/>
          <w:szCs w:val="24"/>
        </w:rPr>
        <w:t xml:space="preserve"> and c denote the angular frequency and speed of light, </w:t>
      </w:r>
      <m:oMath>
        <m:sSub>
          <m:sSubPr>
            <m:ctrlPr>
              <w:rPr>
                <w:rFonts w:ascii="Cambria Math" w:hAnsi="Cambria Math" w:cs="Times New Roman"/>
                <w:i/>
                <w:sz w:val="24"/>
                <w:szCs w:val="24"/>
              </w:rPr>
            </m:ctrlPr>
          </m:sSubPr>
          <m:e>
            <m:r>
              <m:rPr>
                <m:nor/>
              </m:rPr>
              <w:rPr>
                <w:rFonts w:hint="default" w:ascii="Times New Roman" w:hAnsi="Times New Roman" w:cs="Times New Roman"/>
                <w:i/>
                <w:iCs/>
                <w:sz w:val="24"/>
                <w:szCs w:val="24"/>
              </w:rPr>
              <m:t>φ</m:t>
            </m:r>
            <m:ctrlPr>
              <w:rPr>
                <w:rFonts w:ascii="Cambria Math" w:hAnsi="Cambria Math" w:cs="Times New Roman"/>
                <w:i/>
                <w:sz w:val="24"/>
                <w:szCs w:val="24"/>
              </w:rPr>
            </m:ctrlPr>
          </m:e>
          <m:sub>
            <m:r>
              <m:rPr>
                <m:nor/>
              </m:rPr>
              <w:rPr>
                <w:rFonts w:hint="default" w:ascii="Times New Roman" w:hAnsi="Times New Roman" w:cs="Times New Roman"/>
                <w:i/>
                <w:iCs/>
                <w:sz w:val="24"/>
                <w:szCs w:val="24"/>
              </w:rPr>
              <m:t>i</m:t>
            </m:r>
            <m:r>
              <m:rPr>
                <m:nor/>
                <m:sty m:val="p"/>
              </m:rPr>
              <w:rPr>
                <w:rFonts w:hint="default" w:ascii="Times New Roman" w:hAnsi="Times New Roman" w:cs="Times New Roman"/>
                <w:sz w:val="24"/>
                <w:szCs w:val="24"/>
              </w:rPr>
              <m:t>E</m:t>
            </m:r>
            <m:r>
              <m:rPr>
                <m:nor/>
                <m:sty m:val="p"/>
              </m:rPr>
              <w:rPr>
                <w:rFonts w:hint="default" w:ascii="Times New Roman" w:hAnsi="Times New Roman" w:cs="Times New Roman"/>
                <w:i w:val="0"/>
                <w:sz w:val="24"/>
                <w:szCs w:val="24"/>
              </w:rPr>
              <m:t xml:space="preserve">, </m:t>
            </m:r>
            <m:r>
              <m:rPr>
                <m:nor/>
                <m:sty m:val="p"/>
              </m:rPr>
              <w:rPr>
                <w:rFonts w:hint="default" w:ascii="Times New Roman" w:hAnsi="Times New Roman" w:cs="Times New Roman"/>
                <w:sz w:val="24"/>
                <w:szCs w:val="24"/>
              </w:rPr>
              <m:t>H</m:t>
            </m:r>
            <m:ctrlPr>
              <w:rPr>
                <w:rFonts w:ascii="Cambria Math" w:hAnsi="Cambria Math" w:cs="Times New Roman"/>
                <w:i/>
                <w:sz w:val="24"/>
                <w:szCs w:val="24"/>
              </w:rPr>
            </m:ctrlPr>
          </m:sub>
        </m:sSub>
      </m:oMath>
      <w:r>
        <w:rPr>
          <w:rFonts w:ascii="Times New Roman" w:hAnsi="Times New Roman" w:cs="Times New Roman"/>
          <w:sz w:val="24"/>
          <w:szCs w:val="24"/>
        </w:rPr>
        <w:t xml:space="preserve"> is the phase angle between E multiplied by the complex number </w:t>
      </w:r>
      <w:r>
        <w:rPr>
          <w:rFonts w:ascii="Times New Roman" w:hAnsi="Times New Roman" w:cs="Times New Roman"/>
          <w:i/>
          <w:iCs/>
          <w:sz w:val="24"/>
          <w:szCs w:val="24"/>
        </w:rPr>
        <w:t>i</w:t>
      </w:r>
      <w:r>
        <w:rPr>
          <w:rFonts w:ascii="Times New Roman" w:hAnsi="Times New Roman" w:cs="Times New Roman"/>
          <w:sz w:val="24"/>
          <w:szCs w:val="24"/>
        </w:rPr>
        <w:t xml:space="preserve"> and H, respectively. For circularly polarized incident light, the corresponding optical chirality can be taken as the reference value </w:t>
      </w:r>
      <w:r>
        <w:rPr>
          <w:rFonts w:ascii="Times New Roman" w:hAnsi="Times New Roman" w:cs="Times New Roman"/>
          <w:i/>
          <w:iCs/>
          <w:sz w:val="24"/>
          <w:szCs w:val="24"/>
        </w:rPr>
        <w:t>C</w:t>
      </w:r>
      <w:r>
        <w:rPr>
          <w:rFonts w:ascii="Times New Roman" w:hAnsi="Times New Roman" w:cs="Times New Roman"/>
          <w:sz w:val="24"/>
          <w:szCs w:val="24"/>
          <w:vertAlign w:val="subscript"/>
        </w:rPr>
        <w:t>0</w:t>
      </w:r>
      <w:r>
        <w:rPr>
          <w:rFonts w:ascii="Times New Roman" w:hAnsi="Times New Roman" w:cs="Times New Roman"/>
          <w:sz w:val="24"/>
          <w:szCs w:val="24"/>
        </w:rPr>
        <w:t>. Accordingly, the optical chirality enhancement factor is defined as</w:t>
      </w:r>
    </w:p>
    <w:p w14:paraId="17122585">
      <w:pPr>
        <w:spacing w:line="480" w:lineRule="auto"/>
        <w:jc w:val="center"/>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m:rPr>
                <m:nor/>
              </m:rPr>
              <w:rPr>
                <w:rFonts w:hint="default" w:ascii="Times New Roman" w:hAnsi="Times New Roman" w:cs="Times New Roman"/>
                <w:i/>
                <w:iCs/>
                <w:sz w:val="24"/>
                <w:szCs w:val="24"/>
              </w:rPr>
              <m:t>C</m:t>
            </m:r>
            <m:ctrlPr>
              <w:rPr>
                <w:rFonts w:ascii="Cambria Math" w:hAnsi="Cambria Math" w:cs="Times New Roman"/>
                <w:i/>
                <w:sz w:val="24"/>
                <w:szCs w:val="24"/>
              </w:rPr>
            </m:ctrlPr>
          </m:e>
          <m:sub>
            <m:r>
              <m:rPr>
                <m:nor/>
                <m:sty m:val="p"/>
              </m:rPr>
              <w:rPr>
                <w:rFonts w:hint="default" w:ascii="Times New Roman" w:hAnsi="Times New Roman" w:cs="Times New Roman"/>
                <w:sz w:val="24"/>
                <w:szCs w:val="24"/>
              </w:rPr>
              <m:t>E</m:t>
            </m:r>
            <m:r>
              <m:rPr>
                <m:nor/>
                <m:sty m:val="p"/>
              </m:rPr>
              <w:rPr>
                <w:rFonts w:hint="default" w:ascii="Times New Roman" w:hAnsi="Times New Roman" w:cs="Times New Roman"/>
                <w:i w:val="0"/>
                <w:sz w:val="24"/>
                <w:szCs w:val="24"/>
              </w:rPr>
              <m:t xml:space="preserve"> </m:t>
            </m:r>
            <m:ctrlPr>
              <w:rPr>
                <w:rFonts w:ascii="Cambria Math" w:hAnsi="Cambria Math" w:cs="Times New Roman"/>
                <w:i/>
                <w:sz w:val="24"/>
                <w:szCs w:val="24"/>
              </w:rPr>
            </m:ctrlPr>
          </m:sub>
        </m:sSub>
        <m:r>
          <m:rPr>
            <m:nor/>
            <m:sty m:val="p"/>
          </m:rPr>
          <w:rPr>
            <w:rFonts w:hint="default" w:ascii="Times New Roman" w:hAnsi="Times New Roman" w:cs="Times New Roman"/>
            <w:i w:val="0"/>
            <w:sz w:val="24"/>
            <w:szCs w:val="24"/>
          </w:rPr>
          <m:t xml:space="preserve">= </m:t>
        </m:r>
        <m:f>
          <m:fPr>
            <m:ctrlPr>
              <w:rPr>
                <w:rFonts w:ascii="Cambria Math" w:hAnsi="Cambria Math" w:cs="Times New Roman"/>
                <w:i/>
                <w:sz w:val="24"/>
                <w:szCs w:val="24"/>
              </w:rPr>
            </m:ctrlPr>
          </m:fPr>
          <m:num>
            <m:r>
              <m:rPr>
                <m:nor/>
              </m:rPr>
              <w:rPr>
                <w:rFonts w:hint="default" w:ascii="Times New Roman" w:hAnsi="Times New Roman" w:cs="Times New Roman"/>
                <w:i/>
                <w:iCs/>
                <w:sz w:val="24"/>
                <w:szCs w:val="24"/>
              </w:rPr>
              <m:t>C</m:t>
            </m:r>
            <m:ctrlPr>
              <w:rPr>
                <w:rFonts w:ascii="Cambria Math" w:hAnsi="Cambria Math" w:cs="Times New Roman"/>
                <w:i/>
                <w:sz w:val="24"/>
                <w:szCs w:val="24"/>
              </w:rPr>
            </m:ctrlPr>
          </m:num>
          <m:den>
            <m:sSub>
              <m:sSubPr>
                <m:ctrlPr>
                  <w:rPr>
                    <w:rFonts w:ascii="Cambria Math" w:hAnsi="Cambria Math" w:cs="Times New Roman"/>
                    <w:i/>
                    <w:sz w:val="24"/>
                    <w:szCs w:val="24"/>
                  </w:rPr>
                </m:ctrlPr>
              </m:sSubPr>
              <m:e>
                <m:r>
                  <m:rPr>
                    <m:nor/>
                  </m:rPr>
                  <w:rPr>
                    <w:rFonts w:hint="default" w:ascii="Times New Roman" w:hAnsi="Times New Roman" w:cs="Times New Roman"/>
                    <w:i/>
                    <w:iCs/>
                    <w:sz w:val="24"/>
                    <w:szCs w:val="24"/>
                  </w:rPr>
                  <m:t>C</m:t>
                </m:r>
                <m:ctrlPr>
                  <w:rPr>
                    <w:rFonts w:ascii="Cambria Math" w:hAnsi="Cambria Math" w:cs="Times New Roman"/>
                    <w:i/>
                    <w:sz w:val="24"/>
                    <w:szCs w:val="24"/>
                  </w:rPr>
                </m:ctrlPr>
              </m:e>
              <m:sub>
                <m:r>
                  <m:rPr>
                    <m:nor/>
                    <m:sty m:val="p"/>
                  </m:rPr>
                  <w:rPr>
                    <w:rFonts w:hint="default" w:ascii="Times New Roman" w:hAnsi="Times New Roman" w:cs="Times New Roman"/>
                    <w:i w:val="0"/>
                    <w:sz w:val="24"/>
                    <w:szCs w:val="24"/>
                  </w:rPr>
                  <m:t>0</m:t>
                </m:r>
                <m:ctrlPr>
                  <w:rPr>
                    <w:rFonts w:ascii="Cambria Math" w:hAnsi="Cambria Math" w:cs="Times New Roman"/>
                    <w:i/>
                    <w:sz w:val="24"/>
                    <w:szCs w:val="24"/>
                  </w:rPr>
                </m:ctrlPr>
              </m:sub>
            </m:sSub>
            <m:ctrlPr>
              <w:rPr>
                <w:rFonts w:ascii="Cambria Math" w:hAnsi="Cambria Math" w:cs="Times New Roman"/>
                <w:i/>
                <w:sz w:val="24"/>
                <w:szCs w:val="24"/>
              </w:rPr>
            </m:ctrlPr>
          </m:den>
        </m:f>
      </m:oMath>
      <w:r>
        <w:rPr>
          <w:rFonts w:hint="eastAsia" w:ascii="Times New Roman" w:hAnsi="Times New Roman" w:cs="Times New Roman"/>
          <w:sz w:val="24"/>
          <w:szCs w:val="24"/>
        </w:rPr>
        <w:t xml:space="preserve"> </w:t>
      </w:r>
      <w:r>
        <w:rPr>
          <w:rFonts w:ascii="Times New Roman" w:hAnsi="Times New Roman" w:cs="Times New Roman"/>
          <w:sz w:val="24"/>
          <w:szCs w:val="24"/>
        </w:rPr>
        <w:t xml:space="preserve">                              (4)</w:t>
      </w:r>
    </w:p>
    <w:p w14:paraId="3C91C560">
      <w:pPr>
        <w:spacing w:line="480" w:lineRule="auto"/>
        <w:rPr>
          <w:rFonts w:ascii="Times New Roman" w:hAnsi="Times New Roman" w:cs="Times New Roman"/>
          <w:sz w:val="24"/>
          <w:szCs w:val="24"/>
        </w:rPr>
      </w:pPr>
      <w:r>
        <w:rPr>
          <w:rFonts w:ascii="Times New Roman" w:hAnsi="Times New Roman" w:cs="Times New Roman"/>
          <w:sz w:val="24"/>
          <w:szCs w:val="24"/>
        </w:rPr>
        <w:t>According to this expression, a large optical chirality enhancement requires simultaneous enhancement of the electric and magnetic fields, together with effective spatial and spectral overlap and a suitable relative phase between them. Previous studies have shown that these conditions form the basis for generating strong superchiral fields on metasurfaces</w:t>
      </w:r>
      <w:r>
        <w:rPr>
          <w:rFonts w:hint="eastAsia"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&lt;EndNote&gt;&lt;Cite&gt;&lt;Author&gt;Ye&lt;/Author&gt;&lt;Year&gt;2023&lt;/Year&gt;&lt;RecNum&gt;434&lt;/RecNum&gt;&lt;DisplayText&gt;&lt;style face="superscript"&gt;[3]&lt;/style&gt;&lt;/DisplayText&gt;&lt;record&gt;&lt;rec-number&gt;434&lt;/rec-number&gt;&lt;foreign-keys&gt;&lt;key app="EN" db-id="zrw9pxrs90ter3e52xrxzze0we02axwaf0wx" timestamp="1776253767"&gt;434&lt;/key&gt;&lt;/foreign-keys&gt;&lt;ref-type name="Journal Article"&gt;17&lt;/ref-type&gt;&lt;contributors&gt;&lt;authors&gt;&lt;author&gt;Ye, Longfang&lt;/author&gt;&lt;author&gt;Li, Jingyan&lt;/author&gt;&lt;author&gt;Richter, Felix Ulrich&lt;/author&gt;&lt;author&gt;Jahani, Yasaman&lt;/author&gt;&lt;author&gt;Lu, Rui&lt;/author&gt;&lt;author&gt;Lee, Bo Ray&lt;/author&gt;&lt;author&gt;Tseng, Ming Lun&lt;/author&gt;&lt;author&gt;Altug, Hatice&lt;/author&gt;&lt;/authors&gt;&lt;/contributors&gt;&lt;titles&gt;&lt;title&gt;Dielectric Tetramer Nanoresonators Supporting Strong Superchiral Fields for Vibrational Circular Dichroism Spectroscopy&lt;/title&gt;&lt;secondary-title&gt;ACS Photonics&lt;/secondary-title&gt;&lt;/titles&gt;&lt;periodical&gt;&lt;full-title&gt;ACS Photonics&lt;/full-title&gt;&lt;/periodical&gt;&lt;pages&gt;4377-4384&lt;/pages&gt;&lt;volume&gt;10&lt;/volume&gt;&lt;number&gt;12&lt;/number&gt;&lt;dates&gt;&lt;year&gt;2023&lt;/year&gt;&lt;pub-dates&gt;&lt;date&gt;2023/12/20&lt;/date&gt;&lt;/pub-dates&gt;&lt;/dates&gt;&lt;publisher&gt;American Chemical Society&lt;/publisher&gt;&lt;urls&gt;&lt;related-urls&gt;&lt;url&gt;https://doi.org/10.1021/acsphotonics.3c01186&lt;/url&gt;&lt;/related-urls&gt;&lt;/urls&gt;&lt;electronic-resource-num&gt;10.1021/acsphotonics.3c01186&lt;/electronic-resource-num&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3710C928">
      <w:pPr>
        <w:spacing w:line="480" w:lineRule="auto"/>
        <w:ind w:firstLine="480" w:firstLineChars="200"/>
        <w:rPr>
          <w:rFonts w:ascii="Times New Roman" w:hAnsi="Times New Roman" w:cs="Times New Roman"/>
          <w:sz w:val="24"/>
          <w:szCs w:val="24"/>
        </w:rPr>
      </w:pPr>
      <w:r>
        <w:rPr>
          <w:rFonts w:ascii="Times New Roman" w:hAnsi="Times New Roman" w:cs="Times New Roman"/>
          <w:sz w:val="24"/>
          <w:szCs w:val="24"/>
        </w:rPr>
        <w:t>The CD response of chiral molecules originates from the difference in absorption under left- and right-circularly polarized illumination. For a thin chiral molecular layer, the enhancement of the differential transmittance with and without the metasurface satisfies the following relation:</w:t>
      </w:r>
    </w:p>
    <w:p w14:paraId="60418C4F">
      <w:pPr>
        <w:spacing w:line="480" w:lineRule="auto"/>
        <w:jc w:val="center"/>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w:t>
      </w:r>
      <m:oMath>
        <m:f>
          <m:fPr>
            <m:ctrlPr>
              <w:rPr>
                <w:rFonts w:ascii="Cambria Math" w:hAnsi="Cambria Math" w:cs="Times New Roman"/>
                <w:i/>
                <w:sz w:val="24"/>
                <w:szCs w:val="24"/>
              </w:rPr>
            </m:ctrlPr>
          </m:fPr>
          <m:num>
            <m:r>
              <m:rPr>
                <m:nor/>
                <m:sty m:val="p"/>
              </m:rPr>
              <w:rPr>
                <w:rFonts w:hint="default" w:ascii="Times New Roman" w:hAnsi="Times New Roman" w:cs="Times New Roman"/>
                <w:i w:val="0"/>
                <w:sz w:val="24"/>
                <w:szCs w:val="24"/>
              </w:rPr>
              <m:t>∆</m:t>
            </m:r>
            <m:sSub>
              <m:sSubPr>
                <m:ctrlPr>
                  <w:rPr>
                    <w:rFonts w:ascii="Cambria Math" w:hAnsi="Cambria Math" w:cs="Times New Roman"/>
                    <w:i/>
                    <w:sz w:val="24"/>
                    <w:szCs w:val="24"/>
                  </w:rPr>
                </m:ctrlPr>
              </m:sSubPr>
              <m:e>
                <m:r>
                  <m:rPr>
                    <m:nor/>
                  </m:rPr>
                  <w:rPr>
                    <w:rFonts w:hint="default" w:ascii="Times New Roman" w:hAnsi="Times New Roman" w:cs="Times New Roman"/>
                    <w:i/>
                    <w:iCs/>
                    <w:sz w:val="24"/>
                    <w:szCs w:val="24"/>
                  </w:rPr>
                  <m:t>T</m:t>
                </m:r>
                <m:ctrlPr>
                  <w:rPr>
                    <w:rFonts w:ascii="Cambria Math" w:hAnsi="Cambria Math" w:cs="Times New Roman"/>
                    <w:i/>
                    <w:sz w:val="24"/>
                    <w:szCs w:val="24"/>
                  </w:rPr>
                </m:ctrlPr>
              </m:e>
              <m:sub>
                <m:r>
                  <m:rPr>
                    <m:nor/>
                    <m:sty m:val="p"/>
                  </m:rPr>
                  <w:rPr>
                    <w:rFonts w:hint="default" w:ascii="Times New Roman" w:hAnsi="Times New Roman" w:cs="Times New Roman"/>
                    <w:sz w:val="24"/>
                    <w:szCs w:val="24"/>
                  </w:rPr>
                  <m:t>m</m:t>
                </m:r>
                <m:ctrlPr>
                  <w:rPr>
                    <w:rFonts w:ascii="Cambria Math" w:hAnsi="Cambria Math" w:cs="Times New Roman"/>
                    <w:i/>
                    <w:sz w:val="24"/>
                    <w:szCs w:val="24"/>
                  </w:rPr>
                </m:ctrlPr>
              </m:sub>
            </m:sSub>
            <m:ctrlPr>
              <w:rPr>
                <w:rFonts w:ascii="Cambria Math" w:hAnsi="Cambria Math" w:cs="Times New Roman"/>
                <w:i/>
                <w:sz w:val="24"/>
                <w:szCs w:val="24"/>
              </w:rPr>
            </m:ctrlPr>
          </m:num>
          <m:den>
            <m:r>
              <m:rPr>
                <m:nor/>
                <m:sty m:val="p"/>
              </m:rPr>
              <w:rPr>
                <w:rFonts w:hint="default" w:ascii="Times New Roman" w:hAnsi="Times New Roman" w:cs="Times New Roman"/>
                <w:i w:val="0"/>
                <w:sz w:val="24"/>
                <w:szCs w:val="24"/>
              </w:rPr>
              <m:t>∆</m:t>
            </m:r>
            <m:sSub>
              <m:sSubPr>
                <m:ctrlPr>
                  <w:rPr>
                    <w:rFonts w:ascii="Cambria Math" w:hAnsi="Cambria Math" w:cs="Times New Roman"/>
                    <w:i/>
                    <w:sz w:val="24"/>
                    <w:szCs w:val="24"/>
                  </w:rPr>
                </m:ctrlPr>
              </m:sSubPr>
              <m:e>
                <m:r>
                  <m:rPr>
                    <m:nor/>
                  </m:rPr>
                  <w:rPr>
                    <w:rFonts w:hint="default" w:ascii="Times New Roman" w:hAnsi="Times New Roman" w:cs="Times New Roman"/>
                    <w:i/>
                    <w:iCs/>
                    <w:sz w:val="24"/>
                    <w:szCs w:val="24"/>
                  </w:rPr>
                  <m:t>T</m:t>
                </m:r>
                <m:ctrlPr>
                  <w:rPr>
                    <w:rFonts w:ascii="Cambria Math" w:hAnsi="Cambria Math" w:cs="Times New Roman"/>
                    <w:i/>
                    <w:sz w:val="24"/>
                    <w:szCs w:val="24"/>
                  </w:rPr>
                </m:ctrlPr>
              </m:e>
              <m:sub>
                <m:r>
                  <m:rPr>
                    <m:nor/>
                    <m:sty m:val="p"/>
                  </m:rPr>
                  <w:rPr>
                    <w:rFonts w:ascii="Times New Roman" w:hAnsi="Times New Roman" w:cs="Times New Roman"/>
                    <w:sz w:val="24"/>
                    <w:szCs w:val="24"/>
                  </w:rPr>
                  <m:t>r</m:t>
                </m:r>
                <m:ctrlPr>
                  <w:rPr>
                    <w:rFonts w:ascii="Cambria Math" w:hAnsi="Cambria Math" w:cs="Times New Roman"/>
                    <w:i/>
                    <w:sz w:val="24"/>
                    <w:szCs w:val="24"/>
                  </w:rPr>
                </m:ctrlPr>
              </m:sub>
            </m:sSub>
            <m:ctrlPr>
              <w:rPr>
                <w:rFonts w:ascii="Cambria Math" w:hAnsi="Cambria Math" w:cs="Times New Roman"/>
                <w:i/>
                <w:sz w:val="24"/>
                <w:szCs w:val="24"/>
              </w:rPr>
            </m:ctrlPr>
          </m:den>
        </m:f>
        <m:r>
          <m:rPr>
            <m:nor/>
            <m:sty m:val="p"/>
          </m:rPr>
          <w:rPr>
            <w:rFonts w:ascii="Times New Roman" w:hAnsi="Times New Roman" w:cs="Times New Roman"/>
            <w:sz w:val="24"/>
            <w:szCs w:val="24"/>
          </w:rPr>
          <m:t xml:space="preserve"> </m:t>
        </m:r>
        <m:r>
          <m:rPr>
            <m:nor/>
            <m:sty m:val="p"/>
          </m:rPr>
          <w:rPr>
            <w:rFonts w:hint="default" w:ascii="Times New Roman" w:hAnsi="Times New Roman" w:cs="Times New Roman"/>
            <w:i w:val="0"/>
            <w:sz w:val="24"/>
            <w:szCs w:val="24"/>
          </w:rPr>
          <m:t xml:space="preserve">= </m:t>
        </m:r>
        <m:sSub>
          <m:sSubPr>
            <m:ctrlPr>
              <w:rPr>
                <w:rFonts w:ascii="Cambria Math" w:hAnsi="Cambria Math" w:cs="Times New Roman"/>
                <w:i/>
                <w:sz w:val="24"/>
                <w:szCs w:val="24"/>
              </w:rPr>
            </m:ctrlPr>
          </m:sSubPr>
          <m:e>
            <m:r>
              <m:rPr>
                <m:nor/>
              </m:rPr>
              <w:rPr>
                <w:rFonts w:hint="default" w:ascii="Times New Roman" w:hAnsi="Times New Roman" w:cs="Times New Roman"/>
                <w:i/>
                <w:iCs/>
                <w:sz w:val="24"/>
                <w:szCs w:val="24"/>
              </w:rPr>
              <m:t>C</m:t>
            </m:r>
            <m:ctrlPr>
              <w:rPr>
                <w:rFonts w:ascii="Cambria Math" w:hAnsi="Cambria Math" w:cs="Times New Roman"/>
                <w:i/>
                <w:sz w:val="24"/>
                <w:szCs w:val="24"/>
              </w:rPr>
            </m:ctrlPr>
          </m:e>
          <m:sub>
            <m:r>
              <m:rPr>
                <m:nor/>
                <m:sty m:val="p"/>
              </m:rPr>
              <w:rPr>
                <w:rFonts w:hint="default" w:ascii="Times New Roman" w:hAnsi="Times New Roman" w:cs="Times New Roman"/>
                <w:sz w:val="24"/>
                <w:szCs w:val="24"/>
              </w:rPr>
              <m:t>E</m:t>
            </m:r>
            <m:r>
              <m:rPr>
                <m:nor/>
                <m:sty m:val="p"/>
              </m:rPr>
              <w:rPr>
                <w:rFonts w:hint="default" w:ascii="Times New Roman" w:hAnsi="Times New Roman" w:cs="Times New Roman"/>
                <w:i w:val="0"/>
                <w:sz w:val="24"/>
                <w:szCs w:val="24"/>
              </w:rPr>
              <m:t xml:space="preserve">, </m:t>
            </m:r>
            <m:r>
              <m:rPr>
                <m:nor/>
                <m:sty m:val="p"/>
              </m:rPr>
              <w:rPr>
                <w:rFonts w:hint="default" w:ascii="Times New Roman" w:hAnsi="Times New Roman" w:cs="Times New Roman"/>
                <w:sz w:val="24"/>
                <w:szCs w:val="24"/>
              </w:rPr>
              <m:t>ave</m:t>
            </m:r>
            <m:ctrlPr>
              <w:rPr>
                <w:rFonts w:ascii="Cambria Math" w:hAnsi="Cambria Math" w:cs="Times New Roman"/>
                <w:i/>
                <w:sz w:val="24"/>
                <w:szCs w:val="24"/>
              </w:rPr>
            </m:ctrlPr>
          </m:sub>
        </m:sSub>
      </m:oMath>
      <w:r>
        <w:rPr>
          <w:rFonts w:ascii="Times New Roman" w:hAnsi="Times New Roman" w:cs="Times New Roman"/>
          <w:sz w:val="24"/>
          <w:szCs w:val="24"/>
        </w:rPr>
        <w:t xml:space="preserve">                           (5)</w:t>
      </w:r>
    </w:p>
    <w:p w14:paraId="348E6D4C">
      <w:pPr>
        <w:spacing w:line="480" w:lineRule="auto"/>
        <w:rPr>
          <w:rFonts w:ascii="Times New Roman" w:hAnsi="Times New Roman" w:cs="Times New Roman"/>
          <w:sz w:val="24"/>
          <w:szCs w:val="24"/>
        </w:rPr>
      </w:pPr>
      <w:r>
        <w:rPr>
          <w:rFonts w:ascii="Times New Roman" w:hAnsi="Times New Roman" w:cs="Times New Roman"/>
          <w:sz w:val="24"/>
          <w:szCs w:val="24"/>
        </w:rPr>
        <w:t xml:space="preserve">where </w:t>
      </w:r>
      <m:oMath>
        <m:r>
          <m:rPr>
            <m:nor/>
            <m:sty m:val="p"/>
          </m:rPr>
          <w:rPr>
            <w:rFonts w:hint="default" w:ascii="Times New Roman" w:hAnsi="Times New Roman" w:cs="Times New Roman"/>
            <w:i w:val="0"/>
            <w:sz w:val="24"/>
            <w:szCs w:val="24"/>
          </w:rPr>
          <m:t>∆</m:t>
        </m:r>
        <m:sSub>
          <m:sSubPr>
            <m:ctrlPr>
              <w:rPr>
                <w:rFonts w:ascii="Cambria Math" w:hAnsi="Cambria Math" w:cs="Times New Roman"/>
                <w:i/>
                <w:sz w:val="24"/>
                <w:szCs w:val="24"/>
              </w:rPr>
            </m:ctrlPr>
          </m:sSubPr>
          <m:e>
            <m:r>
              <m:rPr>
                <m:nor/>
              </m:rPr>
              <w:rPr>
                <w:rFonts w:hint="default" w:ascii="Times New Roman" w:hAnsi="Times New Roman" w:cs="Times New Roman"/>
                <w:i/>
                <w:iCs/>
                <w:sz w:val="24"/>
                <w:szCs w:val="24"/>
              </w:rPr>
              <m:t>T</m:t>
            </m:r>
            <m:ctrlPr>
              <w:rPr>
                <w:rFonts w:ascii="Cambria Math" w:hAnsi="Cambria Math" w:cs="Times New Roman"/>
                <w:i/>
                <w:sz w:val="24"/>
                <w:szCs w:val="24"/>
              </w:rPr>
            </m:ctrlPr>
          </m:e>
          <m:sub>
            <m:r>
              <m:rPr>
                <m:nor/>
                <m:sty m:val="p"/>
              </m:rPr>
              <w:rPr>
                <w:rFonts w:hint="default" w:ascii="Times New Roman" w:hAnsi="Times New Roman" w:cs="Times New Roman"/>
                <w:sz w:val="24"/>
                <w:szCs w:val="24"/>
              </w:rPr>
              <m:t>m</m:t>
            </m:r>
            <m:ctrlPr>
              <w:rPr>
                <w:rFonts w:ascii="Cambria Math" w:hAnsi="Cambria Math" w:cs="Times New Roman"/>
                <w:i/>
                <w:sz w:val="24"/>
                <w:szCs w:val="24"/>
              </w:rPr>
            </m:ctrlPr>
          </m:sub>
        </m:sSub>
      </m:oMath>
      <w:r>
        <w:rPr>
          <w:rFonts w:ascii="Times New Roman" w:hAnsi="Times New Roman" w:cs="Times New Roman"/>
          <w:sz w:val="24"/>
          <w:szCs w:val="24"/>
        </w:rPr>
        <w:t xml:space="preserve"> is the differential transmittance with the metasurface, </w:t>
      </w:r>
      <m:oMath>
        <m:r>
          <m:rPr>
            <m:nor/>
            <m:sty m:val="p"/>
          </m:rPr>
          <w:rPr>
            <w:rFonts w:hint="default" w:ascii="Times New Roman" w:hAnsi="Times New Roman" w:cs="Times New Roman"/>
            <w:i w:val="0"/>
            <w:sz w:val="24"/>
            <w:szCs w:val="24"/>
          </w:rPr>
          <m:t>∆</m:t>
        </m:r>
        <m:sSub>
          <m:sSubPr>
            <m:ctrlPr>
              <w:rPr>
                <w:rFonts w:ascii="Cambria Math" w:hAnsi="Cambria Math" w:cs="Times New Roman"/>
                <w:i/>
                <w:sz w:val="24"/>
                <w:szCs w:val="24"/>
              </w:rPr>
            </m:ctrlPr>
          </m:sSubPr>
          <m:e>
            <m:r>
              <m:rPr>
                <m:nor/>
              </m:rPr>
              <w:rPr>
                <w:rFonts w:hint="default" w:ascii="Times New Roman" w:hAnsi="Times New Roman" w:cs="Times New Roman"/>
                <w:i/>
                <w:iCs/>
                <w:sz w:val="24"/>
                <w:szCs w:val="24"/>
              </w:rPr>
              <m:t>T</m:t>
            </m:r>
            <m:ctrlPr>
              <w:rPr>
                <w:rFonts w:ascii="Cambria Math" w:hAnsi="Cambria Math" w:cs="Times New Roman"/>
                <w:i/>
                <w:sz w:val="24"/>
                <w:szCs w:val="24"/>
              </w:rPr>
            </m:ctrlPr>
          </m:e>
          <m:sub>
            <m:r>
              <m:rPr>
                <m:nor/>
                <m:sty m:val="p"/>
              </m:rPr>
              <w:rPr>
                <w:rFonts w:ascii="Times New Roman" w:hAnsi="Times New Roman" w:cs="Times New Roman"/>
                <w:sz w:val="24"/>
                <w:szCs w:val="24"/>
              </w:rPr>
              <m:t>r</m:t>
            </m:r>
            <m:ctrlPr>
              <w:rPr>
                <w:rFonts w:ascii="Cambria Math" w:hAnsi="Cambria Math" w:cs="Times New Roman"/>
                <w:i/>
                <w:sz w:val="24"/>
                <w:szCs w:val="24"/>
              </w:rPr>
            </m:ctrlPr>
          </m:sub>
        </m:sSub>
      </m:oMath>
      <w:r>
        <w:rPr>
          <w:rFonts w:ascii="Times New Roman" w:hAnsi="Times New Roman" w:cs="Times New Roman"/>
          <w:sz w:val="24"/>
          <w:szCs w:val="24"/>
        </w:rPr>
        <w:t xml:space="preserve"> is the reference differential transmittancewithout the metasurface, and </w:t>
      </w:r>
      <m:oMath>
        <m:sSub>
          <m:sSubPr>
            <m:ctrlPr>
              <w:rPr>
                <w:rFonts w:ascii="Cambria Math" w:hAnsi="Cambria Math" w:cs="Times New Roman"/>
                <w:i/>
                <w:sz w:val="24"/>
                <w:szCs w:val="24"/>
              </w:rPr>
            </m:ctrlPr>
          </m:sSubPr>
          <m:e>
            <m:r>
              <m:rPr>
                <m:nor/>
              </m:rPr>
              <w:rPr>
                <w:rFonts w:hint="default" w:ascii="Times New Roman" w:hAnsi="Times New Roman" w:cs="Times New Roman"/>
                <w:i/>
                <w:iCs/>
                <w:sz w:val="24"/>
                <w:szCs w:val="24"/>
              </w:rPr>
              <m:t>C</m:t>
            </m:r>
            <m:ctrlPr>
              <w:rPr>
                <w:rFonts w:ascii="Cambria Math" w:hAnsi="Cambria Math" w:cs="Times New Roman"/>
                <w:i/>
                <w:sz w:val="24"/>
                <w:szCs w:val="24"/>
              </w:rPr>
            </m:ctrlPr>
          </m:e>
          <m:sub>
            <m:r>
              <m:rPr>
                <m:nor/>
                <m:sty m:val="p"/>
              </m:rPr>
              <w:rPr>
                <w:rFonts w:hint="default" w:ascii="Times New Roman" w:hAnsi="Times New Roman" w:cs="Times New Roman"/>
                <w:sz w:val="24"/>
                <w:szCs w:val="24"/>
              </w:rPr>
              <m:t>E</m:t>
            </m:r>
            <m:r>
              <m:rPr>
                <m:nor/>
                <m:sty m:val="p"/>
              </m:rPr>
              <w:rPr>
                <w:rFonts w:hint="default" w:ascii="Times New Roman" w:hAnsi="Times New Roman" w:cs="Times New Roman"/>
                <w:i w:val="0"/>
                <w:sz w:val="24"/>
                <w:szCs w:val="24"/>
              </w:rPr>
              <m:t xml:space="preserve">, </m:t>
            </m:r>
            <m:r>
              <m:rPr>
                <m:nor/>
                <m:sty m:val="p"/>
              </m:rPr>
              <w:rPr>
                <w:rFonts w:hint="default" w:ascii="Times New Roman" w:hAnsi="Times New Roman" w:cs="Times New Roman"/>
                <w:sz w:val="24"/>
                <w:szCs w:val="24"/>
              </w:rPr>
              <m:t>ave</m:t>
            </m:r>
            <m:ctrlPr>
              <w:rPr>
                <w:rFonts w:ascii="Cambria Math" w:hAnsi="Cambria Math" w:cs="Times New Roman"/>
                <w:i/>
                <w:sz w:val="24"/>
                <w:szCs w:val="24"/>
              </w:rPr>
            </m:ctrlPr>
          </m:sub>
        </m:sSub>
      </m:oMath>
      <w:r>
        <w:rPr>
          <w:rFonts w:ascii="Times New Roman" w:hAnsi="Times New Roman" w:cs="Times New Roman"/>
          <w:sz w:val="24"/>
          <w:szCs w:val="24"/>
        </w:rPr>
        <w:t xml:space="preserve"> is the volume-averaged </w:t>
      </w:r>
      <w:r>
        <w:rPr>
          <w:rFonts w:ascii="Times New Roman" w:hAnsi="Times New Roman" w:cs="Times New Roman"/>
          <w:i/>
          <w:iCs/>
          <w:sz w:val="24"/>
          <w:szCs w:val="24"/>
        </w:rPr>
        <w:t>C</w:t>
      </w:r>
      <w:r>
        <w:rPr>
          <w:rFonts w:ascii="Times New Roman" w:hAnsi="Times New Roman" w:cs="Times New Roman"/>
          <w:sz w:val="24"/>
          <w:szCs w:val="24"/>
          <w:vertAlign w:val="subscript"/>
        </w:rPr>
        <w:t>E</w:t>
      </w:r>
      <w:r>
        <w:rPr>
          <w:rFonts w:ascii="Times New Roman" w:hAnsi="Times New Roman" w:cs="Times New Roman"/>
          <w:sz w:val="24"/>
          <w:szCs w:val="24"/>
        </w:rPr>
        <w:t xml:space="preserve"> within the molecular region. This relation indicates that the enhancement of the CD signal is directly proportional to the </w:t>
      </w:r>
      <m:oMath>
        <m:sSub>
          <m:sSubPr>
            <m:ctrlPr>
              <w:rPr>
                <w:rFonts w:ascii="Cambria Math" w:hAnsi="Cambria Math" w:cs="Times New Roman"/>
                <w:i/>
                <w:sz w:val="24"/>
                <w:szCs w:val="24"/>
              </w:rPr>
            </m:ctrlPr>
          </m:sSubPr>
          <m:e>
            <m:r>
              <m:rPr>
                <m:nor/>
              </m:rPr>
              <w:rPr>
                <w:rFonts w:hint="default" w:ascii="Times New Roman" w:hAnsi="Times New Roman" w:cs="Times New Roman"/>
                <w:i/>
                <w:iCs/>
                <w:sz w:val="24"/>
                <w:szCs w:val="24"/>
              </w:rPr>
              <m:t>C</m:t>
            </m:r>
            <m:ctrlPr>
              <w:rPr>
                <w:rFonts w:ascii="Cambria Math" w:hAnsi="Cambria Math" w:cs="Times New Roman"/>
                <w:i/>
                <w:sz w:val="24"/>
                <w:szCs w:val="24"/>
              </w:rPr>
            </m:ctrlPr>
          </m:e>
          <m:sub>
            <m:r>
              <m:rPr>
                <m:nor/>
                <m:sty m:val="p"/>
              </m:rPr>
              <w:rPr>
                <w:rFonts w:hint="default" w:ascii="Times New Roman" w:hAnsi="Times New Roman" w:cs="Times New Roman"/>
                <w:sz w:val="24"/>
                <w:szCs w:val="24"/>
              </w:rPr>
              <m:t>E</m:t>
            </m:r>
            <m:r>
              <m:rPr>
                <m:nor/>
                <m:sty m:val="p"/>
              </m:rPr>
              <w:rPr>
                <w:rFonts w:hint="default" w:ascii="Times New Roman" w:hAnsi="Times New Roman" w:cs="Times New Roman"/>
                <w:i w:val="0"/>
                <w:sz w:val="24"/>
                <w:szCs w:val="24"/>
              </w:rPr>
              <m:t xml:space="preserve">, </m:t>
            </m:r>
            <m:r>
              <m:rPr>
                <m:nor/>
                <m:sty m:val="p"/>
              </m:rPr>
              <w:rPr>
                <w:rFonts w:hint="default" w:ascii="Times New Roman" w:hAnsi="Times New Roman" w:cs="Times New Roman"/>
                <w:sz w:val="24"/>
                <w:szCs w:val="24"/>
              </w:rPr>
              <m:t>ave</m:t>
            </m:r>
            <m:ctrlPr>
              <w:rPr>
                <w:rFonts w:ascii="Cambria Math" w:hAnsi="Cambria Math" w:cs="Times New Roman"/>
                <w:i/>
                <w:sz w:val="24"/>
                <w:szCs w:val="24"/>
              </w:rPr>
            </m:ctrlPr>
          </m:sub>
        </m:sSub>
      </m:oMath>
      <w:r>
        <w:rPr>
          <w:rFonts w:ascii="Times New Roman" w:hAnsi="Times New Roman" w:cs="Times New Roman"/>
          <w:sz w:val="24"/>
          <w:szCs w:val="24"/>
        </w:rPr>
        <w:t xml:space="preserve">. </w:t>
      </w:r>
    </w:p>
    <w:p w14:paraId="036AE67C">
      <w:pPr>
        <w:spacing w:line="480" w:lineRule="auto"/>
        <w:ind w:firstLine="480" w:firstLineChars="200"/>
        <w:rPr>
          <w:rFonts w:ascii="Times New Roman" w:hAnsi="Times New Roman" w:cs="Times New Roman"/>
          <w:sz w:val="24"/>
          <w:szCs w:val="24"/>
        </w:rPr>
      </w:pPr>
      <w:r>
        <w:rPr>
          <w:rFonts w:ascii="Times New Roman" w:hAnsi="Times New Roman" w:cs="Times New Roman"/>
          <w:sz w:val="24"/>
          <w:szCs w:val="24"/>
        </w:rPr>
        <w:t>Therefore, metasurfaces supporting strong superchiral fields can significantly amplify the intrinsically weak CD signal of chiral molecules because they simultaneously enhance the local electric and magnetic fields within the molecular interaction volume and increase the optical chirality of the system, thereby strengthening chiral light–matter interactions. It should be emphasized that localized hotspots alone are not sufficient to guarantee strong CD enhancement. If regions with opposite signs of optical chirality coexist in space, the CD contributions generated from different locations may partially cancel each other in the far field, thereby reducing the observable signal. Consequently, the key to ultrasensitive chiral detection is to engineer a superchiral field that is strong, accessible to the molecules, single-signed, and large in volume-averaged optical chirality enhancement.</w:t>
      </w:r>
    </w:p>
    <w:p w14:paraId="2CA223E1">
      <w:pPr>
        <w:widowControl/>
        <w:spacing w:line="480" w:lineRule="auto"/>
        <w:jc w:val="left"/>
        <w:rPr>
          <w:rFonts w:ascii="Times New Roman" w:hAnsi="Times New Roman" w:cs="Times New Roman"/>
          <w:sz w:val="24"/>
          <w:szCs w:val="24"/>
        </w:rPr>
      </w:pPr>
      <w:r>
        <w:rPr>
          <w:rFonts w:ascii="Times New Roman" w:hAnsi="Times New Roman" w:cs="Times New Roman"/>
          <w:sz w:val="24"/>
          <w:szCs w:val="24"/>
        </w:rPr>
        <w:br w:type="page"/>
      </w:r>
    </w:p>
    <w:p w14:paraId="25C391B9">
      <w:pPr>
        <w:spacing w:line="480" w:lineRule="auto"/>
        <w:jc w:val="center"/>
        <w:rPr>
          <w:rFonts w:ascii="Times New Roman" w:hAnsi="Times New Roman" w:cs="Times New Roman"/>
          <w:sz w:val="24"/>
          <w:szCs w:val="24"/>
        </w:rPr>
      </w:pPr>
      <w:r>
        <w:rPr>
          <w:rFonts w:ascii="Times New Roman" w:hAnsi="Times New Roman" w:cs="Times New Roman"/>
        </w:rPr>
        <w:drawing>
          <wp:inline distT="0" distB="0" distL="0" distR="0">
            <wp:extent cx="3599815" cy="4291330"/>
            <wp:effectExtent l="0" t="0" r="63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599999" cy="4291876"/>
                    </a:xfrm>
                    <a:prstGeom prst="rect">
                      <a:avLst/>
                    </a:prstGeom>
                    <a:noFill/>
                    <a:ln>
                      <a:noFill/>
                    </a:ln>
                  </pic:spPr>
                </pic:pic>
              </a:graphicData>
            </a:graphic>
          </wp:inline>
        </w:drawing>
      </w:r>
    </w:p>
    <w:p w14:paraId="2DC034C0">
      <w:pPr>
        <w:spacing w:line="480" w:lineRule="auto"/>
        <w:rPr>
          <w:rFonts w:ascii="Times New Roman" w:hAnsi="Times New Roman" w:cs="Times New Roman"/>
          <w:sz w:val="24"/>
          <w:szCs w:val="24"/>
        </w:rPr>
      </w:pPr>
      <w:r>
        <w:rPr>
          <w:rFonts w:ascii="Times New Roman" w:hAnsi="Times New Roman" w:cs="Times New Roman"/>
          <w:b/>
          <w:bCs/>
          <w:sz w:val="24"/>
          <w:szCs w:val="24"/>
        </w:rPr>
        <w:t>Fig. S1</w:t>
      </w:r>
      <w:r>
        <w:rPr>
          <w:rFonts w:ascii="Times New Roman" w:hAnsi="Times New Roman" w:cs="Times New Roman"/>
          <w:sz w:val="24"/>
          <w:szCs w:val="24"/>
        </w:rPr>
        <w:t xml:space="preserve"> </w:t>
      </w:r>
      <w:r>
        <w:rPr>
          <w:rFonts w:ascii="Times New Roman" w:hAnsi="Times New Roman" w:cs="Times New Roman"/>
          <w:b/>
          <w:bCs/>
          <w:sz w:val="24"/>
          <w:szCs w:val="24"/>
        </w:rPr>
        <w:t xml:space="preserve">Dependence of the modal wavelengths and </w:t>
      </w:r>
      <w:r>
        <w:rPr>
          <w:rFonts w:ascii="Times New Roman" w:hAnsi="Times New Roman" w:cs="Times New Roman"/>
          <w:b/>
          <w:bCs/>
          <w:i/>
          <w:iCs/>
          <w:sz w:val="24"/>
          <w:szCs w:val="24"/>
        </w:rPr>
        <w:t>Q</w:t>
      </w:r>
      <w:r>
        <w:rPr>
          <w:rFonts w:ascii="Times New Roman" w:hAnsi="Times New Roman" w:cs="Times New Roman"/>
          <w:b/>
          <w:bCs/>
          <w:sz w:val="24"/>
          <w:szCs w:val="24"/>
        </w:rPr>
        <w:t xml:space="preserve"> factors on the structural parameters of the metasurface.</w:t>
      </w:r>
      <w:r>
        <w:rPr>
          <w:rFonts w:ascii="Times New Roman" w:hAnsi="Times New Roman" w:cs="Times New Roman"/>
          <w:sz w:val="24"/>
          <w:szCs w:val="24"/>
        </w:rPr>
        <w:t xml:space="preserve"> Evolution of the resonance wavelengths and </w:t>
      </w:r>
      <w:r>
        <w:rPr>
          <w:rFonts w:ascii="Times New Roman" w:hAnsi="Times New Roman" w:cs="Times New Roman"/>
          <w:i/>
          <w:iCs/>
          <w:sz w:val="24"/>
          <w:szCs w:val="24"/>
        </w:rPr>
        <w:t>Q</w:t>
      </w:r>
      <w:r>
        <w:rPr>
          <w:rFonts w:ascii="Times New Roman" w:hAnsi="Times New Roman" w:cs="Times New Roman"/>
          <w:sz w:val="24"/>
          <w:szCs w:val="24"/>
        </w:rPr>
        <w:t xml:space="preserve"> factors for varying structural parameters: (A, B) the center distance between the cylinder and the hole, </w:t>
      </w:r>
      <w:r>
        <w:rPr>
          <w:rFonts w:ascii="Times New Roman" w:hAnsi="Times New Roman" w:cs="Times New Roman"/>
          <w:i/>
          <w:iCs/>
          <w:sz w:val="24"/>
          <w:szCs w:val="24"/>
        </w:rPr>
        <w:t>d</w:t>
      </w:r>
      <w:r>
        <w:rPr>
          <w:rFonts w:ascii="Times New Roman" w:hAnsi="Times New Roman" w:cs="Times New Roman"/>
          <w:sz w:val="24"/>
          <w:szCs w:val="24"/>
        </w:rPr>
        <w:t xml:space="preserve">, (C, D) cylinder radius </w:t>
      </w:r>
      <w:r>
        <w:rPr>
          <w:rFonts w:ascii="Times New Roman" w:hAnsi="Times New Roman" w:cs="Times New Roman"/>
          <w:i/>
          <w:iCs/>
          <w:sz w:val="24"/>
          <w:szCs w:val="24"/>
        </w:rPr>
        <w:t>r</w:t>
      </w:r>
      <w:r>
        <w:rPr>
          <w:rFonts w:ascii="Times New Roman" w:hAnsi="Times New Roman" w:cs="Times New Roman"/>
          <w:sz w:val="24"/>
          <w:szCs w:val="24"/>
        </w:rPr>
        <w:t xml:space="preserve">, and (E, F) slab thickness </w:t>
      </w:r>
      <w:r>
        <w:rPr>
          <w:rFonts w:ascii="Times New Roman" w:hAnsi="Times New Roman" w:cs="Times New Roman"/>
          <w:i/>
          <w:iCs/>
          <w:sz w:val="24"/>
          <w:szCs w:val="24"/>
        </w:rPr>
        <w:t>t</w:t>
      </w:r>
      <w:r>
        <w:rPr>
          <w:rFonts w:ascii="Times New Roman" w:hAnsi="Times New Roman" w:cs="Times New Roman"/>
          <w:sz w:val="24"/>
          <w:szCs w:val="24"/>
        </w:rPr>
        <w:t>.</w:t>
      </w:r>
    </w:p>
    <w:p w14:paraId="40934C16">
      <w:pPr>
        <w:spacing w:line="480" w:lineRule="auto"/>
        <w:rPr>
          <w:rFonts w:ascii="Times New Roman" w:hAnsi="Times New Roman" w:cs="Times New Roman"/>
          <w:sz w:val="24"/>
          <w:szCs w:val="24"/>
        </w:rPr>
      </w:pPr>
    </w:p>
    <w:p w14:paraId="7AEF09B2">
      <w:pPr>
        <w:spacing w:line="480" w:lineRule="auto"/>
        <w:rPr>
          <w:rFonts w:ascii="Times New Roman" w:hAnsi="Times New Roman" w:cs="Times New Roman"/>
          <w:sz w:val="24"/>
          <w:szCs w:val="24"/>
        </w:rPr>
      </w:pPr>
      <w:r>
        <w:rPr>
          <w:rFonts w:ascii="Times New Roman" w:hAnsi="Times New Roman" w:cs="Times New Roman"/>
          <w:sz w:val="24"/>
          <w:szCs w:val="24"/>
        </w:rPr>
        <w:t xml:space="preserve">These results show that the three structural parameters </w:t>
      </w:r>
      <w:r>
        <w:rPr>
          <w:rFonts w:ascii="Times New Roman" w:hAnsi="Times New Roman" w:eastAsia="宋体" w:cs="Times New Roman"/>
          <w:kern w:val="0"/>
          <w:sz w:val="24"/>
          <w:szCs w:val="24"/>
        </w:rPr>
        <w:t>[</w:t>
      </w:r>
      <w:r>
        <w:rPr>
          <w:rFonts w:ascii="Times New Roman" w:hAnsi="Times New Roman" w:eastAsia="宋体" w:cs="Times New Roman"/>
          <w:i/>
          <w:iCs/>
          <w:kern w:val="0"/>
          <w:sz w:val="24"/>
          <w:szCs w:val="24"/>
        </w:rPr>
        <w:t>r</w:t>
      </w:r>
      <w:r>
        <w:rPr>
          <w:rFonts w:ascii="Times New Roman" w:hAnsi="Times New Roman" w:eastAsia="宋体" w:cs="Times New Roman"/>
          <w:kern w:val="0"/>
          <w:sz w:val="24"/>
          <w:szCs w:val="24"/>
        </w:rPr>
        <w:t xml:space="preserve">, </w:t>
      </w:r>
      <w:r>
        <w:rPr>
          <w:rFonts w:ascii="Times New Roman" w:hAnsi="Times New Roman" w:eastAsia="宋体" w:cs="Times New Roman"/>
          <w:i/>
          <w:iCs/>
          <w:kern w:val="0"/>
          <w:sz w:val="24"/>
          <w:szCs w:val="24"/>
        </w:rPr>
        <w:t>d</w:t>
      </w:r>
      <w:r>
        <w:rPr>
          <w:rFonts w:ascii="Times New Roman" w:hAnsi="Times New Roman" w:eastAsia="宋体" w:cs="Times New Roman"/>
          <w:kern w:val="0"/>
          <w:sz w:val="24"/>
          <w:szCs w:val="24"/>
        </w:rPr>
        <w:t xml:space="preserve">, </w:t>
      </w:r>
      <w:r>
        <w:rPr>
          <w:rFonts w:ascii="Times New Roman" w:hAnsi="Times New Roman" w:eastAsia="宋体" w:cs="Times New Roman"/>
          <w:i/>
          <w:iCs/>
          <w:kern w:val="0"/>
          <w:sz w:val="24"/>
          <w:szCs w:val="24"/>
        </w:rPr>
        <w:t>t</w:t>
      </w:r>
      <w:r>
        <w:rPr>
          <w:rFonts w:ascii="Times New Roman" w:hAnsi="Times New Roman" w:eastAsia="宋体" w:cs="Times New Roman"/>
          <w:kern w:val="0"/>
          <w:sz w:val="24"/>
          <w:szCs w:val="24"/>
        </w:rPr>
        <w:t xml:space="preserve">] </w:t>
      </w:r>
      <w:r>
        <w:rPr>
          <w:rFonts w:ascii="Times New Roman" w:hAnsi="Times New Roman" w:cs="Times New Roman"/>
          <w:sz w:val="24"/>
          <w:szCs w:val="24"/>
        </w:rPr>
        <w:t>play distinct roles in tuning the eigenmode characteristics, consistent with the parameter-selection strategy adopted in the main text for DNN training and Bayesian optimization.</w:t>
      </w:r>
    </w:p>
    <w:p w14:paraId="3D857882">
      <w:pPr>
        <w:spacing w:line="480" w:lineRule="auto"/>
        <w:rPr>
          <w:rFonts w:ascii="Times New Roman" w:hAnsi="Times New Roman" w:cs="Times New Roman"/>
          <w:sz w:val="24"/>
          <w:szCs w:val="24"/>
        </w:rPr>
      </w:pPr>
    </w:p>
    <w:p w14:paraId="2250D108">
      <w:pPr>
        <w:widowControl/>
        <w:spacing w:line="480" w:lineRule="auto"/>
        <w:jc w:val="left"/>
        <w:rPr>
          <w:rFonts w:ascii="Times New Roman" w:hAnsi="Times New Roman" w:cs="Times New Roman"/>
          <w:sz w:val="24"/>
          <w:szCs w:val="24"/>
        </w:rPr>
      </w:pPr>
      <w:r>
        <w:rPr>
          <w:rFonts w:ascii="Times New Roman" w:hAnsi="Times New Roman" w:cs="Times New Roman"/>
          <w:sz w:val="24"/>
          <w:szCs w:val="24"/>
        </w:rPr>
        <w:br w:type="page"/>
      </w:r>
    </w:p>
    <w:p w14:paraId="6AD4A40E">
      <w:pPr>
        <w:widowControl/>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2159635" cy="177228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59999" cy="1772669"/>
                    </a:xfrm>
                    <a:prstGeom prst="rect">
                      <a:avLst/>
                    </a:prstGeom>
                  </pic:spPr>
                </pic:pic>
              </a:graphicData>
            </a:graphic>
          </wp:inline>
        </w:drawing>
      </w:r>
    </w:p>
    <w:p w14:paraId="7AA6AA4A">
      <w:pPr>
        <w:spacing w:line="480" w:lineRule="auto"/>
        <w:rPr>
          <w:rFonts w:ascii="Times New Roman" w:hAnsi="Times New Roman" w:cs="Times New Roman"/>
          <w:sz w:val="24"/>
          <w:szCs w:val="24"/>
        </w:rPr>
      </w:pPr>
      <w:r>
        <w:rPr>
          <w:rFonts w:ascii="Times New Roman" w:hAnsi="Times New Roman" w:cs="Times New Roman"/>
          <w:b/>
          <w:bCs/>
          <w:sz w:val="24"/>
          <w:szCs w:val="24"/>
        </w:rPr>
        <w:t>Fig. S2</w:t>
      </w:r>
      <w:r>
        <w:rPr>
          <w:rFonts w:ascii="Times New Roman" w:hAnsi="Times New Roman" w:cs="Times New Roman"/>
          <w:sz w:val="24"/>
          <w:szCs w:val="24"/>
        </w:rPr>
        <w:t xml:space="preserve"> Illustration of mode-label switching caused by modal crossing in the metasurface eigenmode dataset. </w:t>
      </w:r>
    </w:p>
    <w:p w14:paraId="66DFC6CD">
      <w:pPr>
        <w:spacing w:line="480" w:lineRule="auto"/>
        <w:rPr>
          <w:rFonts w:ascii="Times New Roman" w:hAnsi="Times New Roman" w:cs="Times New Roman"/>
          <w:sz w:val="24"/>
          <w:szCs w:val="24"/>
        </w:rPr>
      </w:pPr>
    </w:p>
    <w:p w14:paraId="31DA924C">
      <w:pPr>
        <w:spacing w:line="480" w:lineRule="auto"/>
        <w:rPr>
          <w:rFonts w:ascii="Times New Roman" w:hAnsi="Times New Roman" w:cs="Times New Roman"/>
          <w:sz w:val="24"/>
          <w:szCs w:val="24"/>
        </w:rPr>
      </w:pPr>
      <w:r>
        <w:rPr>
          <w:rFonts w:ascii="Times New Roman" w:hAnsi="Times New Roman" w:cs="Times New Roman"/>
          <w:sz w:val="24"/>
          <w:szCs w:val="24"/>
        </w:rPr>
        <w:t xml:space="preserve">Evolution of two representative eigenmode wavelengths as a function of the cylinder radius r, with </w:t>
      </w:r>
      <w:r>
        <w:rPr>
          <w:rFonts w:ascii="Times New Roman" w:hAnsi="Times New Roman" w:cs="Times New Roman"/>
          <w:i/>
          <w:iCs/>
          <w:sz w:val="24"/>
          <w:szCs w:val="24"/>
        </w:rPr>
        <w:t>d</w:t>
      </w:r>
      <w:r>
        <w:rPr>
          <w:rFonts w:ascii="Times New Roman" w:hAnsi="Times New Roman" w:cs="Times New Roman"/>
          <w:sz w:val="24"/>
          <w:szCs w:val="24"/>
        </w:rPr>
        <w:t xml:space="preserve"> = 80 nm and </w:t>
      </w:r>
      <w:r>
        <w:rPr>
          <w:rFonts w:ascii="Times New Roman" w:hAnsi="Times New Roman" w:cs="Times New Roman"/>
          <w:i/>
          <w:iCs/>
          <w:sz w:val="24"/>
          <w:szCs w:val="24"/>
        </w:rPr>
        <w:t>t</w:t>
      </w:r>
      <w:r>
        <w:rPr>
          <w:rFonts w:ascii="Times New Roman" w:hAnsi="Times New Roman" w:cs="Times New Roman"/>
          <w:sz w:val="24"/>
          <w:szCs w:val="24"/>
        </w:rPr>
        <w:t xml:space="preserve"> = 134 nm fixed. The TM</w:t>
      </w:r>
      <w:r>
        <w:rPr>
          <w:rFonts w:ascii="Times New Roman" w:hAnsi="Times New Roman" w:cs="Times New Roman"/>
          <w:sz w:val="24"/>
          <w:szCs w:val="24"/>
          <w:vertAlign w:val="subscript"/>
        </w:rPr>
        <w:t>1</w:t>
      </w:r>
      <w:r>
        <w:rPr>
          <w:rFonts w:ascii="Times New Roman" w:hAnsi="Times New Roman" w:cs="Times New Roman"/>
          <w:sz w:val="24"/>
          <w:szCs w:val="24"/>
        </w:rPr>
        <w:t xml:space="preserve"> and TE</w:t>
      </w:r>
      <w:r>
        <w:rPr>
          <w:rFonts w:ascii="Times New Roman" w:hAnsi="Times New Roman" w:cs="Times New Roman"/>
          <w:sz w:val="24"/>
          <w:szCs w:val="24"/>
          <w:vertAlign w:val="subscript"/>
        </w:rPr>
        <w:t>4</w:t>
      </w:r>
      <w:r>
        <w:rPr>
          <w:rFonts w:ascii="Times New Roman" w:hAnsi="Times New Roman" w:cs="Times New Roman"/>
          <w:sz w:val="24"/>
          <w:szCs w:val="24"/>
        </w:rPr>
        <w:t xml:space="preserve"> modes approach and cross near </w:t>
      </w:r>
      <w:r>
        <w:rPr>
          <w:rFonts w:ascii="Times New Roman" w:hAnsi="Times New Roman" w:cs="Times New Roman"/>
          <w:i/>
          <w:iCs/>
          <w:sz w:val="24"/>
          <w:szCs w:val="24"/>
        </w:rPr>
        <w:t>r</w:t>
      </w:r>
      <w:r>
        <w:rPr>
          <w:rFonts w:ascii="Times New Roman" w:hAnsi="Times New Roman" w:cs="Times New Roman"/>
          <w:sz w:val="24"/>
          <w:szCs w:val="24"/>
        </w:rPr>
        <w:t xml:space="preserve"> </w:t>
      </w:r>
      <w:r>
        <w:rPr>
          <w:rFonts w:hint="eastAsia" w:ascii="Times New Roman" w:hAnsi="Times New Roman" w:cs="Times New Roman"/>
          <w:sz w:val="24"/>
          <w:szCs w:val="24"/>
        </w:rPr>
        <w:t>≈</w:t>
      </w:r>
      <w:r>
        <w:rPr>
          <w:rFonts w:ascii="Times New Roman" w:hAnsi="Times New Roman" w:cs="Times New Roman"/>
          <w:sz w:val="24"/>
          <w:szCs w:val="24"/>
        </w:rPr>
        <w:t xml:space="preserve"> 29 nm. When the modal outputs are sorted only by numerical wavelength order, the column labels </w:t>
      </w:r>
      <w:r>
        <w:rPr>
          <w:rFonts w:hint="eastAsia" w:ascii="Times New Roman" w:hAnsi="Times New Roman" w:cs="Times New Roman"/>
          <w:sz w:val="24"/>
          <w:szCs w:val="24"/>
        </w:rPr>
        <w:t>“</w:t>
      </w:r>
      <w:r>
        <w:rPr>
          <w:rFonts w:ascii="Times New Roman" w:hAnsi="Times New Roman" w:cs="Times New Roman"/>
          <w:sz w:val="24"/>
          <w:szCs w:val="24"/>
        </w:rPr>
        <w:t>mode 1</w:t>
      </w:r>
      <w:r>
        <w:rPr>
          <w:rFonts w:hint="eastAsia" w:ascii="Times New Roman" w:hAnsi="Times New Roman" w:cs="Times New Roman"/>
          <w:sz w:val="24"/>
          <w:szCs w:val="24"/>
        </w:rPr>
        <w:t>”</w:t>
      </w:r>
      <w:r>
        <w:rPr>
          <w:rFonts w:ascii="Times New Roman" w:hAnsi="Times New Roman" w:cs="Times New Roman"/>
          <w:sz w:val="24"/>
          <w:szCs w:val="24"/>
        </w:rPr>
        <w:t xml:space="preserve"> and </w:t>
      </w:r>
      <w:r>
        <w:rPr>
          <w:rFonts w:hint="eastAsia" w:ascii="Times New Roman" w:hAnsi="Times New Roman" w:cs="Times New Roman"/>
          <w:sz w:val="24"/>
          <w:szCs w:val="24"/>
        </w:rPr>
        <w:t>“</w:t>
      </w:r>
      <w:r>
        <w:rPr>
          <w:rFonts w:ascii="Times New Roman" w:hAnsi="Times New Roman" w:cs="Times New Roman"/>
          <w:sz w:val="24"/>
          <w:szCs w:val="24"/>
        </w:rPr>
        <w:t>mode 2</w:t>
      </w:r>
      <w:r>
        <w:rPr>
          <w:rFonts w:hint="eastAsia" w:ascii="Times New Roman" w:hAnsi="Times New Roman" w:cs="Times New Roman"/>
          <w:sz w:val="24"/>
          <w:szCs w:val="24"/>
        </w:rPr>
        <w:t>”</w:t>
      </w:r>
      <w:r>
        <w:rPr>
          <w:rFonts w:ascii="Times New Roman" w:hAnsi="Times New Roman" w:cs="Times New Roman"/>
          <w:sz w:val="24"/>
          <w:szCs w:val="24"/>
        </w:rPr>
        <w:t xml:space="preserve"> are exchanged across the crossing point, although the physical mode identities remain unchanged. This behavior exemplifies the label discontinuity discussed in the main text and explains why a conventional ordered-label regression formulation is inadequate for the present modal-learning task. </w:t>
      </w:r>
    </w:p>
    <w:p w14:paraId="471E4D30">
      <w:pPr>
        <w:spacing w:line="480" w:lineRule="auto"/>
        <w:jc w:val="center"/>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sz w:val="24"/>
          <w:szCs w:val="24"/>
        </w:rPr>
        <w:drawing>
          <wp:inline distT="0" distB="0" distL="0" distR="0">
            <wp:extent cx="2349500" cy="179959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49903" cy="1799999"/>
                    </a:xfrm>
                    <a:prstGeom prst="rect">
                      <a:avLst/>
                    </a:prstGeom>
                  </pic:spPr>
                </pic:pic>
              </a:graphicData>
            </a:graphic>
          </wp:inline>
        </w:drawing>
      </w:r>
    </w:p>
    <w:p w14:paraId="7083F823">
      <w:pPr>
        <w:spacing w:line="480" w:lineRule="auto"/>
        <w:jc w:val="left"/>
        <w:rPr>
          <w:rFonts w:ascii="Times New Roman" w:hAnsi="Times New Roman" w:cs="Times New Roman"/>
          <w:sz w:val="24"/>
          <w:szCs w:val="24"/>
        </w:rPr>
      </w:pPr>
      <w:r>
        <w:rPr>
          <w:rFonts w:ascii="Times New Roman" w:hAnsi="Times New Roman" w:cs="Times New Roman"/>
          <w:b/>
          <w:bCs/>
          <w:sz w:val="24"/>
          <w:szCs w:val="24"/>
        </w:rPr>
        <w:t xml:space="preserve">Fig. S3 </w:t>
      </w:r>
      <w:r>
        <w:rPr>
          <w:rFonts w:ascii="Times New Roman" w:hAnsi="Times New Roman" w:cs="Times New Roman"/>
          <w:sz w:val="24"/>
          <w:szCs w:val="24"/>
        </w:rPr>
        <w:t>Training and validation loss curves, together with the final test loss, for the conventional ordered-label regression baseline.</w:t>
      </w:r>
    </w:p>
    <w:p w14:paraId="11D33E6B">
      <w:pPr>
        <w:spacing w:line="480" w:lineRule="auto"/>
        <w:jc w:val="center"/>
        <w:rPr>
          <w:rFonts w:ascii="Times New Roman" w:hAnsi="Times New Roman" w:cs="Times New Roman"/>
          <w:sz w:val="24"/>
          <w:szCs w:val="24"/>
        </w:rPr>
      </w:pPr>
    </w:p>
    <w:p w14:paraId="700E5154">
      <w:pPr>
        <w:spacing w:line="480" w:lineRule="auto"/>
        <w:rPr>
          <w:rFonts w:ascii="Times New Roman" w:hAnsi="Times New Roman" w:cs="Times New Roman"/>
          <w:sz w:val="24"/>
          <w:szCs w:val="24"/>
        </w:rPr>
      </w:pPr>
      <w:r>
        <w:rPr>
          <w:rFonts w:ascii="Times New Roman" w:hAnsi="Times New Roman" w:cs="Times New Roman"/>
          <w:sz w:val="24"/>
          <w:szCs w:val="24"/>
        </w:rPr>
        <w:t>The model was trained using the same network architecture and dataset as the proposed method, but with a standard point-wise MSE loss applied to rigidly ordered modal outputs. Although the training loss decreases to a very low level, the validation loss remains substantially higher and does not improve further even after 6000 epochs, indicating evident overfitting and poor generalization. The inset highlights the persistent discrepancy between the training and validation losses at the late training stage. These results show that, when mode-label switching is ignored and the modal outputs are treated as rigidly ordered labels, artificial supervision conflicts are introduced, which severely degrade predictive performance.</w:t>
      </w:r>
    </w:p>
    <w:p w14:paraId="292B2FB3">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2F934591">
      <w:pPr>
        <w:spacing w:line="480" w:lineRule="auto"/>
        <w:jc w:val="center"/>
        <w:rPr>
          <w:rFonts w:ascii="Times New Roman" w:hAnsi="Times New Roman" w:cs="Times New Roman"/>
          <w:sz w:val="24"/>
          <w:szCs w:val="24"/>
        </w:rPr>
      </w:pPr>
      <w:r>
        <w:rPr>
          <w:rFonts w:ascii="Times New Roman" w:hAnsi="Times New Roman" w:cs="Times New Roman"/>
        </w:rPr>
        <w:drawing>
          <wp:inline distT="0" distB="0" distL="0" distR="0">
            <wp:extent cx="2518410" cy="2200910"/>
            <wp:effectExtent l="0" t="0" r="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18909" cy="2201089"/>
                    </a:xfrm>
                    <a:prstGeom prst="rect">
                      <a:avLst/>
                    </a:prstGeom>
                    <a:noFill/>
                    <a:ln>
                      <a:noFill/>
                    </a:ln>
                  </pic:spPr>
                </pic:pic>
              </a:graphicData>
            </a:graphic>
          </wp:inline>
        </w:drawing>
      </w:r>
    </w:p>
    <w:p w14:paraId="68A5B688">
      <w:pPr>
        <w:spacing w:line="480" w:lineRule="auto"/>
        <w:jc w:val="center"/>
        <w:rPr>
          <w:rFonts w:ascii="Times New Roman" w:hAnsi="Times New Roman" w:cs="Times New Roman"/>
          <w:sz w:val="24"/>
          <w:szCs w:val="24"/>
        </w:rPr>
      </w:pPr>
    </w:p>
    <w:p w14:paraId="68DFA7E4">
      <w:pPr>
        <w:spacing w:line="480" w:lineRule="auto"/>
        <w:rPr>
          <w:rFonts w:ascii="Times New Roman" w:hAnsi="Times New Roman" w:cs="Times New Roman"/>
          <w:sz w:val="24"/>
          <w:szCs w:val="24"/>
        </w:rPr>
      </w:pPr>
      <w:r>
        <w:rPr>
          <w:rFonts w:ascii="Times New Roman" w:hAnsi="Times New Roman" w:cs="Times New Roman"/>
          <w:b/>
          <w:bCs/>
          <w:sz w:val="24"/>
          <w:szCs w:val="24"/>
        </w:rPr>
        <w:t>Fig. S4</w:t>
      </w:r>
      <w:r>
        <w:rPr>
          <w:rFonts w:ascii="Times New Roman" w:hAnsi="Times New Roman" w:cs="Times New Roman"/>
          <w:sz w:val="24"/>
          <w:szCs w:val="24"/>
        </w:rPr>
        <w:t xml:space="preserve"> Electric and magnetic field distributions of the TM</w:t>
      </w:r>
      <w:r>
        <w:rPr>
          <w:rFonts w:ascii="Times New Roman" w:hAnsi="Times New Roman" w:cs="Times New Roman"/>
          <w:sz w:val="24"/>
          <w:szCs w:val="24"/>
          <w:vertAlign w:val="subscript"/>
        </w:rPr>
        <w:t>1</w:t>
      </w:r>
      <w:r>
        <w:rPr>
          <w:rFonts w:ascii="Times New Roman" w:hAnsi="Times New Roman" w:cs="Times New Roman"/>
          <w:sz w:val="24"/>
          <w:szCs w:val="24"/>
        </w:rPr>
        <w:t xml:space="preserve"> and TE</w:t>
      </w:r>
      <w:r>
        <w:rPr>
          <w:rFonts w:ascii="Times New Roman" w:hAnsi="Times New Roman" w:cs="Times New Roman"/>
          <w:sz w:val="24"/>
          <w:szCs w:val="24"/>
          <w:vertAlign w:val="subscript"/>
        </w:rPr>
        <w:t>4</w:t>
      </w:r>
      <w:r>
        <w:rPr>
          <w:rFonts w:ascii="Times New Roman" w:hAnsi="Times New Roman" w:cs="Times New Roman"/>
          <w:sz w:val="24"/>
          <w:szCs w:val="24"/>
        </w:rPr>
        <w:t xml:space="preserve"> quasi-BICs exhibiting electromagnetic duality.</w:t>
      </w:r>
    </w:p>
    <w:p w14:paraId="38317991">
      <w:pPr>
        <w:spacing w:line="480" w:lineRule="auto"/>
        <w:rPr>
          <w:rFonts w:ascii="Times New Roman" w:hAnsi="Times New Roman" w:cs="Times New Roman"/>
          <w:sz w:val="24"/>
          <w:szCs w:val="24"/>
        </w:rPr>
      </w:pPr>
    </w:p>
    <w:p w14:paraId="0DE0F5A2">
      <w:pPr>
        <w:spacing w:line="480" w:lineRule="auto"/>
        <w:rPr>
          <w:rFonts w:ascii="Times New Roman" w:hAnsi="Times New Roman" w:cs="Times New Roman"/>
          <w:sz w:val="24"/>
          <w:szCs w:val="24"/>
        </w:rPr>
      </w:pPr>
      <w:r>
        <w:rPr>
          <w:rFonts w:ascii="Times New Roman" w:hAnsi="Times New Roman" w:cs="Times New Roman"/>
          <w:sz w:val="24"/>
          <w:szCs w:val="24"/>
        </w:rPr>
        <w:t>Simulated electric- and magnetic-field profiles of the TM1 and TE4 quasi-bound states in the continuum (q-BICs), showing their electromagnetic duality and strong spatial overlap. These mode characteristics support their selection in the main text as the target modal pair for inverse design of superchiral fields.</w:t>
      </w:r>
    </w:p>
    <w:p w14:paraId="73C88139">
      <w:pPr>
        <w:widowControl/>
        <w:jc w:val="center"/>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sz w:val="24"/>
          <w:szCs w:val="24"/>
        </w:rPr>
        <w:drawing>
          <wp:inline distT="0" distB="0" distL="0" distR="0">
            <wp:extent cx="3599815" cy="4344035"/>
            <wp:effectExtent l="0" t="0" r="63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00000" cy="4344438"/>
                    </a:xfrm>
                    <a:prstGeom prst="rect">
                      <a:avLst/>
                    </a:prstGeom>
                  </pic:spPr>
                </pic:pic>
              </a:graphicData>
            </a:graphic>
          </wp:inline>
        </w:drawing>
      </w:r>
    </w:p>
    <w:p w14:paraId="6E12613D">
      <w:pPr>
        <w:spacing w:line="480" w:lineRule="auto"/>
        <w:rPr>
          <w:rFonts w:ascii="Times New Roman" w:hAnsi="Times New Roman" w:cs="Times New Roman"/>
          <w:sz w:val="24"/>
          <w:szCs w:val="24"/>
        </w:rPr>
      </w:pPr>
      <w:r>
        <w:rPr>
          <w:rFonts w:ascii="Times New Roman" w:hAnsi="Times New Roman" w:cs="Times New Roman"/>
          <w:b/>
          <w:bCs/>
          <w:sz w:val="24"/>
          <w:szCs w:val="24"/>
        </w:rPr>
        <w:t>Fig. S5</w:t>
      </w:r>
      <w:r>
        <w:rPr>
          <w:rFonts w:ascii="Times New Roman" w:hAnsi="Times New Roman" w:cs="Times New Roman"/>
          <w:sz w:val="24"/>
          <w:szCs w:val="24"/>
        </w:rPr>
        <w:t xml:space="preserve"> Inverse-designed band distributions obtained from BO runs with different random seeds for a target wavelength of 657 nm.</w:t>
      </w:r>
    </w:p>
    <w:p w14:paraId="522952FA">
      <w:pPr>
        <w:spacing w:line="480" w:lineRule="auto"/>
        <w:rPr>
          <w:rFonts w:ascii="Times New Roman" w:hAnsi="Times New Roman" w:cs="Times New Roman"/>
          <w:sz w:val="24"/>
          <w:szCs w:val="24"/>
        </w:rPr>
      </w:pPr>
    </w:p>
    <w:p w14:paraId="1661175E">
      <w:pPr>
        <w:spacing w:line="480" w:lineRule="auto"/>
        <w:rPr>
          <w:rFonts w:ascii="Times New Roman" w:hAnsi="Times New Roman" w:cs="Times New Roman"/>
          <w:sz w:val="24"/>
          <w:szCs w:val="24"/>
        </w:rPr>
      </w:pPr>
      <w:r>
        <w:rPr>
          <w:rFonts w:ascii="Times New Roman" w:hAnsi="Times New Roman" w:cs="Times New Roman"/>
          <w:sz w:val="24"/>
          <w:szCs w:val="24"/>
        </w:rPr>
        <w:t>Inverse-designed band distributions obtained from BO runs with different random seeds for a target wavelength of 657 nm, showing consistent near-degeneracy of the two selected modes. Although the optimized structural parameters vary slightly across different runs, the selected modal wavelengths remain stably located near the target wavelength, demonstrating the robustness of the BO-based inverse-design process with respect to random initialization.</w:t>
      </w:r>
    </w:p>
    <w:p w14:paraId="25CA1CC2">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3D057615">
      <w:pPr>
        <w:widowControl/>
        <w:spacing w:line="480" w:lineRule="auto"/>
        <w:jc w:val="left"/>
        <w:rPr>
          <w:rFonts w:ascii="Times New Roman" w:hAnsi="Times New Roman" w:cs="Times New Roman"/>
          <w:sz w:val="24"/>
          <w:szCs w:val="24"/>
        </w:rPr>
      </w:pPr>
    </w:p>
    <w:p w14:paraId="76D60330">
      <w:pPr>
        <w:spacing w:line="480" w:lineRule="auto"/>
        <w:rPr>
          <w:rFonts w:ascii="Times New Roman" w:hAnsi="Times New Roman" w:cs="Times New Roman"/>
          <w:sz w:val="24"/>
          <w:szCs w:val="24"/>
        </w:rPr>
      </w:pPr>
    </w:p>
    <w:p w14:paraId="32C2A8BD">
      <w:pPr>
        <w:spacing w:line="480" w:lineRule="auto"/>
        <w:jc w:val="center"/>
        <w:rPr>
          <w:rFonts w:ascii="Times New Roman" w:hAnsi="Times New Roman" w:cs="Times New Roman"/>
          <w:sz w:val="24"/>
          <w:szCs w:val="24"/>
        </w:rPr>
      </w:pPr>
      <w:r>
        <w:rPr>
          <w:rFonts w:ascii="Times New Roman" w:hAnsi="Times New Roman" w:cs="Times New Roman"/>
        </w:rPr>
        <w:drawing>
          <wp:inline distT="0" distB="0" distL="0" distR="0">
            <wp:extent cx="4855210" cy="3694430"/>
            <wp:effectExtent l="0" t="0" r="2540"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55776" cy="3694443"/>
                    </a:xfrm>
                    <a:prstGeom prst="rect">
                      <a:avLst/>
                    </a:prstGeom>
                    <a:noFill/>
                    <a:ln>
                      <a:noFill/>
                    </a:ln>
                  </pic:spPr>
                </pic:pic>
              </a:graphicData>
            </a:graphic>
          </wp:inline>
        </w:drawing>
      </w:r>
    </w:p>
    <w:p w14:paraId="47F4A9AD">
      <w:pPr>
        <w:spacing w:line="480" w:lineRule="auto"/>
        <w:jc w:val="center"/>
        <w:rPr>
          <w:rFonts w:ascii="Times New Roman" w:hAnsi="Times New Roman" w:cs="Times New Roman"/>
          <w:sz w:val="24"/>
          <w:szCs w:val="24"/>
        </w:rPr>
      </w:pPr>
    </w:p>
    <w:p w14:paraId="0C721208">
      <w:pPr>
        <w:spacing w:line="480" w:lineRule="auto"/>
        <w:rPr>
          <w:rFonts w:ascii="Times New Roman" w:hAnsi="Times New Roman" w:cs="Times New Roman"/>
          <w:sz w:val="24"/>
          <w:szCs w:val="24"/>
        </w:rPr>
      </w:pPr>
      <w:r>
        <w:rPr>
          <w:rFonts w:ascii="Times New Roman" w:hAnsi="Times New Roman" w:cs="Times New Roman"/>
          <w:b/>
          <w:bCs/>
          <w:sz w:val="24"/>
          <w:szCs w:val="24"/>
        </w:rPr>
        <w:t>Fig. S6</w:t>
      </w:r>
      <w:r>
        <w:rPr>
          <w:rFonts w:ascii="Times New Roman" w:hAnsi="Times New Roman" w:cs="Times New Roman"/>
          <w:sz w:val="24"/>
          <w:szCs w:val="24"/>
        </w:rPr>
        <w:t xml:space="preserve"> </w:t>
      </w:r>
      <w:r>
        <w:rPr>
          <w:rFonts w:ascii="Times New Roman" w:hAnsi="Times New Roman" w:cs="Times New Roman"/>
          <w:b/>
          <w:bCs/>
          <w:sz w:val="24"/>
          <w:szCs w:val="24"/>
        </w:rPr>
        <w:t>Strong coupling induced by the chiral enantiomers.</w:t>
      </w:r>
      <w:r>
        <w:rPr>
          <w:rFonts w:ascii="Times New Roman" w:hAnsi="Times New Roman" w:cs="Times New Roman"/>
          <w:sz w:val="24"/>
          <w:szCs w:val="24"/>
        </w:rPr>
        <w:t xml:space="preserve"> (A) Schematic illustration of the coupling between the two target modes. Before introducing the chiral molecular layer, the two uncoupled modes follow bare-state branches (black lines) and intersect at zero detuning. After introducing the chiral enantiomers, strong coupling occurs and the two hybridized branches, namely the upper branch (UB) and lower branch (LB), are formed. (B) Evolution of the field distributions of the two hybridized branches with slab thickness </w:t>
      </w:r>
      <w:r>
        <w:rPr>
          <w:rFonts w:ascii="Times New Roman" w:hAnsi="Times New Roman" w:cs="Times New Roman"/>
          <w:i/>
          <w:iCs/>
          <w:sz w:val="24"/>
          <w:szCs w:val="24"/>
        </w:rPr>
        <w:t>t</w:t>
      </w:r>
      <w:r>
        <w:rPr>
          <w:rFonts w:ascii="Times New Roman" w:hAnsi="Times New Roman" w:cs="Times New Roman"/>
          <w:sz w:val="24"/>
          <w:szCs w:val="24"/>
        </w:rPr>
        <w:t xml:space="preserve">. </w:t>
      </w:r>
    </w:p>
    <w:p w14:paraId="6973F94A">
      <w:pPr>
        <w:spacing w:line="480" w:lineRule="auto"/>
        <w:rPr>
          <w:rFonts w:ascii="Times New Roman" w:hAnsi="Times New Roman" w:cs="Times New Roman"/>
          <w:sz w:val="24"/>
          <w:szCs w:val="24"/>
        </w:rPr>
      </w:pPr>
    </w:p>
    <w:p w14:paraId="7B3196A2">
      <w:pPr>
        <w:spacing w:line="480" w:lineRule="auto"/>
        <w:rPr>
          <w:rFonts w:ascii="Times New Roman" w:hAnsi="Times New Roman" w:cs="Times New Roman"/>
          <w:sz w:val="24"/>
          <w:szCs w:val="24"/>
        </w:rPr>
      </w:pPr>
      <w:r>
        <w:rPr>
          <w:rFonts w:ascii="Times New Roman" w:hAnsi="Times New Roman" w:cs="Times New Roman"/>
          <w:sz w:val="24"/>
          <w:szCs w:val="24"/>
        </w:rPr>
        <w:t>This figure provides supplementary evidence for the strong coupling picture used in the main text to explain the origin of the enhanced CD response.</w:t>
      </w:r>
      <w:r>
        <w:rPr>
          <w:rFonts w:ascii="Times New Roman" w:hAnsi="Times New Roman" w:cs="Times New Roman"/>
          <w:sz w:val="24"/>
          <w:szCs w:val="24"/>
        </w:rPr>
        <w:br w:type="page"/>
      </w:r>
    </w:p>
    <w:p w14:paraId="75737C7F">
      <w:pPr>
        <w:spacing w:line="480" w:lineRule="auto"/>
        <w:jc w:val="center"/>
        <w:rPr>
          <w:rFonts w:ascii="Times New Roman" w:hAnsi="Times New Roman" w:cs="Times New Roman"/>
          <w:sz w:val="24"/>
          <w:szCs w:val="24"/>
        </w:rPr>
      </w:pPr>
      <w:r>
        <w:rPr>
          <w:rFonts w:ascii="Times New Roman" w:hAnsi="Times New Roman" w:cs="Times New Roman"/>
        </w:rPr>
        <w:drawing>
          <wp:inline distT="0" distB="0" distL="0" distR="0">
            <wp:extent cx="2879725" cy="1351280"/>
            <wp:effectExtent l="0" t="0" r="0" b="12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9999" cy="1351300"/>
                    </a:xfrm>
                    <a:prstGeom prst="rect">
                      <a:avLst/>
                    </a:prstGeom>
                    <a:noFill/>
                    <a:ln>
                      <a:noFill/>
                    </a:ln>
                  </pic:spPr>
                </pic:pic>
              </a:graphicData>
            </a:graphic>
          </wp:inline>
        </w:drawing>
      </w:r>
    </w:p>
    <w:p w14:paraId="6A7BFEE8">
      <w:pPr>
        <w:spacing w:line="480" w:lineRule="auto"/>
        <w:jc w:val="center"/>
        <w:rPr>
          <w:rFonts w:ascii="Times New Roman" w:hAnsi="Times New Roman" w:cs="Times New Roman"/>
          <w:sz w:val="24"/>
          <w:szCs w:val="24"/>
        </w:rPr>
      </w:pPr>
    </w:p>
    <w:p w14:paraId="7520D506">
      <w:pPr>
        <w:spacing w:line="480" w:lineRule="auto"/>
        <w:rPr>
          <w:rFonts w:ascii="Times New Roman" w:hAnsi="Times New Roman" w:cs="Times New Roman"/>
          <w:sz w:val="24"/>
          <w:szCs w:val="24"/>
        </w:rPr>
      </w:pPr>
      <w:r>
        <w:rPr>
          <w:rFonts w:ascii="Times New Roman" w:hAnsi="Times New Roman" w:cs="Times New Roman"/>
          <w:b/>
          <w:bCs/>
          <w:sz w:val="24"/>
          <w:szCs w:val="24"/>
        </w:rPr>
        <w:t>Fig. S7</w:t>
      </w:r>
      <w:r>
        <w:rPr>
          <w:rFonts w:ascii="Times New Roman" w:hAnsi="Times New Roman" w:cs="Times New Roman"/>
          <w:sz w:val="24"/>
          <w:szCs w:val="24"/>
        </w:rPr>
        <w:t xml:space="preserve"> </w:t>
      </w:r>
      <w:r>
        <w:rPr>
          <w:rFonts w:ascii="Times New Roman" w:hAnsi="Times New Roman" w:cs="Times New Roman"/>
          <w:b/>
          <w:bCs/>
          <w:sz w:val="24"/>
          <w:szCs w:val="24"/>
        </w:rPr>
        <w:t>Simulated optical chirality distributions of the two hybridized branches.</w:t>
      </w:r>
    </w:p>
    <w:p w14:paraId="6D08C19B">
      <w:pPr>
        <w:spacing w:line="480" w:lineRule="auto"/>
        <w:rPr>
          <w:rFonts w:ascii="Times New Roman" w:hAnsi="Times New Roman" w:cs="Times New Roman"/>
          <w:sz w:val="24"/>
          <w:szCs w:val="24"/>
        </w:rPr>
      </w:pPr>
      <w:r>
        <w:rPr>
          <w:rFonts w:ascii="Times New Roman" w:hAnsi="Times New Roman" w:cs="Times New Roman"/>
          <w:sz w:val="24"/>
          <w:szCs w:val="24"/>
        </w:rPr>
        <w:t xml:space="preserve">Spatial distributions of the optical chirality for the UB and LB. </w:t>
      </w:r>
    </w:p>
    <w:p w14:paraId="691F8FE3">
      <w:pPr>
        <w:spacing w:line="480" w:lineRule="auto"/>
        <w:rPr>
          <w:rFonts w:ascii="Times New Roman" w:hAnsi="Times New Roman" w:cs="Times New Roman"/>
          <w:sz w:val="24"/>
          <w:szCs w:val="24"/>
        </w:rPr>
      </w:pPr>
    </w:p>
    <w:p w14:paraId="5EEBA81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opposite optical-chirality signs of the two branches explain the opposite signs of their corresponding CD signals. </w:t>
      </w:r>
    </w:p>
    <w:p w14:paraId="483EF826">
      <w:pPr>
        <w:spacing w:line="480" w:lineRule="auto"/>
        <w:rPr>
          <w:rFonts w:ascii="Times New Roman" w:hAnsi="Times New Roman" w:cs="Times New Roman"/>
          <w:sz w:val="24"/>
          <w:szCs w:val="24"/>
        </w:rPr>
      </w:pPr>
    </w:p>
    <w:p w14:paraId="07A707CC">
      <w:pPr>
        <w:widowControl/>
        <w:jc w:val="left"/>
        <w:rPr>
          <w:rFonts w:ascii="Times New Roman" w:hAnsi="Times New Roman" w:cs="Times New Roman"/>
          <w:b/>
          <w:bCs/>
          <w:sz w:val="24"/>
          <w:szCs w:val="24"/>
        </w:rPr>
      </w:pPr>
      <w:r>
        <w:rPr>
          <w:rFonts w:ascii="Times New Roman" w:hAnsi="Times New Roman" w:cs="Times New Roman"/>
          <w:b/>
          <w:bCs/>
          <w:sz w:val="24"/>
          <w:szCs w:val="24"/>
        </w:rPr>
        <w:t>Table S1. Inverse-designed metasurface parameters and corresponding modal wavelengths obtained from BO runs with different random seeds for a target wavelength of 657 nm.</w:t>
      </w:r>
    </w:p>
    <w:tbl>
      <w:tblPr>
        <w:tblStyle w:val="21"/>
        <w:tblW w:w="8519" w:type="dxa"/>
        <w:jc w:val="center"/>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02"/>
        <w:gridCol w:w="1202"/>
        <w:gridCol w:w="1208"/>
        <w:gridCol w:w="1244"/>
        <w:gridCol w:w="1331"/>
        <w:gridCol w:w="1332"/>
      </w:tblGrid>
      <w:tr w14:paraId="4337BA92">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rPr>
          <w:tblHeader/>
          <w:jc w:val="center"/>
        </w:trPr>
        <w:tc>
          <w:tcPr>
            <w:tcW w:w="2202" w:type="dxa"/>
            <w:tcBorders>
              <w:top w:val="single" w:color="7E7E7E" w:themeColor="text1" w:themeTint="80" w:sz="4" w:space="0"/>
              <w:bottom w:val="single" w:color="auto" w:sz="4" w:space="0"/>
            </w:tcBorders>
            <w:vAlign w:val="center"/>
          </w:tcPr>
          <w:p w14:paraId="42CF0185">
            <w:pPr>
              <w:widowControl/>
              <w:snapToGrid w:val="0"/>
              <w:jc w:val="center"/>
              <w:rPr>
                <w:rFonts w:ascii="Times New Roman" w:hAnsi="Times New Roman" w:cs="Times New Roman"/>
                <w:b w:val="0"/>
                <w:bCs/>
                <w:i/>
                <w:iCs/>
                <w:sz w:val="24"/>
                <w:szCs w:val="24"/>
              </w:rPr>
            </w:pPr>
            <w:r>
              <w:rPr>
                <w:rFonts w:ascii="Times New Roman" w:hAnsi="Times New Roman" w:cs="Times New Roman"/>
                <w:b/>
                <w:bCs/>
                <w:sz w:val="24"/>
                <w:szCs w:val="24"/>
              </w:rPr>
              <w:t>Random seed</w:t>
            </w:r>
          </w:p>
        </w:tc>
        <w:tc>
          <w:tcPr>
            <w:tcW w:w="1202" w:type="dxa"/>
            <w:tcBorders>
              <w:top w:val="single" w:color="7E7E7E" w:themeColor="text1" w:themeTint="80" w:sz="4" w:space="0"/>
              <w:bottom w:val="single" w:color="auto" w:sz="4" w:space="0"/>
            </w:tcBorders>
            <w:vAlign w:val="center"/>
          </w:tcPr>
          <w:p w14:paraId="1A7A3258">
            <w:pPr>
              <w:widowControl/>
              <w:snapToGrid w:val="0"/>
              <w:jc w:val="center"/>
              <w:rPr>
                <w:rFonts w:ascii="Times New Roman" w:hAnsi="Times New Roman" w:cs="Times New Roman"/>
                <w:b w:val="0"/>
                <w:bCs/>
                <w:i/>
                <w:iCs/>
                <w:sz w:val="24"/>
                <w:szCs w:val="24"/>
              </w:rPr>
            </w:pPr>
            <w:r>
              <w:rPr>
                <w:rFonts w:ascii="Times New Roman" w:hAnsi="Times New Roman" w:cs="Times New Roman"/>
                <w:b/>
                <w:bCs/>
                <w:i/>
                <w:iCs/>
                <w:sz w:val="24"/>
                <w:szCs w:val="24"/>
              </w:rPr>
              <w:t>r</w:t>
            </w:r>
            <w:r>
              <w:rPr>
                <w:rFonts w:ascii="Times New Roman" w:hAnsi="Times New Roman" w:cs="Times New Roman"/>
                <w:b/>
                <w:bCs/>
                <w:sz w:val="24"/>
                <w:szCs w:val="24"/>
              </w:rPr>
              <w:t xml:space="preserve"> (nm)</w:t>
            </w:r>
          </w:p>
        </w:tc>
        <w:tc>
          <w:tcPr>
            <w:tcW w:w="1208" w:type="dxa"/>
            <w:tcBorders>
              <w:top w:val="single" w:color="7E7E7E" w:themeColor="text1" w:themeTint="80" w:sz="4" w:space="0"/>
              <w:bottom w:val="single" w:color="auto" w:sz="4" w:space="0"/>
            </w:tcBorders>
            <w:vAlign w:val="center"/>
          </w:tcPr>
          <w:p w14:paraId="5CEA2A71">
            <w:pPr>
              <w:widowControl/>
              <w:snapToGrid w:val="0"/>
              <w:jc w:val="center"/>
              <w:rPr>
                <w:rFonts w:ascii="Times New Roman" w:hAnsi="Times New Roman" w:cs="Times New Roman"/>
                <w:b w:val="0"/>
                <w:bCs/>
                <w:i/>
                <w:iCs/>
                <w:sz w:val="24"/>
                <w:szCs w:val="24"/>
              </w:rPr>
            </w:pPr>
            <w:r>
              <w:rPr>
                <w:rFonts w:ascii="Times New Roman" w:hAnsi="Times New Roman" w:cs="Times New Roman"/>
                <w:b/>
                <w:bCs/>
                <w:i/>
                <w:iCs/>
                <w:sz w:val="24"/>
                <w:szCs w:val="24"/>
              </w:rPr>
              <w:t>t</w:t>
            </w:r>
            <w:r>
              <w:rPr>
                <w:rFonts w:ascii="Times New Roman" w:hAnsi="Times New Roman" w:cs="Times New Roman"/>
                <w:b/>
                <w:bCs/>
                <w:sz w:val="24"/>
                <w:szCs w:val="24"/>
              </w:rPr>
              <w:t xml:space="preserve"> (nm)</w:t>
            </w:r>
          </w:p>
        </w:tc>
        <w:tc>
          <w:tcPr>
            <w:tcW w:w="1244" w:type="dxa"/>
            <w:tcBorders>
              <w:top w:val="single" w:color="7E7E7E" w:themeColor="text1" w:themeTint="80" w:sz="4" w:space="0"/>
              <w:bottom w:val="single" w:color="auto" w:sz="4" w:space="0"/>
            </w:tcBorders>
            <w:vAlign w:val="center"/>
          </w:tcPr>
          <w:p w14:paraId="1E6B0E0A">
            <w:pPr>
              <w:widowControl/>
              <w:snapToGrid w:val="0"/>
              <w:jc w:val="center"/>
              <w:rPr>
                <w:rFonts w:ascii="Times New Roman" w:hAnsi="Times New Roman" w:cs="Times New Roman"/>
                <w:b w:val="0"/>
                <w:bCs/>
                <w:i/>
                <w:iCs/>
                <w:sz w:val="24"/>
                <w:szCs w:val="24"/>
              </w:rPr>
            </w:pPr>
            <w:r>
              <w:rPr>
                <w:rFonts w:ascii="Times New Roman" w:hAnsi="Times New Roman" w:cs="Times New Roman"/>
                <w:b/>
                <w:bCs/>
                <w:i/>
                <w:iCs/>
                <w:sz w:val="24"/>
                <w:szCs w:val="24"/>
              </w:rPr>
              <w:t>d</w:t>
            </w:r>
            <w:r>
              <w:rPr>
                <w:rFonts w:ascii="Times New Roman" w:hAnsi="Times New Roman" w:cs="Times New Roman"/>
                <w:b/>
                <w:bCs/>
                <w:sz w:val="24"/>
                <w:szCs w:val="24"/>
              </w:rPr>
              <w:t xml:space="preserve"> (nm)</w:t>
            </w:r>
          </w:p>
        </w:tc>
        <w:tc>
          <w:tcPr>
            <w:tcW w:w="1331" w:type="dxa"/>
            <w:tcBorders>
              <w:top w:val="single" w:color="7E7E7E" w:themeColor="text1" w:themeTint="80" w:sz="4" w:space="0"/>
              <w:bottom w:val="single" w:color="auto" w:sz="4" w:space="0"/>
            </w:tcBorders>
            <w:vAlign w:val="center"/>
          </w:tcPr>
          <w:p w14:paraId="0C065912">
            <w:pPr>
              <w:widowControl/>
              <w:snapToGrid w:val="0"/>
              <w:jc w:val="center"/>
              <w:rPr>
                <w:rFonts w:ascii="Times New Roman" w:hAnsi="Times New Roman" w:cs="Times New Roman"/>
                <w:b w:val="0"/>
                <w:bCs/>
                <w:i/>
                <w:iCs/>
                <w:sz w:val="24"/>
                <w:szCs w:val="24"/>
              </w:rPr>
            </w:pPr>
            <w:r>
              <w:rPr>
                <w:rStyle w:val="22"/>
                <w:rFonts w:ascii="Times New Roman" w:hAnsi="Times New Roman" w:cs="Times New Roman"/>
                <w:b/>
                <w:bCs/>
                <w:i/>
                <w:iCs/>
                <w:sz w:val="24"/>
                <w:szCs w:val="24"/>
              </w:rPr>
              <w:t>λ</w:t>
            </w:r>
            <w:r>
              <w:rPr>
                <w:rStyle w:val="22"/>
                <w:rFonts w:ascii="Times New Roman" w:hAnsi="Times New Roman" w:cs="Times New Roman"/>
                <w:b/>
                <w:bCs/>
                <w:sz w:val="24"/>
                <w:szCs w:val="24"/>
                <w:vertAlign w:val="subscript"/>
              </w:rPr>
              <w:t>1</w:t>
            </w:r>
            <w:r>
              <w:rPr>
                <w:rFonts w:ascii="Times New Roman" w:hAnsi="Times New Roman" w:cs="Times New Roman"/>
                <w:b/>
                <w:bCs/>
                <w:sz w:val="24"/>
                <w:szCs w:val="24"/>
              </w:rPr>
              <w:t xml:space="preserve"> (nm)</w:t>
            </w:r>
          </w:p>
        </w:tc>
        <w:tc>
          <w:tcPr>
            <w:tcW w:w="1332" w:type="dxa"/>
            <w:tcBorders>
              <w:top w:val="single" w:color="7E7E7E" w:themeColor="text1" w:themeTint="80" w:sz="4" w:space="0"/>
              <w:bottom w:val="single" w:color="auto" w:sz="4" w:space="0"/>
            </w:tcBorders>
            <w:vAlign w:val="center"/>
          </w:tcPr>
          <w:p w14:paraId="6A93CD4C">
            <w:pPr>
              <w:widowControl/>
              <w:snapToGrid w:val="0"/>
              <w:jc w:val="center"/>
              <w:rPr>
                <w:rFonts w:ascii="Times New Roman" w:hAnsi="Times New Roman" w:cs="Times New Roman"/>
                <w:b w:val="0"/>
                <w:bCs/>
                <w:i/>
                <w:iCs/>
                <w:sz w:val="24"/>
                <w:szCs w:val="24"/>
              </w:rPr>
            </w:pPr>
            <w:r>
              <w:rPr>
                <w:rStyle w:val="22"/>
                <w:rFonts w:ascii="Times New Roman" w:hAnsi="Times New Roman" w:cs="Times New Roman"/>
                <w:b/>
                <w:bCs/>
                <w:i/>
                <w:iCs/>
                <w:sz w:val="24"/>
                <w:szCs w:val="24"/>
              </w:rPr>
              <w:t>λ</w:t>
            </w:r>
            <w:r>
              <w:rPr>
                <w:rStyle w:val="22"/>
                <w:rFonts w:ascii="Times New Roman" w:hAnsi="Times New Roman" w:cs="Times New Roman"/>
                <w:b/>
                <w:bCs/>
                <w:sz w:val="24"/>
                <w:szCs w:val="24"/>
                <w:vertAlign w:val="subscript"/>
              </w:rPr>
              <w:t>2</w:t>
            </w:r>
            <w:r>
              <w:rPr>
                <w:rFonts w:ascii="Times New Roman" w:hAnsi="Times New Roman" w:cs="Times New Roman"/>
                <w:b/>
                <w:bCs/>
                <w:sz w:val="24"/>
                <w:szCs w:val="24"/>
              </w:rPr>
              <w:t xml:space="preserve"> (nm)</w:t>
            </w:r>
          </w:p>
        </w:tc>
      </w:tr>
      <w:tr w14:paraId="53ADC89C">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202" w:type="dxa"/>
            <w:tcBorders>
              <w:top w:val="single" w:color="auto" w:sz="4" w:space="0"/>
              <w:bottom w:val="nil"/>
            </w:tcBorders>
            <w:vAlign w:val="center"/>
          </w:tcPr>
          <w:p w14:paraId="4BFD4456">
            <w:pPr>
              <w:widowControl/>
              <w:snapToGrid w:val="0"/>
              <w:jc w:val="center"/>
              <w:rPr>
                <w:rFonts w:ascii="Times New Roman" w:hAnsi="Times New Roman" w:cs="Times New Roman"/>
                <w:b w:val="0"/>
                <w:bCs w:val="0"/>
                <w:i/>
                <w:iCs/>
                <w:sz w:val="24"/>
                <w:szCs w:val="24"/>
              </w:rPr>
            </w:pPr>
            <w:r>
              <w:rPr>
                <w:rFonts w:ascii="Times New Roman" w:hAnsi="Times New Roman" w:eastAsia="等线" w:cs="Times New Roman"/>
                <w:b/>
                <w:bCs/>
                <w:sz w:val="24"/>
                <w:szCs w:val="24"/>
              </w:rPr>
              <w:t>56014</w:t>
            </w:r>
          </w:p>
        </w:tc>
        <w:tc>
          <w:tcPr>
            <w:tcW w:w="1202" w:type="dxa"/>
            <w:tcBorders>
              <w:top w:val="single" w:color="auto" w:sz="4" w:space="0"/>
              <w:bottom w:val="nil"/>
            </w:tcBorders>
            <w:vAlign w:val="center"/>
          </w:tcPr>
          <w:p w14:paraId="4E337427">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32.13</w:t>
            </w:r>
          </w:p>
        </w:tc>
        <w:tc>
          <w:tcPr>
            <w:tcW w:w="1208" w:type="dxa"/>
            <w:tcBorders>
              <w:top w:val="single" w:color="auto" w:sz="4" w:space="0"/>
              <w:bottom w:val="nil"/>
            </w:tcBorders>
            <w:vAlign w:val="center"/>
          </w:tcPr>
          <w:p w14:paraId="26FBDF00">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133.94</w:t>
            </w:r>
          </w:p>
        </w:tc>
        <w:tc>
          <w:tcPr>
            <w:tcW w:w="1244" w:type="dxa"/>
            <w:tcBorders>
              <w:top w:val="single" w:color="auto" w:sz="4" w:space="0"/>
              <w:bottom w:val="nil"/>
            </w:tcBorders>
            <w:vAlign w:val="center"/>
          </w:tcPr>
          <w:p w14:paraId="27A6CCE2">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75.05</w:t>
            </w:r>
          </w:p>
        </w:tc>
        <w:tc>
          <w:tcPr>
            <w:tcW w:w="1331" w:type="dxa"/>
            <w:tcBorders>
              <w:top w:val="single" w:color="auto" w:sz="4" w:space="0"/>
              <w:bottom w:val="nil"/>
            </w:tcBorders>
            <w:vAlign w:val="center"/>
          </w:tcPr>
          <w:p w14:paraId="450EB153">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656.98</w:t>
            </w:r>
          </w:p>
        </w:tc>
        <w:tc>
          <w:tcPr>
            <w:tcW w:w="1332" w:type="dxa"/>
            <w:tcBorders>
              <w:top w:val="single" w:color="auto" w:sz="4" w:space="0"/>
              <w:bottom w:val="nil"/>
            </w:tcBorders>
            <w:vAlign w:val="center"/>
          </w:tcPr>
          <w:p w14:paraId="5FB591F8">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656.98</w:t>
            </w:r>
          </w:p>
        </w:tc>
      </w:tr>
      <w:tr w14:paraId="36A8A574">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202" w:type="dxa"/>
            <w:tcBorders>
              <w:top w:val="nil"/>
              <w:bottom w:val="nil"/>
            </w:tcBorders>
            <w:vAlign w:val="center"/>
          </w:tcPr>
          <w:p w14:paraId="4CF5E9A1">
            <w:pPr>
              <w:widowControl/>
              <w:snapToGrid w:val="0"/>
              <w:jc w:val="center"/>
              <w:rPr>
                <w:rFonts w:ascii="Times New Roman" w:hAnsi="Times New Roman" w:cs="Times New Roman"/>
                <w:b w:val="0"/>
                <w:bCs w:val="0"/>
                <w:i/>
                <w:iCs/>
                <w:sz w:val="24"/>
                <w:szCs w:val="24"/>
              </w:rPr>
            </w:pPr>
            <w:r>
              <w:rPr>
                <w:rFonts w:ascii="Times New Roman" w:hAnsi="Times New Roman" w:eastAsia="等线" w:cs="Times New Roman"/>
                <w:b/>
                <w:bCs/>
                <w:sz w:val="24"/>
                <w:szCs w:val="24"/>
              </w:rPr>
              <w:t>431036</w:t>
            </w:r>
          </w:p>
        </w:tc>
        <w:tc>
          <w:tcPr>
            <w:tcW w:w="1202" w:type="dxa"/>
            <w:tcBorders>
              <w:top w:val="nil"/>
              <w:bottom w:val="nil"/>
            </w:tcBorders>
            <w:vAlign w:val="center"/>
          </w:tcPr>
          <w:p w14:paraId="1110A0FB">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29.64</w:t>
            </w:r>
          </w:p>
        </w:tc>
        <w:tc>
          <w:tcPr>
            <w:tcW w:w="1208" w:type="dxa"/>
            <w:tcBorders>
              <w:top w:val="nil"/>
              <w:bottom w:val="nil"/>
            </w:tcBorders>
            <w:vAlign w:val="center"/>
          </w:tcPr>
          <w:p w14:paraId="45FC6858">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133.81</w:t>
            </w:r>
          </w:p>
        </w:tc>
        <w:tc>
          <w:tcPr>
            <w:tcW w:w="1244" w:type="dxa"/>
            <w:tcBorders>
              <w:top w:val="nil"/>
              <w:bottom w:val="nil"/>
            </w:tcBorders>
            <w:vAlign w:val="center"/>
          </w:tcPr>
          <w:p w14:paraId="7F3BC36B">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87.16</w:t>
            </w:r>
          </w:p>
        </w:tc>
        <w:tc>
          <w:tcPr>
            <w:tcW w:w="1331" w:type="dxa"/>
            <w:tcBorders>
              <w:top w:val="nil"/>
              <w:bottom w:val="nil"/>
            </w:tcBorders>
            <w:vAlign w:val="center"/>
          </w:tcPr>
          <w:p w14:paraId="32C4DCB4">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656.99</w:t>
            </w:r>
          </w:p>
        </w:tc>
        <w:tc>
          <w:tcPr>
            <w:tcW w:w="1332" w:type="dxa"/>
            <w:tcBorders>
              <w:top w:val="nil"/>
              <w:bottom w:val="nil"/>
            </w:tcBorders>
            <w:vAlign w:val="center"/>
          </w:tcPr>
          <w:p w14:paraId="4553B08B">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657.00</w:t>
            </w:r>
          </w:p>
        </w:tc>
      </w:tr>
      <w:tr w14:paraId="2DBF305C">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202" w:type="dxa"/>
            <w:tcBorders>
              <w:top w:val="nil"/>
              <w:bottom w:val="nil"/>
            </w:tcBorders>
            <w:vAlign w:val="center"/>
          </w:tcPr>
          <w:p w14:paraId="7EE02EA0">
            <w:pPr>
              <w:widowControl/>
              <w:snapToGrid w:val="0"/>
              <w:jc w:val="center"/>
              <w:rPr>
                <w:rFonts w:ascii="Times New Roman" w:hAnsi="Times New Roman" w:cs="Times New Roman"/>
                <w:b w:val="0"/>
                <w:bCs w:val="0"/>
                <w:i/>
                <w:iCs/>
                <w:sz w:val="24"/>
                <w:szCs w:val="24"/>
              </w:rPr>
            </w:pPr>
            <w:r>
              <w:rPr>
                <w:rFonts w:ascii="Times New Roman" w:hAnsi="Times New Roman" w:eastAsia="等线" w:cs="Times New Roman"/>
                <w:b/>
                <w:bCs/>
                <w:sz w:val="24"/>
                <w:szCs w:val="24"/>
              </w:rPr>
              <w:t>446503</w:t>
            </w:r>
          </w:p>
        </w:tc>
        <w:tc>
          <w:tcPr>
            <w:tcW w:w="1202" w:type="dxa"/>
            <w:tcBorders>
              <w:top w:val="nil"/>
              <w:bottom w:val="nil"/>
            </w:tcBorders>
            <w:vAlign w:val="center"/>
          </w:tcPr>
          <w:p w14:paraId="7969A802">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48.37</w:t>
            </w:r>
          </w:p>
        </w:tc>
        <w:tc>
          <w:tcPr>
            <w:tcW w:w="1208" w:type="dxa"/>
            <w:tcBorders>
              <w:top w:val="nil"/>
              <w:bottom w:val="nil"/>
            </w:tcBorders>
            <w:vAlign w:val="center"/>
          </w:tcPr>
          <w:p w14:paraId="655F468A">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135.01</w:t>
            </w:r>
          </w:p>
        </w:tc>
        <w:tc>
          <w:tcPr>
            <w:tcW w:w="1244" w:type="dxa"/>
            <w:tcBorders>
              <w:top w:val="nil"/>
              <w:bottom w:val="nil"/>
            </w:tcBorders>
            <w:vAlign w:val="center"/>
          </w:tcPr>
          <w:p w14:paraId="1322190B">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24.76</w:t>
            </w:r>
          </w:p>
        </w:tc>
        <w:tc>
          <w:tcPr>
            <w:tcW w:w="1331" w:type="dxa"/>
            <w:tcBorders>
              <w:top w:val="nil"/>
              <w:bottom w:val="nil"/>
            </w:tcBorders>
            <w:vAlign w:val="center"/>
          </w:tcPr>
          <w:p w14:paraId="1E27669B">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656.99</w:t>
            </w:r>
          </w:p>
        </w:tc>
        <w:tc>
          <w:tcPr>
            <w:tcW w:w="1332" w:type="dxa"/>
            <w:tcBorders>
              <w:top w:val="nil"/>
              <w:bottom w:val="nil"/>
            </w:tcBorders>
            <w:vAlign w:val="center"/>
          </w:tcPr>
          <w:p w14:paraId="68981735">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657.01</w:t>
            </w:r>
          </w:p>
        </w:tc>
      </w:tr>
      <w:tr w14:paraId="60F96CD0">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202" w:type="dxa"/>
            <w:tcBorders>
              <w:top w:val="nil"/>
              <w:bottom w:val="nil"/>
            </w:tcBorders>
            <w:vAlign w:val="center"/>
          </w:tcPr>
          <w:p w14:paraId="2AFAA525">
            <w:pPr>
              <w:widowControl/>
              <w:snapToGrid w:val="0"/>
              <w:jc w:val="center"/>
              <w:rPr>
                <w:rFonts w:ascii="Times New Roman" w:hAnsi="Times New Roman" w:eastAsia="等线" w:cs="Times New Roman"/>
                <w:b w:val="0"/>
                <w:bCs w:val="0"/>
                <w:i/>
                <w:iCs/>
                <w:sz w:val="24"/>
                <w:szCs w:val="24"/>
              </w:rPr>
            </w:pPr>
            <w:r>
              <w:rPr>
                <w:rFonts w:ascii="Times New Roman" w:hAnsi="Times New Roman" w:eastAsia="等线" w:cs="Times New Roman"/>
                <w:b/>
                <w:bCs/>
                <w:sz w:val="24"/>
                <w:szCs w:val="24"/>
              </w:rPr>
              <w:t>707700</w:t>
            </w:r>
          </w:p>
        </w:tc>
        <w:tc>
          <w:tcPr>
            <w:tcW w:w="1202" w:type="dxa"/>
            <w:tcBorders>
              <w:top w:val="nil"/>
              <w:bottom w:val="nil"/>
            </w:tcBorders>
            <w:vAlign w:val="center"/>
          </w:tcPr>
          <w:p w14:paraId="6C9E3649">
            <w:pPr>
              <w:widowControl/>
              <w:snapToGrid w:val="0"/>
              <w:jc w:val="center"/>
              <w:rPr>
                <w:rFonts w:ascii="Times New Roman" w:hAnsi="Times New Roman" w:eastAsia="等线" w:cs="Times New Roman"/>
                <w:sz w:val="24"/>
                <w:szCs w:val="24"/>
              </w:rPr>
            </w:pPr>
            <w:r>
              <w:rPr>
                <w:rFonts w:ascii="Times New Roman" w:hAnsi="Times New Roman" w:eastAsia="等线" w:cs="Times New Roman"/>
                <w:sz w:val="24"/>
                <w:szCs w:val="24"/>
              </w:rPr>
              <w:t>36.23</w:t>
            </w:r>
          </w:p>
        </w:tc>
        <w:tc>
          <w:tcPr>
            <w:tcW w:w="1208" w:type="dxa"/>
            <w:tcBorders>
              <w:top w:val="nil"/>
              <w:bottom w:val="nil"/>
            </w:tcBorders>
            <w:vAlign w:val="center"/>
          </w:tcPr>
          <w:p w14:paraId="0C95710E">
            <w:pPr>
              <w:widowControl/>
              <w:snapToGrid w:val="0"/>
              <w:jc w:val="center"/>
              <w:rPr>
                <w:rFonts w:ascii="Times New Roman" w:hAnsi="Times New Roman" w:eastAsia="等线" w:cs="Times New Roman"/>
                <w:sz w:val="24"/>
                <w:szCs w:val="24"/>
              </w:rPr>
            </w:pPr>
            <w:r>
              <w:rPr>
                <w:rFonts w:ascii="Times New Roman" w:hAnsi="Times New Roman" w:eastAsia="等线" w:cs="Times New Roman"/>
                <w:sz w:val="24"/>
                <w:szCs w:val="24"/>
              </w:rPr>
              <w:t>134.64</w:t>
            </w:r>
          </w:p>
        </w:tc>
        <w:tc>
          <w:tcPr>
            <w:tcW w:w="1244" w:type="dxa"/>
            <w:tcBorders>
              <w:top w:val="nil"/>
              <w:bottom w:val="nil"/>
            </w:tcBorders>
            <w:vAlign w:val="center"/>
          </w:tcPr>
          <w:p w14:paraId="5C1ED42A">
            <w:pPr>
              <w:widowControl/>
              <w:snapToGrid w:val="0"/>
              <w:jc w:val="center"/>
              <w:rPr>
                <w:rFonts w:ascii="Times New Roman" w:hAnsi="Times New Roman" w:eastAsia="等线" w:cs="Times New Roman"/>
                <w:sz w:val="24"/>
                <w:szCs w:val="24"/>
              </w:rPr>
            </w:pPr>
            <w:r>
              <w:rPr>
                <w:rFonts w:ascii="Times New Roman" w:hAnsi="Times New Roman" w:eastAsia="等线" w:cs="Times New Roman"/>
                <w:sz w:val="24"/>
                <w:szCs w:val="24"/>
              </w:rPr>
              <w:t>55.70</w:t>
            </w:r>
          </w:p>
        </w:tc>
        <w:tc>
          <w:tcPr>
            <w:tcW w:w="1331" w:type="dxa"/>
            <w:tcBorders>
              <w:top w:val="nil"/>
              <w:bottom w:val="nil"/>
            </w:tcBorders>
            <w:vAlign w:val="center"/>
          </w:tcPr>
          <w:p w14:paraId="25BE444C">
            <w:pPr>
              <w:widowControl/>
              <w:snapToGrid w:val="0"/>
              <w:jc w:val="center"/>
              <w:rPr>
                <w:rFonts w:ascii="Times New Roman" w:hAnsi="Times New Roman" w:eastAsia="等线" w:cs="Times New Roman"/>
                <w:sz w:val="24"/>
                <w:szCs w:val="24"/>
              </w:rPr>
            </w:pPr>
            <w:r>
              <w:rPr>
                <w:rFonts w:ascii="Times New Roman" w:hAnsi="Times New Roman" w:eastAsia="等线" w:cs="Times New Roman"/>
                <w:sz w:val="24"/>
                <w:szCs w:val="24"/>
              </w:rPr>
              <w:t>657.01</w:t>
            </w:r>
          </w:p>
        </w:tc>
        <w:tc>
          <w:tcPr>
            <w:tcW w:w="1332" w:type="dxa"/>
            <w:tcBorders>
              <w:top w:val="nil"/>
              <w:bottom w:val="nil"/>
            </w:tcBorders>
            <w:vAlign w:val="center"/>
          </w:tcPr>
          <w:p w14:paraId="0F4EE6D0">
            <w:pPr>
              <w:widowControl/>
              <w:snapToGrid w:val="0"/>
              <w:jc w:val="center"/>
              <w:rPr>
                <w:rFonts w:ascii="Times New Roman" w:hAnsi="Times New Roman" w:eastAsia="等线" w:cs="Times New Roman"/>
                <w:sz w:val="24"/>
                <w:szCs w:val="24"/>
              </w:rPr>
            </w:pPr>
            <w:r>
              <w:rPr>
                <w:rFonts w:ascii="Times New Roman" w:hAnsi="Times New Roman" w:eastAsia="等线" w:cs="Times New Roman"/>
                <w:sz w:val="24"/>
                <w:szCs w:val="24"/>
              </w:rPr>
              <w:t>657.02</w:t>
            </w:r>
          </w:p>
        </w:tc>
      </w:tr>
      <w:tr w14:paraId="26C61FB6">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202" w:type="dxa"/>
            <w:tcBorders>
              <w:top w:val="nil"/>
              <w:bottom w:val="nil"/>
            </w:tcBorders>
            <w:vAlign w:val="center"/>
          </w:tcPr>
          <w:p w14:paraId="1AAF06AD">
            <w:pPr>
              <w:widowControl/>
              <w:snapToGrid w:val="0"/>
              <w:jc w:val="center"/>
              <w:rPr>
                <w:rFonts w:ascii="Times New Roman" w:hAnsi="Times New Roman" w:cs="Times New Roman"/>
                <w:b w:val="0"/>
                <w:bCs w:val="0"/>
                <w:i/>
                <w:iCs/>
                <w:sz w:val="24"/>
                <w:szCs w:val="24"/>
              </w:rPr>
            </w:pPr>
            <w:r>
              <w:rPr>
                <w:rFonts w:ascii="Times New Roman" w:hAnsi="Times New Roman" w:eastAsia="等线" w:cs="Times New Roman"/>
                <w:b/>
                <w:bCs/>
                <w:sz w:val="24"/>
                <w:szCs w:val="24"/>
              </w:rPr>
              <w:t>751038</w:t>
            </w:r>
          </w:p>
        </w:tc>
        <w:tc>
          <w:tcPr>
            <w:tcW w:w="1202" w:type="dxa"/>
            <w:tcBorders>
              <w:top w:val="nil"/>
              <w:bottom w:val="nil"/>
            </w:tcBorders>
            <w:vAlign w:val="center"/>
          </w:tcPr>
          <w:p w14:paraId="479FD8BD">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40.97</w:t>
            </w:r>
          </w:p>
        </w:tc>
        <w:tc>
          <w:tcPr>
            <w:tcW w:w="1208" w:type="dxa"/>
            <w:tcBorders>
              <w:top w:val="nil"/>
              <w:bottom w:val="nil"/>
            </w:tcBorders>
            <w:vAlign w:val="center"/>
          </w:tcPr>
          <w:p w14:paraId="5A4AA5D9">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134.72</w:t>
            </w:r>
          </w:p>
        </w:tc>
        <w:tc>
          <w:tcPr>
            <w:tcW w:w="1244" w:type="dxa"/>
            <w:tcBorders>
              <w:top w:val="nil"/>
              <w:bottom w:val="nil"/>
            </w:tcBorders>
            <w:vAlign w:val="center"/>
          </w:tcPr>
          <w:p w14:paraId="7CC951D7">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43.54</w:t>
            </w:r>
          </w:p>
        </w:tc>
        <w:tc>
          <w:tcPr>
            <w:tcW w:w="1331" w:type="dxa"/>
            <w:tcBorders>
              <w:top w:val="nil"/>
              <w:bottom w:val="nil"/>
            </w:tcBorders>
            <w:vAlign w:val="center"/>
          </w:tcPr>
          <w:p w14:paraId="5255A768">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656.99</w:t>
            </w:r>
          </w:p>
        </w:tc>
        <w:tc>
          <w:tcPr>
            <w:tcW w:w="1332" w:type="dxa"/>
            <w:tcBorders>
              <w:top w:val="nil"/>
              <w:bottom w:val="nil"/>
            </w:tcBorders>
            <w:vAlign w:val="center"/>
          </w:tcPr>
          <w:p w14:paraId="3B0415D3">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657.01</w:t>
            </w:r>
          </w:p>
        </w:tc>
      </w:tr>
      <w:tr w14:paraId="6D23375B">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202" w:type="dxa"/>
            <w:tcBorders>
              <w:top w:val="nil"/>
              <w:bottom w:val="single" w:color="auto" w:sz="4" w:space="0"/>
            </w:tcBorders>
            <w:vAlign w:val="center"/>
          </w:tcPr>
          <w:p w14:paraId="19BB5DB7">
            <w:pPr>
              <w:widowControl/>
              <w:snapToGrid w:val="0"/>
              <w:jc w:val="center"/>
              <w:rPr>
                <w:rFonts w:ascii="Times New Roman" w:hAnsi="Times New Roman" w:cs="Times New Roman"/>
                <w:b w:val="0"/>
                <w:bCs w:val="0"/>
                <w:i/>
                <w:iCs/>
                <w:sz w:val="24"/>
                <w:szCs w:val="24"/>
              </w:rPr>
            </w:pPr>
            <w:r>
              <w:rPr>
                <w:rFonts w:ascii="Times New Roman" w:hAnsi="Times New Roman" w:eastAsia="等线" w:cs="Times New Roman"/>
                <w:b/>
                <w:bCs/>
                <w:sz w:val="24"/>
                <w:szCs w:val="24"/>
              </w:rPr>
              <w:t>807857</w:t>
            </w:r>
          </w:p>
        </w:tc>
        <w:tc>
          <w:tcPr>
            <w:tcW w:w="1202" w:type="dxa"/>
            <w:tcBorders>
              <w:top w:val="nil"/>
              <w:bottom w:val="single" w:color="auto" w:sz="4" w:space="0"/>
            </w:tcBorders>
            <w:vAlign w:val="center"/>
          </w:tcPr>
          <w:p w14:paraId="4406EBBB">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32.43</w:t>
            </w:r>
          </w:p>
        </w:tc>
        <w:tc>
          <w:tcPr>
            <w:tcW w:w="1208" w:type="dxa"/>
            <w:tcBorders>
              <w:top w:val="nil"/>
              <w:bottom w:val="single" w:color="auto" w:sz="4" w:space="0"/>
            </w:tcBorders>
            <w:vAlign w:val="center"/>
          </w:tcPr>
          <w:p w14:paraId="588E2BE4">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134.01</w:t>
            </w:r>
          </w:p>
        </w:tc>
        <w:tc>
          <w:tcPr>
            <w:tcW w:w="1244" w:type="dxa"/>
            <w:tcBorders>
              <w:top w:val="nil"/>
              <w:bottom w:val="single" w:color="auto" w:sz="4" w:space="0"/>
            </w:tcBorders>
            <w:vAlign w:val="center"/>
          </w:tcPr>
          <w:p w14:paraId="6136A431">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64.86</w:t>
            </w:r>
          </w:p>
        </w:tc>
        <w:tc>
          <w:tcPr>
            <w:tcW w:w="1331" w:type="dxa"/>
            <w:tcBorders>
              <w:top w:val="nil"/>
              <w:bottom w:val="single" w:color="auto" w:sz="4" w:space="0"/>
            </w:tcBorders>
            <w:vAlign w:val="center"/>
          </w:tcPr>
          <w:p w14:paraId="0845C7E4">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656.99</w:t>
            </w:r>
          </w:p>
        </w:tc>
        <w:tc>
          <w:tcPr>
            <w:tcW w:w="1332" w:type="dxa"/>
            <w:tcBorders>
              <w:top w:val="nil"/>
              <w:bottom w:val="single" w:color="auto" w:sz="4" w:space="0"/>
            </w:tcBorders>
            <w:vAlign w:val="center"/>
          </w:tcPr>
          <w:p w14:paraId="7812325E">
            <w:pPr>
              <w:widowControl/>
              <w:snapToGrid w:val="0"/>
              <w:jc w:val="center"/>
              <w:rPr>
                <w:rFonts w:ascii="Times New Roman" w:hAnsi="Times New Roman" w:cs="Times New Roman"/>
                <w:sz w:val="24"/>
                <w:szCs w:val="24"/>
              </w:rPr>
            </w:pPr>
            <w:r>
              <w:rPr>
                <w:rFonts w:ascii="Times New Roman" w:hAnsi="Times New Roman" w:eastAsia="等线" w:cs="Times New Roman"/>
                <w:sz w:val="24"/>
                <w:szCs w:val="24"/>
              </w:rPr>
              <w:t>656.96</w:t>
            </w:r>
          </w:p>
        </w:tc>
      </w:tr>
    </w:tbl>
    <w:p w14:paraId="250AFC6F">
      <w:pPr>
        <w:widowControl/>
        <w:jc w:val="left"/>
        <w:rPr>
          <w:rFonts w:ascii="Times New Roman" w:hAnsi="Times New Roman" w:cs="Times New Roman"/>
          <w:sz w:val="24"/>
          <w:szCs w:val="24"/>
        </w:rPr>
      </w:pPr>
    </w:p>
    <w:p w14:paraId="07E2B845">
      <w:pPr>
        <w:widowControl/>
        <w:spacing w:line="480" w:lineRule="auto"/>
        <w:jc w:val="left"/>
        <w:rPr>
          <w:rFonts w:ascii="Times New Roman" w:hAnsi="Times New Roman" w:cs="Times New Roman"/>
          <w:sz w:val="24"/>
          <w:szCs w:val="24"/>
        </w:rPr>
      </w:pPr>
      <w:r>
        <w:rPr>
          <w:rFonts w:ascii="Times New Roman" w:hAnsi="Times New Roman" w:cs="Times New Roman"/>
          <w:sz w:val="24"/>
          <w:szCs w:val="24"/>
        </w:rPr>
        <w:t>The small variation in the optimized structural parameters and the consistent modal wavelengths near 657 nm indicate that the BO-based inverse-design process is robust with respect to random initialization.</w:t>
      </w:r>
    </w:p>
    <w:p w14:paraId="5767600A">
      <w:pPr>
        <w:widowControl/>
        <w:spacing w:line="480" w:lineRule="auto"/>
        <w:jc w:val="left"/>
        <w:rPr>
          <w:rFonts w:ascii="Times New Roman" w:hAnsi="Times New Roman" w:cs="Times New Roman"/>
          <w:color w:val="FF0000"/>
          <w:sz w:val="24"/>
          <w:szCs w:val="24"/>
        </w:rPr>
      </w:pPr>
    </w:p>
    <w:p w14:paraId="7026EAA5">
      <w:pPr>
        <w:widowControl/>
        <w:spacing w:line="480" w:lineRule="auto"/>
        <w:jc w:val="left"/>
        <w:rPr>
          <w:rFonts w:ascii="Times New Roman" w:hAnsi="Times New Roman" w:cs="Times New Roman"/>
          <w:b/>
          <w:bCs/>
          <w:sz w:val="24"/>
          <w:szCs w:val="24"/>
        </w:rPr>
      </w:pPr>
      <w:r>
        <w:rPr>
          <w:rFonts w:hint="eastAsia" w:ascii="Times New Roman" w:hAnsi="Times New Roman" w:cs="Times New Roman"/>
          <w:b/>
          <w:bCs/>
          <w:sz w:val="24"/>
          <w:szCs w:val="24"/>
        </w:rPr>
        <w:t>References</w:t>
      </w:r>
    </w:p>
    <w:p w14:paraId="3F39B3FA">
      <w:pPr>
        <w:pStyle w:val="19"/>
      </w:pPr>
      <w:r>
        <w:rPr>
          <w:szCs w:val="24"/>
        </w:rPr>
        <w:fldChar w:fldCharType="begin"/>
      </w:r>
      <w:r>
        <w:rPr>
          <w:szCs w:val="24"/>
        </w:rPr>
        <w:instrText xml:space="preserve"> ADDIN EN.REFLIST </w:instrText>
      </w:r>
      <w:r>
        <w:rPr>
          <w:szCs w:val="24"/>
        </w:rPr>
        <w:fldChar w:fldCharType="separate"/>
      </w:r>
      <w:r>
        <w:t>1.</w:t>
      </w:r>
      <w:r>
        <w:tab/>
      </w:r>
      <w:r>
        <w:t>Graf F, Feis J, Garcia-Santiago X, et al. Achiral, helicity preserving, and resonant structures for enhanced sensing of chiral molecules.</w:t>
      </w:r>
      <w:r>
        <w:rPr>
          <w:iCs/>
        </w:rPr>
        <w:t xml:space="preserve"> ACS Photonics, </w:t>
      </w:r>
      <w:r>
        <w:t>2019, 6(2): 482</w:t>
      </w:r>
      <w:bookmarkStart w:id="3" w:name="_Hlk229131842"/>
      <w:r>
        <w:rPr>
          <w:kern w:val="0"/>
          <w:szCs w:val="24"/>
        </w:rPr>
        <w:t>–</w:t>
      </w:r>
      <w:bookmarkEnd w:id="3"/>
      <w:r>
        <w:t>491.</w:t>
      </w:r>
    </w:p>
    <w:p w14:paraId="26245D70">
      <w:pPr>
        <w:pStyle w:val="19"/>
      </w:pPr>
      <w:r>
        <w:t>2.</w:t>
      </w:r>
      <w:r>
        <w:tab/>
      </w:r>
      <w:r>
        <w:t>Hu J, Lawrence M, Dionne J A. High quality factor dielectric metasurfaces for ultraviolet circular dichroism spectroscopy. ACS Photonics, 2020, 7(1): 36</w:t>
      </w:r>
      <w:r>
        <w:rPr>
          <w:kern w:val="0"/>
          <w:szCs w:val="24"/>
        </w:rPr>
        <w:t>–</w:t>
      </w:r>
      <w:r>
        <w:t>42.</w:t>
      </w:r>
    </w:p>
    <w:p w14:paraId="6A5A6732">
      <w:pPr>
        <w:pStyle w:val="19"/>
      </w:pPr>
      <w:r>
        <w:t>3.</w:t>
      </w:r>
      <w:r>
        <w:tab/>
      </w:r>
      <w:r>
        <w:t>Ye L, Li J, Richter F U, et al. Dielectric tetramer nanoresonators supporting strong superchiral fields for vibrational circular dichroism spectroscopy. ACS Photonics, 2023, 10(12): 4377</w:t>
      </w:r>
      <w:r>
        <w:rPr>
          <w:kern w:val="0"/>
          <w:szCs w:val="24"/>
        </w:rPr>
        <w:t>–</w:t>
      </w:r>
      <w:r>
        <w:t>4384.</w:t>
      </w:r>
    </w:p>
    <w:p w14:paraId="35A97D29">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MS Minch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ACS 复制&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2&lt;/LineSpacing&gt;&lt;SpaceAfter&gt;0&lt;/SpaceAfter&gt;&lt;HyperlinksEnabled&gt;0&lt;/HyperlinksEnabled&gt;&lt;HyperlinksVisible&gt;0&lt;/HyperlinksVisible&gt;&lt;EnableBibliographyCategories&gt;0&lt;/EnableBibliographyCategories&gt;&lt;/ENLayout&gt;"/>
    <w:docVar w:name="EN.Libraries" w:val="&lt;Libraries&gt;&lt;item db-id=&quot;zrw9pxrs90ter3e52xrxzze0we02axwaf0wx&quot;&gt;博士一年级&lt;record-ids&gt;&lt;item&gt;434&lt;/item&gt;&lt;item&gt;454&lt;/item&gt;&lt;item&gt;457&lt;/item&gt;&lt;/record-ids&gt;&lt;/item&gt;&lt;/Libraries&gt;"/>
  </w:docVars>
  <w:rsids>
    <w:rsidRoot w:val="003F7E30"/>
    <w:rsid w:val="000045DA"/>
    <w:rsid w:val="000369DB"/>
    <w:rsid w:val="000470CE"/>
    <w:rsid w:val="000D29C1"/>
    <w:rsid w:val="000D5186"/>
    <w:rsid w:val="000E7CC1"/>
    <w:rsid w:val="00117C3E"/>
    <w:rsid w:val="0012563E"/>
    <w:rsid w:val="001341CB"/>
    <w:rsid w:val="00143AD4"/>
    <w:rsid w:val="00147F83"/>
    <w:rsid w:val="00155EEA"/>
    <w:rsid w:val="001739FD"/>
    <w:rsid w:val="00180E51"/>
    <w:rsid w:val="00186602"/>
    <w:rsid w:val="001909A1"/>
    <w:rsid w:val="00194F5F"/>
    <w:rsid w:val="001A6D76"/>
    <w:rsid w:val="001A6F7D"/>
    <w:rsid w:val="001C03A1"/>
    <w:rsid w:val="001D0F7D"/>
    <w:rsid w:val="001D5581"/>
    <w:rsid w:val="001F4566"/>
    <w:rsid w:val="00202FC4"/>
    <w:rsid w:val="00215DC0"/>
    <w:rsid w:val="00232EF5"/>
    <w:rsid w:val="0023404D"/>
    <w:rsid w:val="00245675"/>
    <w:rsid w:val="0024643E"/>
    <w:rsid w:val="00255FE4"/>
    <w:rsid w:val="00264FA6"/>
    <w:rsid w:val="00267A6B"/>
    <w:rsid w:val="002716BA"/>
    <w:rsid w:val="00283F93"/>
    <w:rsid w:val="00286F22"/>
    <w:rsid w:val="002933CB"/>
    <w:rsid w:val="00297AA2"/>
    <w:rsid w:val="002A2597"/>
    <w:rsid w:val="002B3768"/>
    <w:rsid w:val="002C5682"/>
    <w:rsid w:val="002D41E8"/>
    <w:rsid w:val="00303CD7"/>
    <w:rsid w:val="003118EB"/>
    <w:rsid w:val="00312148"/>
    <w:rsid w:val="00325076"/>
    <w:rsid w:val="003A3F51"/>
    <w:rsid w:val="003E3600"/>
    <w:rsid w:val="003E62DB"/>
    <w:rsid w:val="003F7E30"/>
    <w:rsid w:val="00400ECD"/>
    <w:rsid w:val="0042637B"/>
    <w:rsid w:val="00452377"/>
    <w:rsid w:val="0045256C"/>
    <w:rsid w:val="00463E4B"/>
    <w:rsid w:val="004970AE"/>
    <w:rsid w:val="004C351A"/>
    <w:rsid w:val="004E653B"/>
    <w:rsid w:val="00501774"/>
    <w:rsid w:val="00533282"/>
    <w:rsid w:val="00536B60"/>
    <w:rsid w:val="00543E56"/>
    <w:rsid w:val="005568A7"/>
    <w:rsid w:val="00574FD3"/>
    <w:rsid w:val="00584932"/>
    <w:rsid w:val="006235D2"/>
    <w:rsid w:val="00646963"/>
    <w:rsid w:val="006A068E"/>
    <w:rsid w:val="006C1527"/>
    <w:rsid w:val="006D6834"/>
    <w:rsid w:val="006E2750"/>
    <w:rsid w:val="00740B1B"/>
    <w:rsid w:val="00753448"/>
    <w:rsid w:val="007D1ABB"/>
    <w:rsid w:val="007D631F"/>
    <w:rsid w:val="007E0C5A"/>
    <w:rsid w:val="007E69C4"/>
    <w:rsid w:val="00801015"/>
    <w:rsid w:val="008052D7"/>
    <w:rsid w:val="0081764C"/>
    <w:rsid w:val="00841CCB"/>
    <w:rsid w:val="008537EA"/>
    <w:rsid w:val="008566A5"/>
    <w:rsid w:val="00875F1E"/>
    <w:rsid w:val="00880BBB"/>
    <w:rsid w:val="00881142"/>
    <w:rsid w:val="008B39CC"/>
    <w:rsid w:val="008C3732"/>
    <w:rsid w:val="008C7CDF"/>
    <w:rsid w:val="008E38DE"/>
    <w:rsid w:val="009141E4"/>
    <w:rsid w:val="00921115"/>
    <w:rsid w:val="0095160C"/>
    <w:rsid w:val="00965003"/>
    <w:rsid w:val="009754F2"/>
    <w:rsid w:val="00984AB9"/>
    <w:rsid w:val="0099319C"/>
    <w:rsid w:val="009B062D"/>
    <w:rsid w:val="009B298D"/>
    <w:rsid w:val="009B7C3A"/>
    <w:rsid w:val="009C5117"/>
    <w:rsid w:val="009E7C9A"/>
    <w:rsid w:val="009F735F"/>
    <w:rsid w:val="00A06D12"/>
    <w:rsid w:val="00A17C20"/>
    <w:rsid w:val="00A2785F"/>
    <w:rsid w:val="00A43534"/>
    <w:rsid w:val="00A7637F"/>
    <w:rsid w:val="00A80613"/>
    <w:rsid w:val="00AA2187"/>
    <w:rsid w:val="00AB5466"/>
    <w:rsid w:val="00AF4EF1"/>
    <w:rsid w:val="00AF749A"/>
    <w:rsid w:val="00B158EB"/>
    <w:rsid w:val="00B4141F"/>
    <w:rsid w:val="00B45FF1"/>
    <w:rsid w:val="00B650EC"/>
    <w:rsid w:val="00B72E2B"/>
    <w:rsid w:val="00BB0F3F"/>
    <w:rsid w:val="00BB26F7"/>
    <w:rsid w:val="00BC02FF"/>
    <w:rsid w:val="00BE3C1D"/>
    <w:rsid w:val="00BE5F83"/>
    <w:rsid w:val="00C06CA9"/>
    <w:rsid w:val="00C16F3B"/>
    <w:rsid w:val="00C2676F"/>
    <w:rsid w:val="00C40B4B"/>
    <w:rsid w:val="00C43FCA"/>
    <w:rsid w:val="00C44E69"/>
    <w:rsid w:val="00C6644F"/>
    <w:rsid w:val="00C84B46"/>
    <w:rsid w:val="00C90F08"/>
    <w:rsid w:val="00C922DF"/>
    <w:rsid w:val="00CB0C49"/>
    <w:rsid w:val="00CC5161"/>
    <w:rsid w:val="00CC7EF1"/>
    <w:rsid w:val="00D21908"/>
    <w:rsid w:val="00D366AC"/>
    <w:rsid w:val="00D408BA"/>
    <w:rsid w:val="00D42A6C"/>
    <w:rsid w:val="00D44854"/>
    <w:rsid w:val="00D85BD7"/>
    <w:rsid w:val="00DA2FBF"/>
    <w:rsid w:val="00DC501A"/>
    <w:rsid w:val="00DC65BB"/>
    <w:rsid w:val="00E21372"/>
    <w:rsid w:val="00E30D37"/>
    <w:rsid w:val="00E43FFE"/>
    <w:rsid w:val="00E572EA"/>
    <w:rsid w:val="00E602F1"/>
    <w:rsid w:val="00E61C86"/>
    <w:rsid w:val="00E71199"/>
    <w:rsid w:val="00E9149D"/>
    <w:rsid w:val="00E95442"/>
    <w:rsid w:val="00EB794A"/>
    <w:rsid w:val="00EB7AC1"/>
    <w:rsid w:val="00EF57BF"/>
    <w:rsid w:val="00F16468"/>
    <w:rsid w:val="00F508A0"/>
    <w:rsid w:val="00F542A8"/>
    <w:rsid w:val="00F56440"/>
    <w:rsid w:val="00F9383E"/>
    <w:rsid w:val="00FC07FA"/>
    <w:rsid w:val="00FE3B65"/>
    <w:rsid w:val="104A7D64"/>
    <w:rsid w:val="1492067E"/>
    <w:rsid w:val="164503AC"/>
    <w:rsid w:val="16CB1E6E"/>
    <w:rsid w:val="247E154C"/>
    <w:rsid w:val="2E4F374D"/>
    <w:rsid w:val="2F0577CC"/>
    <w:rsid w:val="31DB7B50"/>
    <w:rsid w:val="35621382"/>
    <w:rsid w:val="384E39DC"/>
    <w:rsid w:val="39D17552"/>
    <w:rsid w:val="43D84EB9"/>
    <w:rsid w:val="43E713D4"/>
    <w:rsid w:val="44A41DCD"/>
    <w:rsid w:val="49056AB4"/>
    <w:rsid w:val="4D397F8C"/>
    <w:rsid w:val="534E2140"/>
    <w:rsid w:val="5FD96B09"/>
    <w:rsid w:val="62CA38D4"/>
    <w:rsid w:val="67346C19"/>
    <w:rsid w:val="7132587D"/>
    <w:rsid w:val="792F1CEA"/>
    <w:rsid w:val="79607369"/>
    <w:rsid w:val="7B786B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5"/>
    <w:unhideWhenUsed/>
    <w:qFormat/>
    <w:uiPriority w:val="99"/>
  </w:style>
  <w:style w:type="paragraph" w:styleId="3">
    <w:name w:val="footer"/>
    <w:basedOn w:val="1"/>
    <w:link w:val="14"/>
    <w:unhideWhenUsed/>
    <w:qFormat/>
    <w:uiPriority w:val="99"/>
    <w:pPr>
      <w:tabs>
        <w:tab w:val="center" w:pos="4153"/>
        <w:tab w:val="right" w:pos="8306"/>
      </w:tabs>
      <w:snapToGrid w:val="0"/>
      <w:jc w:val="left"/>
    </w:pPr>
    <w:rPr>
      <w:sz w:val="18"/>
      <w:szCs w:val="18"/>
    </w:rPr>
  </w:style>
  <w:style w:type="paragraph" w:styleId="4">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annotation subject"/>
    <w:basedOn w:val="2"/>
    <w:next w:val="2"/>
    <w:link w:val="26"/>
    <w:semiHidden/>
    <w:unhideWhenUsed/>
    <w:qFormat/>
    <w:uiPriority w:val="99"/>
    <w:pPr>
      <w:jc w:val="left"/>
    </w:pPr>
    <w:rPr>
      <w:b/>
      <w:bCs/>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22"/>
    <w:rPr>
      <w:b/>
      <w:bCs/>
    </w:rPr>
  </w:style>
  <w:style w:type="character" w:styleId="10">
    <w:name w:val="Hyperlink"/>
    <w:basedOn w:val="8"/>
    <w:unhideWhenUsed/>
    <w:qFormat/>
    <w:uiPriority w:val="99"/>
    <w:rPr>
      <w:color w:val="0563C1" w:themeColor="hyperlink"/>
      <w:u w:val="single"/>
      <w14:textFill>
        <w14:solidFill>
          <w14:schemeClr w14:val="hlink"/>
        </w14:solidFill>
      </w14:textFill>
    </w:rPr>
  </w:style>
  <w:style w:type="character" w:styleId="11">
    <w:name w:val="HTML Code"/>
    <w:basedOn w:val="8"/>
    <w:semiHidden/>
    <w:unhideWhenUsed/>
    <w:qFormat/>
    <w:uiPriority w:val="99"/>
    <w:rPr>
      <w:rFonts w:ascii="宋体" w:hAnsi="宋体" w:eastAsia="宋体" w:cs="宋体"/>
      <w:sz w:val="24"/>
      <w:szCs w:val="24"/>
    </w:rPr>
  </w:style>
  <w:style w:type="character" w:styleId="12">
    <w:name w:val="annotation reference"/>
    <w:basedOn w:val="8"/>
    <w:semiHidden/>
    <w:unhideWhenUsed/>
    <w:qFormat/>
    <w:uiPriority w:val="99"/>
    <w:rPr>
      <w:sz w:val="21"/>
      <w:szCs w:val="21"/>
    </w:rPr>
  </w:style>
  <w:style w:type="character" w:customStyle="1" w:styleId="13">
    <w:name w:val="页眉 字符"/>
    <w:basedOn w:val="8"/>
    <w:link w:val="4"/>
    <w:uiPriority w:val="99"/>
    <w:rPr>
      <w:sz w:val="18"/>
      <w:szCs w:val="18"/>
    </w:rPr>
  </w:style>
  <w:style w:type="character" w:customStyle="1" w:styleId="14">
    <w:name w:val="页脚 字符"/>
    <w:basedOn w:val="8"/>
    <w:link w:val="3"/>
    <w:qFormat/>
    <w:uiPriority w:val="99"/>
    <w:rPr>
      <w:sz w:val="18"/>
      <w:szCs w:val="18"/>
    </w:rPr>
  </w:style>
  <w:style w:type="character" w:styleId="15">
    <w:name w:val="Placeholder Text"/>
    <w:basedOn w:val="8"/>
    <w:semiHidden/>
    <w:uiPriority w:val="99"/>
    <w:rPr>
      <w:color w:val="808080"/>
    </w:rPr>
  </w:style>
  <w:style w:type="paragraph" w:styleId="16">
    <w:name w:val="List Paragraph"/>
    <w:basedOn w:val="1"/>
    <w:qFormat/>
    <w:uiPriority w:val="34"/>
    <w:pPr>
      <w:ind w:firstLine="420" w:firstLineChars="200"/>
    </w:pPr>
  </w:style>
  <w:style w:type="paragraph" w:customStyle="1" w:styleId="17">
    <w:name w:val="EndNote Bibliography Title"/>
    <w:basedOn w:val="1"/>
    <w:link w:val="18"/>
    <w:qFormat/>
    <w:uiPriority w:val="0"/>
    <w:pPr>
      <w:jc w:val="center"/>
    </w:pPr>
    <w:rPr>
      <w:rFonts w:ascii="Times New Roman" w:hAnsi="Times New Roman" w:eastAsia="等线" w:cs="Times New Roman"/>
      <w:sz w:val="24"/>
    </w:rPr>
  </w:style>
  <w:style w:type="character" w:customStyle="1" w:styleId="18">
    <w:name w:val="EndNote Bibliography Title 字符"/>
    <w:basedOn w:val="8"/>
    <w:link w:val="17"/>
    <w:qFormat/>
    <w:uiPriority w:val="0"/>
    <w:rPr>
      <w:rFonts w:ascii="Times New Roman" w:hAnsi="Times New Roman" w:eastAsia="等线" w:cs="Times New Roman"/>
      <w:sz w:val="24"/>
    </w:rPr>
  </w:style>
  <w:style w:type="paragraph" w:customStyle="1" w:styleId="19">
    <w:name w:val="EndNote Bibliography"/>
    <w:basedOn w:val="1"/>
    <w:link w:val="20"/>
    <w:qFormat/>
    <w:uiPriority w:val="0"/>
    <w:pPr>
      <w:spacing w:line="480" w:lineRule="auto"/>
    </w:pPr>
    <w:rPr>
      <w:rFonts w:ascii="Times New Roman" w:hAnsi="Times New Roman" w:eastAsia="等线" w:cs="Times New Roman"/>
      <w:sz w:val="24"/>
    </w:rPr>
  </w:style>
  <w:style w:type="character" w:customStyle="1" w:styleId="20">
    <w:name w:val="EndNote Bibliography 字符"/>
    <w:basedOn w:val="8"/>
    <w:link w:val="19"/>
    <w:qFormat/>
    <w:uiPriority w:val="0"/>
    <w:rPr>
      <w:rFonts w:ascii="Times New Roman" w:hAnsi="Times New Roman" w:eastAsia="等线" w:cs="Times New Roman"/>
      <w:sz w:val="24"/>
    </w:rPr>
  </w:style>
  <w:style w:type="table" w:customStyle="1" w:styleId="21">
    <w:name w:val="无格式表格 21"/>
    <w:basedOn w:val="6"/>
    <w:qFormat/>
    <w:uiPriority w:val="42"/>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character" w:customStyle="1" w:styleId="22">
    <w:name w:val="mord"/>
    <w:basedOn w:val="8"/>
    <w:uiPriority w:val="0"/>
  </w:style>
  <w:style w:type="character" w:customStyle="1" w:styleId="23">
    <w:name w:val="vlist-s"/>
    <w:basedOn w:val="8"/>
    <w:qFormat/>
    <w:uiPriority w:val="0"/>
  </w:style>
  <w:style w:type="table" w:customStyle="1" w:styleId="24">
    <w:name w:val="无格式表格 51"/>
    <w:basedOn w:val="6"/>
    <w:qFormat/>
    <w:uiPriority w:val="45"/>
    <w:tblStylePr w:type="firstRow">
      <w:rPr>
        <w:rFonts w:asciiTheme="majorHAnsi" w:hAnsiTheme="majorHAnsi" w:eastAsiaTheme="majorEastAsia" w:cstheme="majorBidi"/>
        <w:i/>
        <w:iCs/>
        <w:sz w:val="26"/>
      </w:rPr>
      <w:tcPr>
        <w:tcBorders>
          <w:bottom w:val="single" w:color="7E7E7E"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E7E7E"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E7E7E"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E7E7E" w:themeColor="text1" w:themeTint="80" w:sz="4" w:space="0"/>
        </w:tcBorders>
        <w:shd w:val="clear" w:color="auto" w:fill="FFFFFF" w:themeFill="background1"/>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character" w:customStyle="1" w:styleId="25">
    <w:name w:val="批注文字 字符"/>
    <w:basedOn w:val="8"/>
    <w:link w:val="2"/>
    <w:qFormat/>
    <w:uiPriority w:val="99"/>
  </w:style>
  <w:style w:type="character" w:customStyle="1" w:styleId="26">
    <w:name w:val="批注主题 字符"/>
    <w:basedOn w:val="25"/>
    <w:link w:val="5"/>
    <w:semiHidden/>
    <w:qFormat/>
    <w:uiPriority w:val="99"/>
    <w:rPr>
      <w:b/>
      <w:bCs/>
    </w:rPr>
  </w:style>
  <w:style w:type="character" w:customStyle="1" w:styleId="27">
    <w:name w:val="bib_article"/>
    <w:qFormat/>
    <w:uiPriority w:val="0"/>
    <w:rPr>
      <w:sz w:val="21"/>
      <w:shd w:val="clear" w:color="auto" w:fill="CCFFFF"/>
    </w:rPr>
  </w:style>
</w:styles>
</file>

<file path=word/_rels/document.xml.rels><?xml version="1.0" encoding="UTF-8" standalone="yes"?>
<Relationships xmlns="http://schemas.openxmlformats.org/package/2006/relationships"><Relationship Id="rId9" Type="http://schemas.openxmlformats.org/officeDocument/2006/relationships/image" Target="media/image6.tiff"/><Relationship Id="rId8" Type="http://schemas.openxmlformats.org/officeDocument/2006/relationships/image" Target="media/image5.tiff"/><Relationship Id="rId7" Type="http://schemas.openxmlformats.org/officeDocument/2006/relationships/image" Target="media/image4.tiff"/><Relationship Id="rId6" Type="http://schemas.openxmlformats.org/officeDocument/2006/relationships/image" Target="media/image3.tiff"/><Relationship Id="rId5" Type="http://schemas.openxmlformats.org/officeDocument/2006/relationships/image" Target="media/image2.tiff"/><Relationship Id="rId4" Type="http://schemas.openxmlformats.org/officeDocument/2006/relationships/image" Target="media/image1.tiff"/><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7.tif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6716-F2AA-4F04-9A63-AA256F3607A1}">
  <ds:schemaRefs/>
</ds:datastoreItem>
</file>

<file path=docProps/app.xml><?xml version="1.0" encoding="utf-8"?>
<Properties xmlns="http://schemas.openxmlformats.org/officeDocument/2006/extended-properties" xmlns:vt="http://schemas.openxmlformats.org/officeDocument/2006/docPropsVTypes">
  <Template>Normal.dotm</Template>
  <Pages>14</Pages>
  <Words>924</Words>
  <Characters>6171</Characters>
  <Lines>130</Lines>
  <Paragraphs>36</Paragraphs>
  <TotalTime>1</TotalTime>
  <ScaleCrop>false</ScaleCrop>
  <LinksUpToDate>false</LinksUpToDate>
  <CharactersWithSpaces>7195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2026-05-06T08:57:00Z</dcterms:created>
  <dc:creator>408916194@qq.com</dc:creator>
  <cp:lastModifiedBy>WPS_1601511432</cp:lastModifiedBy>
  <dcterms:modified xsi:type="dcterms:W3CDTF">2026-05-22T06:43:28Z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eyJoZGlkIjoiM2VmNjg5MTQ3ZjQ0NGZhYTkyYmExNTQ1NmJiMjU1YjMiLCJ1c2VySWQiOiIxMTI2MjcwNzM5In0=</vt:lpwstr>
  </property>
  <property fmtid="{D5CDD505-2E9C-101B-9397-08002B2CF9AE}" pid="3" name="KSOProductBuildVer">
    <vt:lpwstr>2052-12.1.0.23542</vt:lpwstr>
  </property>
  <property fmtid="{D5CDD505-2E9C-101B-9397-08002B2CF9AE}" pid="4" name="ICV">
    <vt:lpwstr>D23B0955DE42419CBED84A6916F56251_12</vt:lpwstr>
  </property>
</Properties>
</file>