
<file path=[Content_Types].xml><?xml version="1.0" encoding="utf-8"?>
<Types xmlns="http://schemas.openxmlformats.org/package/2006/content-types">
  <Default Extension="xml" ContentType="application/xml"/>
  <Default Extension="png" ContentType="image/png"/>
  <Default Extension="tiff" ContentType="image/tif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04406F">
      <w:pPr>
        <w:pStyle w:val="2"/>
        <w:numPr>
          <w:numId w:val="0"/>
        </w:numPr>
        <w:ind w:leftChars="0"/>
        <w:jc w:val="center"/>
        <w:rPr>
          <w:sz w:val="32"/>
          <w:szCs w:val="32"/>
        </w:rPr>
      </w:pPr>
      <w:bookmarkStart w:id="0" w:name="OLE_LINK3"/>
      <w:bookmarkStart w:id="1" w:name="OLE_LINK36"/>
      <w:r>
        <w:rPr>
          <w:sz w:val="32"/>
          <w:szCs w:val="32"/>
        </w:rPr>
        <w:t xml:space="preserve">Supplementary </w:t>
      </w:r>
      <w:r>
        <w:rPr>
          <w:rFonts w:hint="eastAsia"/>
          <w:sz w:val="32"/>
          <w:szCs w:val="32"/>
        </w:rPr>
        <w:t>material</w:t>
      </w:r>
    </w:p>
    <w:p w14:paraId="2179134E">
      <w:pPr>
        <w:pStyle w:val="2"/>
      </w:pPr>
      <w:r>
        <w:t xml:space="preserve">Hydrogen </w:t>
      </w:r>
      <w:r>
        <w:rPr>
          <w:rFonts w:hint="eastAsia"/>
        </w:rPr>
        <w:t>Uptake</w:t>
      </w:r>
      <w:r>
        <w:t xml:space="preserve"> Kinetics Measurement</w:t>
      </w:r>
    </w:p>
    <w:p w14:paraId="2AB599AD">
      <w:pPr>
        <w:ind w:firstLine="420"/>
      </w:pPr>
      <w:r>
        <w:t xml:space="preserve">Hydrogen uptake was measured by a volumetric (Sieverts-type/PCT) method using the HPSA-auto system. In this method, the amount of hydrogen absorbed by the sample is determined from the decrease in gas-phase hydrogen after the gas contacts the sample in a calibrated closed volume. The instrument continuously records pressure and temperature in real time, and the gas-phase hydrogen amount is calculated using the Modified Benedict–Webb–Rubin (MBWR) equation of state to account for non-ideal behavior under high-pressure conditions. Before measurement, the relevant volumes (e.g., reservoir volume, tube volume, and sample-cell volume) are calibrated, and baseline runs can be used for system correction. The hydrogen uptake is then obtained by gas mass balance and normalized by sample mass to give the uptake capacity. In simplified form, the gas-phase hydrogen amount is expressed as </w:t>
      </w:r>
      <w:r>
        <w:rPr>
          <w:i/>
          <w:iCs/>
        </w:rPr>
        <w:t>n</w:t>
      </w:r>
      <w:r>
        <w:rPr>
          <w:rFonts w:hint="eastAsia"/>
          <w:i/>
          <w:iCs/>
          <w:lang w:val="en-US" w:eastAsia="zh-CN"/>
        </w:rPr>
        <w:t xml:space="preserve"> </w:t>
      </w:r>
      <w:r>
        <w:t>=</w:t>
      </w:r>
      <w:r>
        <w:rPr>
          <w:rFonts w:hint="eastAsia"/>
          <w:lang w:val="en-US" w:eastAsia="zh-CN"/>
        </w:rPr>
        <w:t xml:space="preserve"> </w:t>
      </w:r>
      <w:r>
        <w:t>PV/(RT), and the uptake is calculated from the difference between the initial and equilibrium gas-phase hydrogen amounts after correction.</w:t>
      </w:r>
    </w:p>
    <w:p w14:paraId="00498ADA">
      <w:pPr>
        <w:pStyle w:val="17"/>
      </w:pPr>
      <w:r>
        <w:drawing>
          <wp:inline distT="0" distB="0" distL="0" distR="0">
            <wp:extent cx="3992245" cy="2552065"/>
            <wp:effectExtent l="0" t="0" r="8255" b="635"/>
            <wp:docPr id="47791582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915826" name="图片 1"/>
                    <pic:cNvPicPr>
                      <a:picLocks noChangeAspect="1" noChangeArrowheads="1"/>
                    </pic:cNvPicPr>
                  </pic:nvPicPr>
                  <pic:blipFill>
                    <a:blip r:embed="rId6" cstate="print"/>
                    <a:srcRect/>
                    <a:stretch>
                      <a:fillRect/>
                    </a:stretch>
                  </pic:blipFill>
                  <pic:spPr>
                    <a:xfrm>
                      <a:off x="0" y="0"/>
                      <a:ext cx="4044746" cy="2585599"/>
                    </a:xfrm>
                    <a:prstGeom prst="rect">
                      <a:avLst/>
                    </a:prstGeom>
                    <a:noFill/>
                  </pic:spPr>
                </pic:pic>
              </a:graphicData>
            </a:graphic>
          </wp:inline>
        </w:drawing>
      </w:r>
    </w:p>
    <w:p w14:paraId="11B25350">
      <w:pPr>
        <w:pStyle w:val="5"/>
      </w:pPr>
      <w:r>
        <w:rPr>
          <w:b/>
          <w:bCs/>
        </w:rPr>
        <w:t xml:space="preserve">Fig. </w:t>
      </w:r>
      <w:r>
        <w:rPr>
          <w:rFonts w:hint="eastAsia"/>
          <w:b/>
          <w:bCs/>
        </w:rPr>
        <w:t>S</w:t>
      </w:r>
      <w:r>
        <w:rPr>
          <w:b/>
          <w:bCs/>
        </w:rPr>
        <w:fldChar w:fldCharType="begin"/>
      </w:r>
      <w:r>
        <w:rPr>
          <w:b/>
          <w:bCs/>
        </w:rPr>
        <w:instrText xml:space="preserve"> SEQ Fig. \* ARABIC </w:instrText>
      </w:r>
      <w:r>
        <w:rPr>
          <w:b/>
          <w:bCs/>
        </w:rPr>
        <w:fldChar w:fldCharType="separate"/>
      </w:r>
      <w:r>
        <w:rPr>
          <w:b/>
          <w:bCs/>
        </w:rPr>
        <w:t>1</w:t>
      </w:r>
      <w:r>
        <w:rPr>
          <w:b/>
          <w:bCs/>
        </w:rPr>
        <w:fldChar w:fldCharType="end"/>
      </w:r>
      <w:r>
        <w:rPr>
          <w:rFonts w:hint="eastAsia"/>
        </w:rPr>
        <w:t xml:space="preserve"> </w:t>
      </w:r>
      <w:r>
        <w:t>Photograph of the auto PCT (volumetric) apparatus used in this study.</w:t>
      </w:r>
    </w:p>
    <w:p w14:paraId="28248E0B">
      <w:pPr>
        <w:pStyle w:val="2"/>
      </w:pPr>
      <w:r>
        <w:t xml:space="preserve">Kinetic Model Fitting of Hydrogen </w:t>
      </w:r>
      <w:r>
        <w:rPr>
          <w:rFonts w:hint="eastAsia"/>
        </w:rPr>
        <w:t>Uptake</w:t>
      </w:r>
      <w:r>
        <w:t xml:space="preserve"> Data</w:t>
      </w:r>
    </w:p>
    <w:p w14:paraId="5EEF94AB">
      <w:pPr>
        <w:ind w:firstLine="420"/>
      </w:pPr>
      <w:r>
        <w:t>To elucidate the hydrogen uptake kinetics and identify the rate-controlling mechanisms, the experimental data were fitted using five commonly adopted kinetic models, including the pseudo-first-order (PFO), pseudo-second-order (PSO), Elovich, Johnson–Mehl–Avrami–Kolmogorov (JMAK), and Weber–Morris (intraparticle diffusion) models. These models represent different possible controlling processes, such as surface adsorption, chemisorption, nucleation and growth, and diffusion-controlled transport. By comparing the fitting quality and linearity, the dominant kinetic mechanism can be identified.</w:t>
      </w:r>
      <w:r>
        <w:rPr>
          <w:rFonts w:hint="eastAsia"/>
        </w:rPr>
        <w:t xml:space="preserve"> </w:t>
      </w:r>
      <w:r>
        <w:t>The corresponding equations are summarized as follows:</w:t>
      </w:r>
    </w:p>
    <w:p w14:paraId="1E6986E0">
      <w:pPr>
        <w:widowControl/>
        <w:spacing w:line="240" w:lineRule="auto"/>
        <w:ind w:firstLine="420"/>
        <w:jc w:val="left"/>
        <w:rPr>
          <w:rFonts w:eastAsia="黑体" w:cstheme="majorBidi"/>
          <w:sz w:val="21"/>
          <w:szCs w:val="20"/>
        </w:rPr>
      </w:pPr>
      <w:r>
        <w:rPr>
          <w:rFonts w:hint="eastAsia"/>
        </w:rPr>
        <w:t>(1)</w:t>
      </w:r>
      <w:r>
        <w:rPr>
          <w:rFonts w:hint="eastAsia" w:eastAsia="黑体" w:cstheme="majorBidi"/>
          <w:sz w:val="21"/>
          <w:szCs w:val="20"/>
        </w:rPr>
        <w:t xml:space="preserve"> </w:t>
      </w:r>
      <w:r>
        <w:t>Pseudo-first-order (PFO) model</w:t>
      </w:r>
    </w:p>
    <w:p w14:paraId="1F1281E2">
      <m:oMathPara>
        <m:oMath>
          <m:r>
            <m:rPr>
              <m:sty m:val="p"/>
            </m:rPr>
            <w:rPr>
              <w:rFonts w:ascii="Cambria Math" w:hAnsi="Cambria Math"/>
            </w:rPr>
            <m:t>ln</m:t>
          </m:r>
          <m:r>
            <m:rPr/>
            <w:rPr>
              <w:rFonts w:ascii="Cambria Math" w:hAnsi="Cambria Math"/>
            </w:rPr>
            <m:t>⁡(</m:t>
          </m:r>
          <m:sSub>
            <m:sSubPr>
              <m:ctrlPr>
                <w:rPr>
                  <w:rFonts w:ascii="Cambria Math" w:hAnsi="Cambria Math"/>
                </w:rPr>
              </m:ctrlPr>
            </m:sSubPr>
            <m:e>
              <m:r>
                <m:rPr/>
                <w:rPr>
                  <w:rFonts w:ascii="Cambria Math" w:hAnsi="Cambria Math"/>
                </w:rPr>
                <m:t>q</m:t>
              </m:r>
              <m:ctrlPr>
                <w:rPr>
                  <w:rFonts w:ascii="Cambria Math" w:hAnsi="Cambria Math"/>
                </w:rPr>
              </m:ctrlPr>
            </m:e>
            <m:sub>
              <m:r>
                <m:rPr/>
                <w:rPr>
                  <w:rFonts w:ascii="Cambria Math" w:hAnsi="Cambria Math"/>
                </w:rPr>
                <m:t>e</m:t>
              </m:r>
              <m:ctrlPr>
                <w:rPr>
                  <w:rFonts w:ascii="Cambria Math" w:hAnsi="Cambria Math"/>
                </w:rPr>
              </m:ctrlPr>
            </m:sub>
          </m:sSub>
          <m:r>
            <m:rPr/>
            <w:rPr>
              <w:rFonts w:hint="default" w:ascii="Cambria Math" w:hAnsi="Cambria Math"/>
              <w:lang w:val="en-US" w:eastAsia="zh-CN"/>
            </w:rPr>
            <m:t xml:space="preserve"> </m:t>
          </m:r>
          <m:r>
            <m:rPr/>
            <w:rPr>
              <w:rFonts w:ascii="Cambria Math" w:hAnsi="Cambria Math"/>
            </w:rPr>
            <m:t>−</m:t>
          </m:r>
          <m:r>
            <m:rPr/>
            <w:rPr>
              <w:rFonts w:hint="default" w:ascii="Cambria Math" w:hAnsi="Cambria Math"/>
              <w:lang w:val="en-US" w:eastAsia="zh-CN"/>
            </w:rPr>
            <m:t xml:space="preserve"> </m:t>
          </m:r>
          <m:sSub>
            <m:sSubPr>
              <m:ctrlPr>
                <w:rPr>
                  <w:rFonts w:ascii="Cambria Math" w:hAnsi="Cambria Math"/>
                </w:rPr>
              </m:ctrlPr>
            </m:sSubPr>
            <m:e>
              <m:r>
                <m:rPr/>
                <w:rPr>
                  <w:rFonts w:ascii="Cambria Math" w:hAnsi="Cambria Math"/>
                </w:rPr>
                <m:t>q</m:t>
              </m:r>
              <m:ctrlPr>
                <w:rPr>
                  <w:rFonts w:ascii="Cambria Math" w:hAnsi="Cambria Math"/>
                </w:rPr>
              </m:ctrlPr>
            </m:e>
            <m:sub>
              <m:r>
                <m:rPr/>
                <w:rPr>
                  <w:rFonts w:ascii="Cambria Math" w:hAnsi="Cambria Math"/>
                </w:rPr>
                <m:t>t</m:t>
              </m:r>
              <m:ctrlPr>
                <w:rPr>
                  <w:rFonts w:ascii="Cambria Math" w:hAnsi="Cambria Math"/>
                </w:rPr>
              </m:ctrlPr>
            </m:sub>
          </m:sSub>
          <m:r>
            <m:rPr/>
            <w:rPr>
              <w:rFonts w:ascii="Cambria Math" w:hAnsi="Cambria Math"/>
            </w:rPr>
            <m:t>)</m:t>
          </m:r>
          <m:r>
            <m:rPr/>
            <w:rPr>
              <w:rFonts w:hint="default" w:ascii="Cambria Math" w:hAnsi="Cambria Math"/>
              <w:lang w:val="en-US" w:eastAsia="zh-CN"/>
            </w:rPr>
            <m:t xml:space="preserve"> </m:t>
          </m:r>
          <m:r>
            <m:rPr/>
            <w:rPr>
              <w:rFonts w:ascii="Cambria Math" w:hAnsi="Cambria Math"/>
            </w:rPr>
            <m:t>=</m:t>
          </m:r>
          <m:r>
            <m:rPr/>
            <w:rPr>
              <w:rFonts w:hint="default" w:ascii="Cambria Math" w:hAnsi="Cambria Math"/>
              <w:lang w:val="en-US" w:eastAsia="zh-CN"/>
            </w:rPr>
            <m:t xml:space="preserve"> </m:t>
          </m:r>
          <m:r>
            <m:rPr>
              <m:sty m:val="p"/>
            </m:rPr>
            <w:rPr>
              <w:rFonts w:ascii="Cambria Math" w:hAnsi="Cambria Math"/>
            </w:rPr>
            <m:t>ln</m:t>
          </m:r>
          <m:r>
            <m:rPr/>
            <w:rPr>
              <w:rFonts w:ascii="Cambria Math" w:hAnsi="Cambria Math"/>
            </w:rPr>
            <m:t>⁡</m:t>
          </m:r>
          <m:sSub>
            <m:sSubPr>
              <m:ctrlPr>
                <w:rPr>
                  <w:rFonts w:ascii="Cambria Math" w:hAnsi="Cambria Math"/>
                </w:rPr>
              </m:ctrlPr>
            </m:sSubPr>
            <m:e>
              <m:r>
                <m:rPr/>
                <w:rPr>
                  <w:rFonts w:ascii="Cambria Math" w:hAnsi="Cambria Math"/>
                </w:rPr>
                <m:t>q</m:t>
              </m:r>
              <m:ctrlPr>
                <w:rPr>
                  <w:rFonts w:ascii="Cambria Math" w:hAnsi="Cambria Math"/>
                </w:rPr>
              </m:ctrlPr>
            </m:e>
            <m:sub>
              <m:r>
                <m:rPr/>
                <w:rPr>
                  <w:rFonts w:ascii="Cambria Math" w:hAnsi="Cambria Math"/>
                </w:rPr>
                <m:t>e</m:t>
              </m:r>
              <m:ctrlPr>
                <w:rPr>
                  <w:rFonts w:ascii="Cambria Math" w:hAnsi="Cambria Math"/>
                </w:rPr>
              </m:ctrlPr>
            </m:sub>
          </m:sSub>
          <m:r>
            <m:rPr/>
            <w:rPr>
              <w:rFonts w:hint="default" w:ascii="Cambria Math" w:hAnsi="Cambria Math"/>
              <w:lang w:val="en-US" w:eastAsia="zh-CN"/>
            </w:rPr>
            <m:t xml:space="preserve"> </m:t>
          </m:r>
          <m:r>
            <m:rPr/>
            <w:rPr>
              <w:rFonts w:ascii="Cambria Math" w:hAnsi="Cambria Math"/>
            </w:rPr>
            <m:t>−</m:t>
          </m:r>
          <m:r>
            <m:rPr/>
            <w:rPr>
              <w:rFonts w:hint="default" w:ascii="Cambria Math" w:hAnsi="Cambria Math"/>
              <w:lang w:val="en-US" w:eastAsia="zh-CN"/>
            </w:rPr>
            <m:t xml:space="preserve"> </m:t>
          </m:r>
          <m:sSub>
            <m:sSubPr>
              <m:ctrlPr>
                <w:rPr>
                  <w:rFonts w:ascii="Cambria Math" w:hAnsi="Cambria Math"/>
                </w:rPr>
              </m:ctrlPr>
            </m:sSubPr>
            <m:e>
              <m:r>
                <m:rPr/>
                <w:rPr>
                  <w:rFonts w:ascii="Cambria Math" w:hAnsi="Cambria Math"/>
                </w:rPr>
                <m:t>k</m:t>
              </m:r>
              <m:ctrlPr>
                <w:rPr>
                  <w:rFonts w:ascii="Cambria Math" w:hAnsi="Cambria Math"/>
                </w:rPr>
              </m:ctrlPr>
            </m:e>
            <m:sub>
              <m:r>
                <m:rPr/>
                <w:rPr>
                  <w:rFonts w:ascii="Cambria Math" w:hAnsi="Cambria Math"/>
                </w:rPr>
                <m:t>1</m:t>
              </m:r>
              <m:ctrlPr>
                <w:rPr>
                  <w:rFonts w:ascii="Cambria Math" w:hAnsi="Cambria Math"/>
                </w:rPr>
              </m:ctrlPr>
            </m:sub>
          </m:sSub>
          <m:r>
            <m:rPr/>
            <w:rPr>
              <w:rFonts w:ascii="Cambria Math" w:hAnsi="Cambria Math"/>
            </w:rPr>
            <m:t>t</m:t>
          </m:r>
        </m:oMath>
      </m:oMathPara>
    </w:p>
    <w:p w14:paraId="56604D06">
      <w:pPr>
        <w:ind w:firstLine="420"/>
      </w:pPr>
      <w:bookmarkStart w:id="2" w:name="OLE_LINK1"/>
      <w:r>
        <w:rPr>
          <w:rFonts w:hint="eastAsia"/>
        </w:rPr>
        <w:t>(2)</w:t>
      </w:r>
      <w:bookmarkEnd w:id="2"/>
      <w:r>
        <w:rPr>
          <w:rFonts w:hint="eastAsia"/>
        </w:rPr>
        <w:t xml:space="preserve"> </w:t>
      </w:r>
      <w:r>
        <w:t>Pseudo-second-order (PSO) model</w:t>
      </w:r>
    </w:p>
    <w:p w14:paraId="791EA925">
      <m:oMathPara>
        <m:oMath>
          <m:f>
            <m:fPr>
              <m:ctrlPr>
                <w:rPr>
                  <w:rFonts w:ascii="Cambria Math" w:hAnsi="Cambria Math"/>
                </w:rPr>
              </m:ctrlPr>
            </m:fPr>
            <m:num>
              <m:r>
                <m:rPr/>
                <w:rPr>
                  <w:rFonts w:ascii="Cambria Math" w:hAnsi="Cambria Math"/>
                </w:rPr>
                <m:t>t</m:t>
              </m:r>
              <m:ctrlPr>
                <w:rPr>
                  <w:rFonts w:ascii="Cambria Math" w:hAnsi="Cambria Math"/>
                </w:rPr>
              </m:ctrlPr>
            </m:num>
            <m:den>
              <m:sSub>
                <m:sSubPr>
                  <m:ctrlPr>
                    <w:rPr>
                      <w:rFonts w:ascii="Cambria Math" w:hAnsi="Cambria Math"/>
                    </w:rPr>
                  </m:ctrlPr>
                </m:sSubPr>
                <m:e>
                  <m:r>
                    <m:rPr/>
                    <w:rPr>
                      <w:rFonts w:ascii="Cambria Math" w:hAnsi="Cambria Math"/>
                    </w:rPr>
                    <m:t>q</m:t>
                  </m:r>
                  <m:ctrlPr>
                    <w:rPr>
                      <w:rFonts w:ascii="Cambria Math" w:hAnsi="Cambria Math"/>
                    </w:rPr>
                  </m:ctrlPr>
                </m:e>
                <m:sub>
                  <m:r>
                    <m:rPr/>
                    <w:rPr>
                      <w:rFonts w:ascii="Cambria Math" w:hAnsi="Cambria Math"/>
                    </w:rPr>
                    <m:t>t</m:t>
                  </m:r>
                  <m:ctrlPr>
                    <w:rPr>
                      <w:rFonts w:ascii="Cambria Math" w:hAnsi="Cambria Math"/>
                    </w:rPr>
                  </m:ctrlPr>
                </m:sub>
              </m:sSub>
              <m:ctrlPr>
                <w:rPr>
                  <w:rFonts w:ascii="Cambria Math" w:hAnsi="Cambria Math"/>
                </w:rPr>
              </m:ctrlPr>
            </m:den>
          </m:f>
          <m:r>
            <m:rPr/>
            <w:rPr>
              <w:rFonts w:hint="default" w:ascii="Cambria Math" w:hAnsi="Cambria Math"/>
              <w:lang w:val="en-US" w:eastAsia="zh-CN"/>
            </w:rPr>
            <m:t xml:space="preserve"> </m:t>
          </m:r>
          <m:r>
            <m:rPr/>
            <w:rPr>
              <w:rFonts w:ascii="Cambria Math" w:hAnsi="Cambria Math"/>
            </w:rPr>
            <m:t>=</m:t>
          </m:r>
          <m:r>
            <m:rPr/>
            <w:rPr>
              <w:rFonts w:hint="default" w:ascii="Cambria Math" w:hAnsi="Cambria Math"/>
              <w:lang w:val="en-US" w:eastAsia="zh-CN"/>
            </w:rPr>
            <m:t xml:space="preserve"> </m:t>
          </m:r>
          <m:f>
            <m:fPr>
              <m:ctrlPr>
                <w:rPr>
                  <w:rFonts w:ascii="Cambria Math" w:hAnsi="Cambria Math"/>
                </w:rPr>
              </m:ctrlPr>
            </m:fPr>
            <m:num>
              <m:r>
                <m:rPr/>
                <w:rPr>
                  <w:rFonts w:ascii="Cambria Math" w:hAnsi="Cambria Math"/>
                </w:rPr>
                <m:t>1</m:t>
              </m:r>
              <m:ctrlPr>
                <w:rPr>
                  <w:rFonts w:ascii="Cambria Math" w:hAnsi="Cambria Math"/>
                </w:rPr>
              </m:ctrlPr>
            </m:num>
            <m:den>
              <m:sSub>
                <m:sSubPr>
                  <m:ctrlPr>
                    <w:rPr>
                      <w:rFonts w:ascii="Cambria Math" w:hAnsi="Cambria Math"/>
                    </w:rPr>
                  </m:ctrlPr>
                </m:sSubPr>
                <m:e>
                  <m:r>
                    <m:rPr/>
                    <w:rPr>
                      <w:rFonts w:ascii="Cambria Math" w:hAnsi="Cambria Math"/>
                    </w:rPr>
                    <m:t>k</m:t>
                  </m:r>
                  <m:ctrlPr>
                    <w:rPr>
                      <w:rFonts w:ascii="Cambria Math" w:hAnsi="Cambria Math"/>
                    </w:rPr>
                  </m:ctrlPr>
                </m:e>
                <m:sub>
                  <m:r>
                    <m:rPr/>
                    <w:rPr>
                      <w:rFonts w:ascii="Cambria Math" w:hAnsi="Cambria Math"/>
                    </w:rPr>
                    <m:t>2</m:t>
                  </m:r>
                  <m:ctrlPr>
                    <w:rPr>
                      <w:rFonts w:ascii="Cambria Math" w:hAnsi="Cambria Math"/>
                    </w:rPr>
                  </m:ctrlPr>
                </m:sub>
              </m:sSub>
              <m:sSubSup>
                <m:sSubSupPr>
                  <m:ctrlPr>
                    <w:rPr>
                      <w:rFonts w:ascii="Cambria Math" w:hAnsi="Cambria Math"/>
                    </w:rPr>
                  </m:ctrlPr>
                </m:sSubSupPr>
                <m:e>
                  <m:r>
                    <m:rPr/>
                    <w:rPr>
                      <w:rFonts w:ascii="Cambria Math" w:hAnsi="Cambria Math"/>
                    </w:rPr>
                    <m:t>q</m:t>
                  </m:r>
                  <m:ctrlPr>
                    <w:rPr>
                      <w:rFonts w:ascii="Cambria Math" w:hAnsi="Cambria Math"/>
                    </w:rPr>
                  </m:ctrlPr>
                </m:e>
                <m:sub>
                  <m:r>
                    <m:rPr/>
                    <w:rPr>
                      <w:rFonts w:ascii="Cambria Math" w:hAnsi="Cambria Math"/>
                    </w:rPr>
                    <m:t>e</m:t>
                  </m:r>
                  <m:ctrlPr>
                    <w:rPr>
                      <w:rFonts w:ascii="Cambria Math" w:hAnsi="Cambria Math"/>
                    </w:rPr>
                  </m:ctrlPr>
                </m:sub>
                <m:sup>
                  <m:r>
                    <m:rPr/>
                    <w:rPr>
                      <w:rFonts w:ascii="Cambria Math" w:hAnsi="Cambria Math"/>
                    </w:rPr>
                    <m:t>2</m:t>
                  </m:r>
                  <m:ctrlPr>
                    <w:rPr>
                      <w:rFonts w:ascii="Cambria Math" w:hAnsi="Cambria Math"/>
                    </w:rPr>
                  </m:ctrlPr>
                </m:sup>
              </m:sSubSup>
              <m:ctrlPr>
                <w:rPr>
                  <w:rFonts w:ascii="Cambria Math" w:hAnsi="Cambria Math"/>
                </w:rPr>
              </m:ctrlPr>
            </m:den>
          </m:f>
          <m:r>
            <m:rPr/>
            <w:rPr>
              <w:rFonts w:hint="default" w:ascii="Cambria Math" w:hAnsi="Cambria Math"/>
              <w:lang w:val="en-US" w:eastAsia="zh-CN"/>
            </w:rPr>
            <m:t xml:space="preserve"> </m:t>
          </m:r>
          <m:r>
            <m:rPr/>
            <w:rPr>
              <w:rFonts w:ascii="Cambria Math" w:hAnsi="Cambria Math"/>
            </w:rPr>
            <m:t>+</m:t>
          </m:r>
          <m:r>
            <m:rPr/>
            <w:rPr>
              <w:rFonts w:hint="default" w:ascii="Cambria Math" w:hAnsi="Cambria Math"/>
              <w:lang w:val="en-US" w:eastAsia="zh-CN"/>
            </w:rPr>
            <m:t xml:space="preserve"> </m:t>
          </m:r>
          <m:f>
            <m:fPr>
              <m:ctrlPr>
                <w:rPr>
                  <w:rFonts w:ascii="Cambria Math" w:hAnsi="Cambria Math"/>
                </w:rPr>
              </m:ctrlPr>
            </m:fPr>
            <m:num>
              <m:r>
                <m:rPr/>
                <w:rPr>
                  <w:rFonts w:ascii="Cambria Math" w:hAnsi="Cambria Math"/>
                </w:rPr>
                <m:t>t</m:t>
              </m:r>
              <m:ctrlPr>
                <w:rPr>
                  <w:rFonts w:ascii="Cambria Math" w:hAnsi="Cambria Math"/>
                </w:rPr>
              </m:ctrlPr>
            </m:num>
            <m:den>
              <m:sSub>
                <m:sSubPr>
                  <m:ctrlPr>
                    <w:rPr>
                      <w:rFonts w:ascii="Cambria Math" w:hAnsi="Cambria Math"/>
                    </w:rPr>
                  </m:ctrlPr>
                </m:sSubPr>
                <m:e>
                  <m:r>
                    <m:rPr/>
                    <w:rPr>
                      <w:rFonts w:ascii="Cambria Math" w:hAnsi="Cambria Math"/>
                    </w:rPr>
                    <m:t>q</m:t>
                  </m:r>
                  <m:ctrlPr>
                    <w:rPr>
                      <w:rFonts w:ascii="Cambria Math" w:hAnsi="Cambria Math"/>
                    </w:rPr>
                  </m:ctrlPr>
                </m:e>
                <m:sub>
                  <m:r>
                    <m:rPr/>
                    <w:rPr>
                      <w:rFonts w:ascii="Cambria Math" w:hAnsi="Cambria Math"/>
                    </w:rPr>
                    <m:t>e</m:t>
                  </m:r>
                  <m:ctrlPr>
                    <w:rPr>
                      <w:rFonts w:ascii="Cambria Math" w:hAnsi="Cambria Math"/>
                    </w:rPr>
                  </m:ctrlPr>
                </m:sub>
              </m:sSub>
              <m:ctrlPr>
                <w:rPr>
                  <w:rFonts w:ascii="Cambria Math" w:hAnsi="Cambria Math"/>
                </w:rPr>
              </m:ctrlPr>
            </m:den>
          </m:f>
        </m:oMath>
      </m:oMathPara>
    </w:p>
    <w:p w14:paraId="43CAC8C9">
      <w:pPr>
        <w:ind w:firstLine="420"/>
      </w:pPr>
      <w:r>
        <w:rPr>
          <w:rFonts w:hint="eastAsia"/>
        </w:rPr>
        <w:t xml:space="preserve">(3) </w:t>
      </w:r>
      <w:r>
        <w:t>Elovich model</w:t>
      </w:r>
    </w:p>
    <w:p w14:paraId="2B2E668F">
      <m:oMathPara>
        <m:oMath>
          <m:sSub>
            <m:sSubPr>
              <m:ctrlPr>
                <w:rPr>
                  <w:rFonts w:ascii="Cambria Math" w:hAnsi="Cambria Math"/>
                </w:rPr>
              </m:ctrlPr>
            </m:sSubPr>
            <m:e>
              <m:r>
                <m:rPr/>
                <w:rPr>
                  <w:rFonts w:ascii="Cambria Math" w:hAnsi="Cambria Math"/>
                </w:rPr>
                <m:t>q</m:t>
              </m:r>
              <m:ctrlPr>
                <w:rPr>
                  <w:rFonts w:ascii="Cambria Math" w:hAnsi="Cambria Math"/>
                </w:rPr>
              </m:ctrlPr>
            </m:e>
            <m:sub>
              <m:r>
                <m:rPr/>
                <w:rPr>
                  <w:rFonts w:ascii="Cambria Math" w:hAnsi="Cambria Math"/>
                </w:rPr>
                <m:t>t</m:t>
              </m:r>
              <m:ctrlPr>
                <w:rPr>
                  <w:rFonts w:ascii="Cambria Math" w:hAnsi="Cambria Math"/>
                </w:rPr>
              </m:ctrlPr>
            </m:sub>
          </m:sSub>
          <m:r>
            <m:rPr/>
            <w:rPr>
              <w:rFonts w:hint="default" w:ascii="Cambria Math" w:hAnsi="Cambria Math"/>
              <w:lang w:val="en-US" w:eastAsia="zh-CN"/>
            </w:rPr>
            <m:t xml:space="preserve"> </m:t>
          </m:r>
          <m:r>
            <m:rPr/>
            <w:rPr>
              <w:rFonts w:ascii="Cambria Math" w:hAnsi="Cambria Math"/>
            </w:rPr>
            <m:t>=</m:t>
          </m:r>
          <m:r>
            <m:rPr/>
            <w:rPr>
              <w:rFonts w:hint="default" w:ascii="Cambria Math" w:hAnsi="Cambria Math"/>
              <w:lang w:val="en-US" w:eastAsia="zh-CN"/>
            </w:rPr>
            <m:t xml:space="preserve"> </m:t>
          </m:r>
          <m:f>
            <m:fPr>
              <m:ctrlPr>
                <w:rPr>
                  <w:rFonts w:ascii="Cambria Math" w:hAnsi="Cambria Math"/>
                </w:rPr>
              </m:ctrlPr>
            </m:fPr>
            <m:num>
              <m:r>
                <m:rPr/>
                <w:rPr>
                  <w:rFonts w:ascii="Cambria Math" w:hAnsi="Cambria Math"/>
                </w:rPr>
                <m:t>1</m:t>
              </m:r>
              <m:ctrlPr>
                <w:rPr>
                  <w:rFonts w:ascii="Cambria Math" w:hAnsi="Cambria Math"/>
                </w:rPr>
              </m:ctrlPr>
            </m:num>
            <m:den>
              <m:r>
                <m:rPr/>
                <w:rPr>
                  <w:rFonts w:ascii="Cambria Math" w:hAnsi="Cambria Math"/>
                </w:rPr>
                <m:t>β</m:t>
              </m:r>
              <m:ctrlPr>
                <w:rPr>
                  <w:rFonts w:ascii="Cambria Math" w:hAnsi="Cambria Math"/>
                </w:rPr>
              </m:ctrlPr>
            </m:den>
          </m:f>
          <m:r>
            <m:rPr>
              <m:sty m:val="p"/>
            </m:rPr>
            <w:rPr>
              <w:rFonts w:ascii="Cambria Math" w:hAnsi="Cambria Math"/>
            </w:rPr>
            <m:t>ln</m:t>
          </m:r>
          <m:r>
            <m:rPr/>
            <w:rPr>
              <w:rFonts w:ascii="Cambria Math" w:hAnsi="Cambria Math"/>
            </w:rPr>
            <m:t>⁡(αβ)</m:t>
          </m:r>
          <m:r>
            <m:rPr/>
            <w:rPr>
              <w:rFonts w:hint="default" w:ascii="Cambria Math" w:hAnsi="Cambria Math"/>
              <w:lang w:val="en-US" w:eastAsia="zh-CN"/>
            </w:rPr>
            <m:t xml:space="preserve"> </m:t>
          </m:r>
          <m:r>
            <m:rPr/>
            <w:rPr>
              <w:rFonts w:ascii="Cambria Math" w:hAnsi="Cambria Math"/>
            </w:rPr>
            <m:t>+</m:t>
          </m:r>
          <m:r>
            <m:rPr/>
            <w:rPr>
              <w:rFonts w:hint="default" w:ascii="Cambria Math" w:hAnsi="Cambria Math"/>
              <w:lang w:val="en-US" w:eastAsia="zh-CN"/>
            </w:rPr>
            <m:t xml:space="preserve"> </m:t>
          </m:r>
          <m:f>
            <m:fPr>
              <m:ctrlPr>
                <w:rPr>
                  <w:rFonts w:ascii="Cambria Math" w:hAnsi="Cambria Math"/>
                </w:rPr>
              </m:ctrlPr>
            </m:fPr>
            <m:num>
              <m:r>
                <m:rPr/>
                <w:rPr>
                  <w:rFonts w:ascii="Cambria Math" w:hAnsi="Cambria Math"/>
                </w:rPr>
                <m:t>1</m:t>
              </m:r>
              <m:ctrlPr>
                <w:rPr>
                  <w:rFonts w:ascii="Cambria Math" w:hAnsi="Cambria Math"/>
                </w:rPr>
              </m:ctrlPr>
            </m:num>
            <m:den>
              <m:r>
                <m:rPr/>
                <w:rPr>
                  <w:rFonts w:ascii="Cambria Math" w:hAnsi="Cambria Math"/>
                </w:rPr>
                <m:t>β</m:t>
              </m:r>
              <m:ctrlPr>
                <w:rPr>
                  <w:rFonts w:ascii="Cambria Math" w:hAnsi="Cambria Math"/>
                </w:rPr>
              </m:ctrlPr>
            </m:den>
          </m:f>
          <m:r>
            <m:rPr>
              <m:sty m:val="p"/>
            </m:rPr>
            <w:rPr>
              <w:rFonts w:ascii="Cambria Math" w:hAnsi="Cambria Math"/>
            </w:rPr>
            <m:t>ln</m:t>
          </m:r>
          <m:r>
            <m:rPr/>
            <w:rPr>
              <w:rFonts w:ascii="Cambria Math" w:hAnsi="Cambria Math"/>
            </w:rPr>
            <m:t>⁡t</m:t>
          </m:r>
        </m:oMath>
      </m:oMathPara>
    </w:p>
    <w:p w14:paraId="3D221408">
      <w:pPr>
        <w:ind w:firstLine="420"/>
      </w:pPr>
      <w:r>
        <w:rPr>
          <w:rFonts w:hint="eastAsia"/>
        </w:rPr>
        <w:t xml:space="preserve">(4) </w:t>
      </w:r>
      <w:r>
        <w:t>Johnson–Mehl–Avrami–Kolmogorov (JMAK) model</w:t>
      </w:r>
    </w:p>
    <w:p w14:paraId="0559F0AC">
      <m:oMathPara>
        <m:oMath>
          <m:r>
            <m:rPr>
              <m:sty m:val="p"/>
            </m:rPr>
            <w:rPr>
              <w:rFonts w:ascii="Cambria Math" w:hAnsi="Cambria Math"/>
            </w:rPr>
            <m:t>ln</m:t>
          </m:r>
          <m:r>
            <m:rPr/>
            <w:rPr>
              <w:rFonts w:ascii="Cambria Math" w:hAnsi="Cambria Math"/>
            </w:rPr>
            <m:t>⁡[−</m:t>
          </m:r>
          <m:r>
            <m:rPr>
              <m:sty m:val="p"/>
            </m:rPr>
            <w:rPr>
              <w:rFonts w:ascii="Cambria Math" w:hAnsi="Cambria Math"/>
            </w:rPr>
            <m:t>ln</m:t>
          </m:r>
          <m:r>
            <m:rPr/>
            <w:rPr>
              <w:rFonts w:ascii="Cambria Math" w:hAnsi="Cambria Math"/>
            </w:rPr>
            <m:t>⁡(1</m:t>
          </m:r>
          <m:r>
            <m:rPr/>
            <w:rPr>
              <w:rFonts w:hint="default" w:ascii="Cambria Math" w:hAnsi="Cambria Math"/>
              <w:lang w:val="en-US" w:eastAsia="zh-CN"/>
            </w:rPr>
            <m:t xml:space="preserve"> </m:t>
          </m:r>
          <m:r>
            <m:rPr/>
            <w:rPr>
              <w:rFonts w:ascii="Cambria Math" w:hAnsi="Cambria Math"/>
            </w:rPr>
            <m:t>−</m:t>
          </m:r>
          <m:r>
            <m:rPr/>
            <w:rPr>
              <w:rFonts w:hint="default" w:ascii="Cambria Math" w:hAnsi="Cambria Math"/>
              <w:lang w:val="en-US" w:eastAsia="zh-CN"/>
            </w:rPr>
            <m:t xml:space="preserve"> </m:t>
          </m:r>
          <m:r>
            <m:rPr/>
            <w:rPr>
              <w:rFonts w:ascii="Cambria Math" w:hAnsi="Cambria Math"/>
            </w:rPr>
            <m:t>α)]</m:t>
          </m:r>
          <m:r>
            <m:rPr/>
            <w:rPr>
              <w:rFonts w:hint="default" w:ascii="Cambria Math" w:hAnsi="Cambria Math"/>
              <w:lang w:val="en-US" w:eastAsia="zh-CN"/>
            </w:rPr>
            <m:t xml:space="preserve"> </m:t>
          </m:r>
          <m:r>
            <m:rPr/>
            <w:rPr>
              <w:rFonts w:ascii="Cambria Math" w:hAnsi="Cambria Math"/>
            </w:rPr>
            <m:t>=</m:t>
          </m:r>
          <m:r>
            <m:rPr/>
            <w:rPr>
              <w:rFonts w:hint="default" w:ascii="Cambria Math" w:hAnsi="Cambria Math"/>
              <w:lang w:val="en-US" w:eastAsia="zh-CN"/>
            </w:rPr>
            <m:t xml:space="preserve"> </m:t>
          </m:r>
          <m:r>
            <m:rPr/>
            <w:rPr>
              <w:rFonts w:ascii="Cambria Math" w:hAnsi="Cambria Math"/>
            </w:rPr>
            <m:t>n</m:t>
          </m:r>
          <m:r>
            <m:rPr>
              <m:sty m:val="p"/>
            </m:rPr>
            <w:rPr>
              <w:rFonts w:ascii="Cambria Math" w:hAnsi="Cambria Math"/>
            </w:rPr>
            <m:t>ln</m:t>
          </m:r>
          <m:r>
            <m:rPr/>
            <w:rPr>
              <w:rFonts w:ascii="Cambria Math" w:hAnsi="Cambria Math"/>
            </w:rPr>
            <m:t>⁡t</m:t>
          </m:r>
          <m:r>
            <m:rPr/>
            <w:rPr>
              <w:rFonts w:hint="default" w:ascii="Cambria Math" w:hAnsi="Cambria Math"/>
              <w:lang w:val="en-US" w:eastAsia="zh-CN"/>
            </w:rPr>
            <m:t xml:space="preserve"> </m:t>
          </m:r>
          <m:r>
            <m:rPr/>
            <w:rPr>
              <w:rFonts w:ascii="Cambria Math" w:hAnsi="Cambria Math"/>
            </w:rPr>
            <m:t>+</m:t>
          </m:r>
          <m:r>
            <m:rPr/>
            <w:rPr>
              <w:rFonts w:hint="default" w:ascii="Cambria Math" w:hAnsi="Cambria Math"/>
              <w:lang w:val="en-US" w:eastAsia="zh-CN"/>
            </w:rPr>
            <m:t xml:space="preserve"> </m:t>
          </m:r>
          <m:r>
            <m:rPr>
              <m:sty m:val="p"/>
            </m:rPr>
            <w:rPr>
              <w:rFonts w:ascii="Cambria Math" w:hAnsi="Cambria Math"/>
            </w:rPr>
            <m:t>ln</m:t>
          </m:r>
          <m:r>
            <m:rPr/>
            <w:rPr>
              <w:rFonts w:ascii="Cambria Math" w:hAnsi="Cambria Math"/>
            </w:rPr>
            <m:t>⁡k</m:t>
          </m:r>
        </m:oMath>
      </m:oMathPara>
    </w:p>
    <w:p w14:paraId="2F386CAC">
      <w:pPr>
        <w:ind w:firstLine="420"/>
      </w:pPr>
      <w:r>
        <w:rPr>
          <w:rFonts w:hint="eastAsia"/>
        </w:rPr>
        <w:t xml:space="preserve">(5) </w:t>
      </w:r>
      <w:r>
        <w:t>Weber–Morris (intraparticle diffusion) model</w:t>
      </w:r>
    </w:p>
    <w:p w14:paraId="31AA4FB0">
      <m:oMathPara>
        <m:oMath>
          <m:sSub>
            <m:sSubPr>
              <m:ctrlPr>
                <w:rPr>
                  <w:rFonts w:ascii="Cambria Math" w:hAnsi="Cambria Math"/>
                </w:rPr>
              </m:ctrlPr>
            </m:sSubPr>
            <m:e>
              <m:r>
                <m:rPr/>
                <w:rPr>
                  <w:rFonts w:ascii="Cambria Math" w:hAnsi="Cambria Math"/>
                </w:rPr>
                <m:t>q</m:t>
              </m:r>
              <m:ctrlPr>
                <w:rPr>
                  <w:rFonts w:ascii="Cambria Math" w:hAnsi="Cambria Math"/>
                </w:rPr>
              </m:ctrlPr>
            </m:e>
            <m:sub>
              <m:r>
                <m:rPr/>
                <w:rPr>
                  <w:rFonts w:ascii="Cambria Math" w:hAnsi="Cambria Math"/>
                </w:rPr>
                <m:t>t</m:t>
              </m:r>
              <m:ctrlPr>
                <w:rPr>
                  <w:rFonts w:ascii="Cambria Math" w:hAnsi="Cambria Math"/>
                </w:rPr>
              </m:ctrlPr>
            </m:sub>
          </m:sSub>
          <m:r>
            <m:rPr/>
            <w:rPr>
              <w:rFonts w:hint="default" w:ascii="Cambria Math" w:hAnsi="Cambria Math"/>
              <w:lang w:val="en-US" w:eastAsia="zh-CN"/>
            </w:rPr>
            <m:t xml:space="preserve"> </m:t>
          </m:r>
          <m:r>
            <m:rPr/>
            <w:rPr>
              <w:rFonts w:ascii="Cambria Math" w:hAnsi="Cambria Math"/>
            </w:rPr>
            <m:t>=</m:t>
          </m:r>
          <m:r>
            <m:rPr/>
            <w:rPr>
              <w:rFonts w:hint="default" w:ascii="Cambria Math" w:hAnsi="Cambria Math"/>
              <w:lang w:val="en-US" w:eastAsia="zh-CN"/>
            </w:rPr>
            <m:t xml:space="preserve"> </m:t>
          </m:r>
          <m:sSub>
            <m:sSubPr>
              <m:ctrlPr>
                <w:rPr>
                  <w:rFonts w:ascii="Cambria Math" w:hAnsi="Cambria Math"/>
                </w:rPr>
              </m:ctrlPr>
            </m:sSubPr>
            <m:e>
              <m:r>
                <m:rPr/>
                <w:rPr>
                  <w:rFonts w:ascii="Cambria Math" w:hAnsi="Cambria Math"/>
                </w:rPr>
                <m:t>k</m:t>
              </m:r>
              <m:ctrlPr>
                <w:rPr>
                  <w:rFonts w:ascii="Cambria Math" w:hAnsi="Cambria Math"/>
                </w:rPr>
              </m:ctrlPr>
            </m:e>
            <m:sub>
              <m:r>
                <m:rPr/>
                <w:rPr>
                  <w:rFonts w:ascii="Cambria Math" w:hAnsi="Cambria Math"/>
                </w:rPr>
                <m:t>d</m:t>
              </m:r>
              <m:ctrlPr>
                <w:rPr>
                  <w:rFonts w:ascii="Cambria Math" w:hAnsi="Cambria Math"/>
                </w:rPr>
              </m:ctrlPr>
            </m:sub>
          </m:sSub>
          <m:sSup>
            <m:sSupPr>
              <m:ctrlPr>
                <w:rPr>
                  <w:rFonts w:ascii="Cambria Math" w:hAnsi="Cambria Math"/>
                </w:rPr>
              </m:ctrlPr>
            </m:sSupPr>
            <m:e>
              <m:r>
                <m:rPr/>
                <w:rPr>
                  <w:rFonts w:ascii="Cambria Math" w:hAnsi="Cambria Math"/>
                </w:rPr>
                <m:t>t</m:t>
              </m:r>
              <m:ctrlPr>
                <w:rPr>
                  <w:rFonts w:ascii="Cambria Math" w:hAnsi="Cambria Math"/>
                </w:rPr>
              </m:ctrlPr>
            </m:e>
            <m:sup>
              <m:r>
                <m:rPr/>
                <w:rPr>
                  <w:rFonts w:ascii="Cambria Math" w:hAnsi="Cambria Math"/>
                </w:rPr>
                <m:t>1/2</m:t>
              </m:r>
              <m:ctrlPr>
                <w:rPr>
                  <w:rFonts w:ascii="Cambria Math" w:hAnsi="Cambria Math"/>
                </w:rPr>
              </m:ctrlPr>
            </m:sup>
          </m:sSup>
          <m:r>
            <m:rPr/>
            <w:rPr>
              <w:rFonts w:hint="default" w:ascii="Cambria Math" w:hAnsi="Cambria Math"/>
              <w:lang w:val="en-US" w:eastAsia="zh-CN"/>
            </w:rPr>
            <m:t xml:space="preserve"> </m:t>
          </m:r>
          <m:r>
            <m:rPr/>
            <w:rPr>
              <w:rFonts w:ascii="Cambria Math" w:hAnsi="Cambria Math"/>
            </w:rPr>
            <m:t>+</m:t>
          </m:r>
          <m:r>
            <m:rPr/>
            <w:rPr>
              <w:rFonts w:hint="default" w:ascii="Cambria Math" w:hAnsi="Cambria Math"/>
              <w:lang w:val="en-US" w:eastAsia="zh-CN"/>
            </w:rPr>
            <m:t xml:space="preserve"> </m:t>
          </m:r>
          <m:r>
            <m:rPr/>
            <w:rPr>
              <w:rFonts w:ascii="Cambria Math" w:hAnsi="Cambria Math"/>
            </w:rPr>
            <m:t>C</m:t>
          </m:r>
        </m:oMath>
      </m:oMathPara>
    </w:p>
    <w:p w14:paraId="0D45AAA1">
      <w:pPr>
        <w:ind w:firstLine="420"/>
      </w:pPr>
      <w:r>
        <w:t xml:space="preserve">where </w:t>
      </w:r>
      <m:oMath>
        <m:sSub>
          <m:sSubPr>
            <m:ctrlPr>
              <w:rPr>
                <w:rFonts w:ascii="Cambria Math" w:hAnsi="Cambria Math"/>
              </w:rPr>
            </m:ctrlPr>
          </m:sSubPr>
          <m:e>
            <m:r>
              <m:rPr/>
              <w:rPr>
                <w:rFonts w:ascii="Cambria Math" w:hAnsi="Cambria Math"/>
              </w:rPr>
              <m:t>q</m:t>
            </m:r>
            <m:ctrlPr>
              <w:rPr>
                <w:rFonts w:ascii="Cambria Math" w:hAnsi="Cambria Math"/>
              </w:rPr>
            </m:ctrlPr>
          </m:e>
          <m:sub>
            <m:r>
              <m:rPr/>
              <w:rPr>
                <w:rFonts w:ascii="Cambria Math" w:hAnsi="Cambria Math"/>
              </w:rPr>
              <m:t>t</m:t>
            </m:r>
            <m:ctrlPr>
              <w:rPr>
                <w:rFonts w:ascii="Cambria Math" w:hAnsi="Cambria Math"/>
              </w:rPr>
            </m:ctrlPr>
          </m:sub>
        </m:sSub>
      </m:oMath>
      <w:r>
        <w:t xml:space="preserve">and </w:t>
      </w:r>
      <m:oMath>
        <m:sSub>
          <m:sSubPr>
            <m:ctrlPr>
              <w:rPr>
                <w:rFonts w:ascii="Cambria Math" w:hAnsi="Cambria Math"/>
              </w:rPr>
            </m:ctrlPr>
          </m:sSubPr>
          <m:e>
            <m:r>
              <m:rPr/>
              <w:rPr>
                <w:rFonts w:ascii="Cambria Math" w:hAnsi="Cambria Math"/>
              </w:rPr>
              <m:t>q</m:t>
            </m:r>
            <m:ctrlPr>
              <w:rPr>
                <w:rFonts w:ascii="Cambria Math" w:hAnsi="Cambria Math"/>
              </w:rPr>
            </m:ctrlPr>
          </m:e>
          <m:sub>
            <m:r>
              <m:rPr/>
              <w:rPr>
                <w:rFonts w:ascii="Cambria Math" w:hAnsi="Cambria Math"/>
              </w:rPr>
              <m:t>e</m:t>
            </m:r>
            <m:ctrlPr>
              <w:rPr>
                <w:rFonts w:ascii="Cambria Math" w:hAnsi="Cambria Math"/>
              </w:rPr>
            </m:ctrlPr>
          </m:sub>
        </m:sSub>
      </m:oMath>
      <w:r>
        <w:t xml:space="preserve">are the hydrogen uptake amounts at time </w:t>
      </w:r>
      <m:oMath>
        <m:r>
          <m:rPr/>
          <w:rPr>
            <w:rFonts w:ascii="Cambria Math" w:hAnsi="Cambria Math"/>
          </w:rPr>
          <m:t>t</m:t>
        </m:r>
      </m:oMath>
      <w:r>
        <w:t xml:space="preserve">and equilibrium, respectively; </w:t>
      </w:r>
      <m:oMath>
        <m:sSub>
          <m:sSubPr>
            <m:ctrlPr>
              <w:rPr>
                <w:rFonts w:ascii="Cambria Math" w:hAnsi="Cambria Math"/>
              </w:rPr>
            </m:ctrlPr>
          </m:sSubPr>
          <m:e>
            <m:r>
              <m:rPr/>
              <w:rPr>
                <w:rFonts w:ascii="Cambria Math" w:hAnsi="Cambria Math"/>
              </w:rPr>
              <m:t>k</m:t>
            </m:r>
            <m:ctrlPr>
              <w:rPr>
                <w:rFonts w:ascii="Cambria Math" w:hAnsi="Cambria Math"/>
              </w:rPr>
            </m:ctrlPr>
          </m:e>
          <m:sub>
            <m:r>
              <m:rPr/>
              <w:rPr>
                <w:rFonts w:ascii="Cambria Math" w:hAnsi="Cambria Math"/>
              </w:rPr>
              <m:t>1</m:t>
            </m:r>
            <m:ctrlPr>
              <w:rPr>
                <w:rFonts w:ascii="Cambria Math" w:hAnsi="Cambria Math"/>
              </w:rPr>
            </m:ctrlPr>
          </m:sub>
        </m:sSub>
      </m:oMath>
      <w:r>
        <w:t xml:space="preserve">, </w:t>
      </w:r>
      <m:oMath>
        <m:sSub>
          <m:sSubPr>
            <m:ctrlPr>
              <w:rPr>
                <w:rFonts w:ascii="Cambria Math" w:hAnsi="Cambria Math"/>
              </w:rPr>
            </m:ctrlPr>
          </m:sSubPr>
          <m:e>
            <m:r>
              <m:rPr/>
              <w:rPr>
                <w:rFonts w:ascii="Cambria Math" w:hAnsi="Cambria Math"/>
              </w:rPr>
              <m:t>k</m:t>
            </m:r>
            <m:ctrlPr>
              <w:rPr>
                <w:rFonts w:ascii="Cambria Math" w:hAnsi="Cambria Math"/>
              </w:rPr>
            </m:ctrlPr>
          </m:e>
          <m:sub>
            <m:r>
              <m:rPr/>
              <w:rPr>
                <w:rFonts w:ascii="Cambria Math" w:hAnsi="Cambria Math"/>
              </w:rPr>
              <m:t>2</m:t>
            </m:r>
            <m:ctrlPr>
              <w:rPr>
                <w:rFonts w:ascii="Cambria Math" w:hAnsi="Cambria Math"/>
              </w:rPr>
            </m:ctrlPr>
          </m:sub>
        </m:sSub>
      </m:oMath>
      <w:r>
        <w:t xml:space="preserve">, </w:t>
      </w:r>
      <m:oMath>
        <m:r>
          <m:rPr/>
          <w:rPr>
            <w:rFonts w:ascii="Cambria Math" w:hAnsi="Cambria Math"/>
          </w:rPr>
          <m:t>k</m:t>
        </m:r>
      </m:oMath>
      <w:r>
        <w:t xml:space="preserve">, and </w:t>
      </w:r>
      <m:oMath>
        <m:sSub>
          <m:sSubPr>
            <m:ctrlPr>
              <w:rPr>
                <w:rFonts w:ascii="Cambria Math" w:hAnsi="Cambria Math"/>
              </w:rPr>
            </m:ctrlPr>
          </m:sSubPr>
          <m:e>
            <m:r>
              <m:rPr/>
              <w:rPr>
                <w:rFonts w:ascii="Cambria Math" w:hAnsi="Cambria Math"/>
              </w:rPr>
              <m:t>k</m:t>
            </m:r>
            <m:ctrlPr>
              <w:rPr>
                <w:rFonts w:ascii="Cambria Math" w:hAnsi="Cambria Math"/>
              </w:rPr>
            </m:ctrlPr>
          </m:e>
          <m:sub>
            <m:r>
              <m:rPr>
                <m:sty m:val="p"/>
              </m:rPr>
              <w:rPr>
                <w:rFonts w:hint="default" w:ascii="Cambria Math" w:hAnsi="Cambria Math"/>
              </w:rPr>
              <m:t>d</m:t>
            </m:r>
            <m:ctrlPr>
              <w:rPr>
                <w:rFonts w:ascii="Cambria Math" w:hAnsi="Cambria Math"/>
              </w:rPr>
            </m:ctrlPr>
          </m:sub>
        </m:sSub>
      </m:oMath>
      <w:r>
        <w:t xml:space="preserve">are rate constants; </w:t>
      </w:r>
      <m:oMath>
        <m:r>
          <m:rPr/>
          <w:rPr>
            <w:rFonts w:ascii="Cambria Math" w:hAnsi="Cambria Math"/>
          </w:rPr>
          <m:t>α</m:t>
        </m:r>
      </m:oMath>
      <w:r>
        <w:t xml:space="preserve">is the fractional uptake; </w:t>
      </w:r>
      <m:oMath>
        <m:r>
          <m:rPr/>
          <w:rPr>
            <w:rFonts w:ascii="Cambria Math" w:hAnsi="Cambria Math"/>
          </w:rPr>
          <m:t>n</m:t>
        </m:r>
        <m:r>
          <m:rPr/>
          <w:rPr>
            <w:rFonts w:hint="default" w:ascii="Cambria Math" w:hAnsi="Cambria Math"/>
            <w:lang w:val="en-US" w:eastAsia="zh-CN"/>
          </w:rPr>
          <m:t xml:space="preserve"> </m:t>
        </m:r>
      </m:oMath>
      <w:r>
        <w:t xml:space="preserve">is the Avrami exponent; and </w:t>
      </w:r>
      <m:oMath>
        <m:r>
          <m:rPr/>
          <w:rPr>
            <w:rFonts w:ascii="Cambria Math" w:hAnsi="Cambria Math"/>
          </w:rPr>
          <m:t>α</m:t>
        </m:r>
      </m:oMath>
      <w:r>
        <w:t xml:space="preserve">, </w:t>
      </w:r>
      <m:oMath>
        <m:r>
          <m:rPr/>
          <w:rPr>
            <w:rFonts w:ascii="Cambria Math" w:hAnsi="Cambria Math"/>
          </w:rPr>
          <m:t>β</m:t>
        </m:r>
        <m:r>
          <m:rPr/>
          <w:rPr>
            <w:rFonts w:hint="default" w:ascii="Cambria Math" w:hAnsi="Cambria Math"/>
            <w:lang w:val="en-US" w:eastAsia="zh-CN"/>
          </w:rPr>
          <m:t xml:space="preserve"> </m:t>
        </m:r>
      </m:oMath>
      <w:r>
        <w:t xml:space="preserve">(in Elovich model) are constants related to adsorption rate and activation energy. </w:t>
      </w:r>
      <m:oMath>
        <m:r>
          <m:rPr/>
          <w:rPr>
            <w:rFonts w:ascii="Cambria Math" w:hAnsi="Cambria Math"/>
          </w:rPr>
          <m:t>C</m:t>
        </m:r>
        <m:r>
          <m:rPr/>
          <w:rPr>
            <w:rFonts w:hint="default" w:ascii="Cambria Math" w:hAnsi="Cambria Math"/>
            <w:lang w:val="en-US" w:eastAsia="zh-CN"/>
          </w:rPr>
          <m:t xml:space="preserve"> </m:t>
        </m:r>
      </m:oMath>
      <w:r>
        <w:t>reflects the boundary layer effect.</w:t>
      </w:r>
    </w:p>
    <w:p w14:paraId="70627083">
      <w:pPr>
        <w:pStyle w:val="17"/>
      </w:pPr>
      <w:r>
        <w:drawing>
          <wp:inline distT="0" distB="0" distL="0" distR="0">
            <wp:extent cx="5198745" cy="4961255"/>
            <wp:effectExtent l="0" t="0" r="1905" b="0"/>
            <wp:docPr id="131868008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680088" name="图片 1"/>
                    <pic:cNvPicPr>
                      <a:picLocks noChangeAspect="1" noChangeArrowheads="1"/>
                    </pic:cNvPicPr>
                  </pic:nvPicPr>
                  <pic:blipFill>
                    <a:blip r:embed="rId7" cstate="hqprint"/>
                    <a:srcRect/>
                    <a:stretch>
                      <a:fillRect/>
                    </a:stretch>
                  </pic:blipFill>
                  <pic:spPr>
                    <a:xfrm>
                      <a:off x="0" y="0"/>
                      <a:ext cx="5211464" cy="4972913"/>
                    </a:xfrm>
                    <a:prstGeom prst="rect">
                      <a:avLst/>
                    </a:prstGeom>
                    <a:noFill/>
                    <a:ln>
                      <a:noFill/>
                    </a:ln>
                  </pic:spPr>
                </pic:pic>
              </a:graphicData>
            </a:graphic>
          </wp:inline>
        </w:drawing>
      </w:r>
    </w:p>
    <w:p w14:paraId="21A2AE56">
      <w:pPr>
        <w:pStyle w:val="5"/>
      </w:pPr>
      <w:r>
        <w:rPr>
          <w:b/>
          <w:bCs/>
        </w:rPr>
        <w:t xml:space="preserve">Fig. </w:t>
      </w:r>
      <w:r>
        <w:rPr>
          <w:rFonts w:hint="eastAsia"/>
          <w:b/>
          <w:bCs/>
        </w:rPr>
        <w:t>S</w:t>
      </w:r>
      <w:r>
        <w:rPr>
          <w:b/>
          <w:bCs/>
        </w:rPr>
        <w:fldChar w:fldCharType="begin"/>
      </w:r>
      <w:r>
        <w:rPr>
          <w:b/>
          <w:bCs/>
        </w:rPr>
        <w:instrText xml:space="preserve"> SEQ Fig. \* ARABIC </w:instrText>
      </w:r>
      <w:r>
        <w:rPr>
          <w:b/>
          <w:bCs/>
        </w:rPr>
        <w:fldChar w:fldCharType="separate"/>
      </w:r>
      <w:r>
        <w:rPr>
          <w:b/>
          <w:bCs/>
        </w:rPr>
        <w:t>2</w:t>
      </w:r>
      <w:r>
        <w:rPr>
          <w:b/>
          <w:bCs/>
        </w:rPr>
        <w:fldChar w:fldCharType="end"/>
      </w:r>
      <w:r>
        <w:rPr>
          <w:rFonts w:hint="eastAsia"/>
        </w:rPr>
        <w:t xml:space="preserve"> </w:t>
      </w:r>
      <w:r>
        <w:t xml:space="preserve">Fitting results of the hydrogen </w:t>
      </w:r>
      <w:r>
        <w:rPr>
          <w:rFonts w:hint="eastAsia"/>
        </w:rPr>
        <w:t>uptake</w:t>
      </w:r>
      <w:r>
        <w:t xml:space="preserve"> kinetic data at 673 K and 5 MPa using different kinetic models: (a) pseudo-first-order (PFO) model; (b) pseudo-second-order (PSO) model; (c) Elovich model; (d) Johnson–Mehl–Avrami–Kolmogorov (JMAK) model.</w:t>
      </w:r>
    </w:p>
    <w:p w14:paraId="27F1220B">
      <w:pPr>
        <w:widowControl/>
        <w:spacing w:line="240" w:lineRule="auto"/>
        <w:jc w:val="left"/>
      </w:pPr>
      <w:r>
        <w:br w:type="page"/>
      </w:r>
    </w:p>
    <w:p w14:paraId="174DBA71">
      <w:pPr>
        <w:pStyle w:val="2"/>
      </w:pPr>
      <w:r>
        <w:t>Supplementary SEM Images of 8YSZ After Different Treatments</w:t>
      </w:r>
    </w:p>
    <w:p w14:paraId="557F6682">
      <w:pPr>
        <w:pStyle w:val="17"/>
      </w:pPr>
      <w:r>
        <w:drawing>
          <wp:inline distT="0" distB="0" distL="0" distR="0">
            <wp:extent cx="4319905" cy="5948045"/>
            <wp:effectExtent l="0" t="0" r="4445" b="0"/>
            <wp:docPr id="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pic:cNvPicPr>
                      <a:picLocks noChangeAspect="1"/>
                    </pic:cNvPicPr>
                  </pic:nvPicPr>
                  <pic:blipFill>
                    <a:blip r:embed="rId8" cstate="print"/>
                    <a:stretch>
                      <a:fillRect/>
                    </a:stretch>
                  </pic:blipFill>
                  <pic:spPr>
                    <a:xfrm>
                      <a:off x="0" y="0"/>
                      <a:ext cx="4320000" cy="5948172"/>
                    </a:xfrm>
                    <a:prstGeom prst="rect">
                      <a:avLst/>
                    </a:prstGeom>
                  </pic:spPr>
                </pic:pic>
              </a:graphicData>
            </a:graphic>
          </wp:inline>
        </w:drawing>
      </w:r>
    </w:p>
    <w:p w14:paraId="138C7DD1">
      <w:pPr>
        <w:pStyle w:val="5"/>
      </w:pPr>
      <w:r>
        <w:rPr>
          <w:b/>
          <w:bCs/>
        </w:rPr>
        <w:t xml:space="preserve">Fig. </w:t>
      </w:r>
      <w:r>
        <w:rPr>
          <w:rFonts w:hint="eastAsia"/>
          <w:b/>
          <w:bCs/>
        </w:rPr>
        <w:t>S</w:t>
      </w:r>
      <w:r>
        <w:rPr>
          <w:b/>
          <w:bCs/>
        </w:rPr>
        <w:fldChar w:fldCharType="begin"/>
      </w:r>
      <w:r>
        <w:rPr>
          <w:b/>
          <w:bCs/>
        </w:rPr>
        <w:instrText xml:space="preserve"> SEQ Fig. \* ARABIC </w:instrText>
      </w:r>
      <w:r>
        <w:rPr>
          <w:b/>
          <w:bCs/>
        </w:rPr>
        <w:fldChar w:fldCharType="separate"/>
      </w:r>
      <w:r>
        <w:rPr>
          <w:b/>
          <w:bCs/>
        </w:rPr>
        <w:t>3</w:t>
      </w:r>
      <w:r>
        <w:rPr>
          <w:b/>
          <w:bCs/>
        </w:rPr>
        <w:fldChar w:fldCharType="end"/>
      </w:r>
      <w:r>
        <w:rPr>
          <w:rFonts w:hint="eastAsia"/>
        </w:rPr>
        <w:t xml:space="preserve"> </w:t>
      </w:r>
      <w:r>
        <w:t>SEM images of the surface morphological evolution of 8YSZ powders under different treatment conditions: Untreated, H/Ar-48, and H-48.</w:t>
      </w:r>
    </w:p>
    <w:p w14:paraId="023B8265">
      <w:pPr>
        <w:widowControl/>
        <w:spacing w:line="240" w:lineRule="auto"/>
        <w:jc w:val="left"/>
      </w:pPr>
      <w:r>
        <w:br w:type="page"/>
      </w:r>
    </w:p>
    <w:p w14:paraId="523FCF53">
      <w:pPr>
        <w:pStyle w:val="17"/>
      </w:pPr>
      <w:r>
        <w:drawing>
          <wp:inline distT="0" distB="0" distL="0" distR="0">
            <wp:extent cx="4319905" cy="5948045"/>
            <wp:effectExtent l="0" t="0" r="4445" b="0"/>
            <wp:docPr id="1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pic:cNvPicPr>
                      <a:picLocks noChangeAspect="1"/>
                    </pic:cNvPicPr>
                  </pic:nvPicPr>
                  <pic:blipFill>
                    <a:blip r:embed="rId9" cstate="print"/>
                    <a:stretch>
                      <a:fillRect/>
                    </a:stretch>
                  </pic:blipFill>
                  <pic:spPr>
                    <a:xfrm>
                      <a:off x="0" y="0"/>
                      <a:ext cx="4320000" cy="5948172"/>
                    </a:xfrm>
                    <a:prstGeom prst="rect">
                      <a:avLst/>
                    </a:prstGeom>
                  </pic:spPr>
                </pic:pic>
              </a:graphicData>
            </a:graphic>
          </wp:inline>
        </w:drawing>
      </w:r>
    </w:p>
    <w:p w14:paraId="3FCBD81B">
      <w:pPr>
        <w:pStyle w:val="5"/>
      </w:pPr>
      <w:bookmarkStart w:id="3" w:name="OLE_LINK4"/>
      <w:r>
        <w:rPr>
          <w:b/>
          <w:bCs/>
        </w:rPr>
        <w:t xml:space="preserve">Fig. </w:t>
      </w:r>
      <w:r>
        <w:rPr>
          <w:rFonts w:hint="eastAsia"/>
          <w:b/>
          <w:bCs/>
        </w:rPr>
        <w:t>S</w:t>
      </w:r>
      <w:r>
        <w:rPr>
          <w:b/>
          <w:bCs/>
        </w:rPr>
        <w:fldChar w:fldCharType="begin"/>
      </w:r>
      <w:r>
        <w:rPr>
          <w:b/>
          <w:bCs/>
        </w:rPr>
        <w:instrText xml:space="preserve"> SEQ Fig. \* ARABIC </w:instrText>
      </w:r>
      <w:r>
        <w:rPr>
          <w:b/>
          <w:bCs/>
        </w:rPr>
        <w:fldChar w:fldCharType="separate"/>
      </w:r>
      <w:r>
        <w:rPr>
          <w:b/>
          <w:bCs/>
        </w:rPr>
        <w:t>4</w:t>
      </w:r>
      <w:r>
        <w:rPr>
          <w:b/>
          <w:bCs/>
        </w:rPr>
        <w:fldChar w:fldCharType="end"/>
      </w:r>
      <w:r>
        <w:rPr>
          <w:rFonts w:hint="eastAsia"/>
        </w:rPr>
        <w:t xml:space="preserve"> </w:t>
      </w:r>
      <w:r>
        <w:t>SEM images of the surface morphological evolution of 8YSZ powders under different treatment conditions: H-96, H-192, and Air-192.</w:t>
      </w:r>
    </w:p>
    <w:bookmarkEnd w:id="3"/>
    <w:p w14:paraId="2A959C02">
      <w:pPr>
        <w:widowControl/>
        <w:spacing w:line="240" w:lineRule="auto"/>
        <w:jc w:val="left"/>
      </w:pPr>
      <w:r>
        <w:br w:type="page"/>
      </w:r>
    </w:p>
    <w:p w14:paraId="45E867A3">
      <w:pPr>
        <w:pStyle w:val="2"/>
      </w:pPr>
      <w:r>
        <w:t>XPS Fitting Results</w:t>
      </w:r>
    </w:p>
    <w:p w14:paraId="5B128D30">
      <w:pPr>
        <w:pStyle w:val="5"/>
      </w:pPr>
      <w:r>
        <w:rPr>
          <w:b/>
          <w:bCs/>
        </w:rPr>
        <w:t>Table S</w:t>
      </w:r>
      <w:r>
        <w:rPr>
          <w:b/>
          <w:bCs/>
        </w:rPr>
        <w:fldChar w:fldCharType="begin"/>
      </w:r>
      <w:r>
        <w:rPr>
          <w:b/>
          <w:bCs/>
        </w:rPr>
        <w:instrText xml:space="preserve"> SEQ Table_S \* ARABIC </w:instrText>
      </w:r>
      <w:r>
        <w:rPr>
          <w:b/>
          <w:bCs/>
        </w:rPr>
        <w:fldChar w:fldCharType="separate"/>
      </w:r>
      <w:r>
        <w:rPr>
          <w:b/>
          <w:bCs/>
        </w:rPr>
        <w:t>1</w:t>
      </w:r>
      <w:r>
        <w:rPr>
          <w:b/>
          <w:bCs/>
        </w:rPr>
        <w:fldChar w:fldCharType="end"/>
      </w:r>
      <w:r>
        <w:rPr>
          <w:rFonts w:hint="eastAsia"/>
        </w:rPr>
        <w:t xml:space="preserve">. </w:t>
      </w:r>
      <w:r>
        <w:t xml:space="preserve">Fitting parameters of </w:t>
      </w:r>
      <w:r>
        <w:rPr>
          <w:rFonts w:hint="eastAsia"/>
        </w:rPr>
        <w:t>O</w:t>
      </w:r>
      <w:r>
        <w:t xml:space="preserve"> </w:t>
      </w:r>
      <w:r>
        <w:rPr>
          <w:rFonts w:hint="eastAsia"/>
        </w:rPr>
        <w:t>1s</w:t>
      </w:r>
      <w:r>
        <w:t xml:space="preserve"> XPS spectra</w:t>
      </w:r>
      <w:r>
        <w:rPr>
          <w:rFonts w:hint="eastAsia"/>
        </w:rPr>
        <w:t>.</w:t>
      </w:r>
    </w:p>
    <w:tbl>
      <w:tblPr>
        <w:tblStyle w:val="12"/>
        <w:tblW w:w="5000" w:type="pct"/>
        <w:jc w:val="center"/>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201"/>
        <w:gridCol w:w="1329"/>
        <w:gridCol w:w="1142"/>
        <w:gridCol w:w="1519"/>
        <w:gridCol w:w="1331"/>
      </w:tblGrid>
      <w:tr w14:paraId="2660DFF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878" w:type="pct"/>
            <w:tcBorders>
              <w:top w:val="single" w:color="auto" w:sz="12" w:space="0"/>
              <w:bottom w:val="single" w:color="auto" w:sz="6" w:space="0"/>
            </w:tcBorders>
            <w:vAlign w:val="center"/>
          </w:tcPr>
          <w:p w14:paraId="71BF4B51">
            <w:pPr>
              <w:spacing w:line="240" w:lineRule="auto"/>
              <w:jc w:val="center"/>
              <w:rPr>
                <w:rFonts w:cs="Times New Roman"/>
                <w:szCs w:val="24"/>
              </w:rPr>
            </w:pPr>
            <w:r>
              <w:rPr>
                <w:rFonts w:cs="Times New Roman"/>
                <w:szCs w:val="24"/>
              </w:rPr>
              <w:t>Sample</w:t>
            </w:r>
          </w:p>
        </w:tc>
        <w:tc>
          <w:tcPr>
            <w:tcW w:w="780" w:type="pct"/>
            <w:tcBorders>
              <w:top w:val="single" w:color="auto" w:sz="12" w:space="0"/>
              <w:bottom w:val="single" w:color="auto" w:sz="6" w:space="0"/>
            </w:tcBorders>
            <w:vAlign w:val="center"/>
          </w:tcPr>
          <w:p w14:paraId="52B95D4F">
            <w:pPr>
              <w:spacing w:line="240" w:lineRule="auto"/>
              <w:jc w:val="center"/>
              <w:rPr>
                <w:rFonts w:cs="Times New Roman"/>
                <w:szCs w:val="24"/>
              </w:rPr>
            </w:pPr>
            <w:r>
              <w:rPr>
                <w:rFonts w:cs="Times New Roman"/>
                <w:szCs w:val="24"/>
              </w:rPr>
              <w:t>Species</w:t>
            </w:r>
          </w:p>
        </w:tc>
        <w:tc>
          <w:tcPr>
            <w:tcW w:w="670" w:type="pct"/>
            <w:tcBorders>
              <w:top w:val="single" w:color="auto" w:sz="12" w:space="0"/>
              <w:bottom w:val="single" w:color="auto" w:sz="6" w:space="0"/>
            </w:tcBorders>
            <w:vAlign w:val="center"/>
          </w:tcPr>
          <w:p w14:paraId="2C3D7558">
            <w:pPr>
              <w:spacing w:line="240" w:lineRule="auto"/>
              <w:jc w:val="center"/>
              <w:rPr>
                <w:rFonts w:cs="Times New Roman"/>
                <w:szCs w:val="24"/>
              </w:rPr>
            </w:pPr>
            <w:r>
              <w:rPr>
                <w:rFonts w:cs="Times New Roman"/>
                <w:szCs w:val="24"/>
              </w:rPr>
              <w:t>BE (eV)</w:t>
            </w:r>
          </w:p>
        </w:tc>
        <w:tc>
          <w:tcPr>
            <w:tcW w:w="891" w:type="pct"/>
            <w:tcBorders>
              <w:top w:val="single" w:color="auto" w:sz="12" w:space="0"/>
              <w:bottom w:val="single" w:color="auto" w:sz="6" w:space="0"/>
            </w:tcBorders>
            <w:vAlign w:val="center"/>
          </w:tcPr>
          <w:p w14:paraId="4CCB7C0C">
            <w:pPr>
              <w:spacing w:line="240" w:lineRule="auto"/>
              <w:jc w:val="center"/>
              <w:rPr>
                <w:rFonts w:cs="Times New Roman"/>
                <w:szCs w:val="24"/>
              </w:rPr>
            </w:pPr>
            <w:r>
              <w:rPr>
                <w:rFonts w:cs="Times New Roman"/>
                <w:szCs w:val="24"/>
              </w:rPr>
              <w:t>FWHM (eV)</w:t>
            </w:r>
          </w:p>
        </w:tc>
        <w:tc>
          <w:tcPr>
            <w:tcW w:w="781" w:type="pct"/>
            <w:tcBorders>
              <w:top w:val="single" w:color="auto" w:sz="12" w:space="0"/>
              <w:bottom w:val="single" w:color="auto" w:sz="6" w:space="0"/>
            </w:tcBorders>
          </w:tcPr>
          <w:p w14:paraId="3562B259">
            <w:pPr>
              <w:spacing w:line="240" w:lineRule="auto"/>
              <w:jc w:val="center"/>
              <w:rPr>
                <w:rFonts w:cs="Times New Roman"/>
                <w:szCs w:val="24"/>
              </w:rPr>
            </w:pPr>
            <w:r>
              <w:rPr>
                <w:rFonts w:cs="Times New Roman"/>
                <w:szCs w:val="24"/>
              </w:rPr>
              <w:t>Area ratio</w:t>
            </w:r>
          </w:p>
        </w:tc>
      </w:tr>
      <w:tr w14:paraId="113E82D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878" w:type="pct"/>
            <w:vMerge w:val="restart"/>
            <w:tcBorders>
              <w:top w:val="single" w:color="auto" w:sz="6" w:space="0"/>
              <w:bottom w:val="nil"/>
            </w:tcBorders>
            <w:vAlign w:val="center"/>
          </w:tcPr>
          <w:p w14:paraId="6D7BF1B2">
            <w:pPr>
              <w:spacing w:line="240" w:lineRule="auto"/>
              <w:jc w:val="center"/>
              <w:rPr>
                <w:rFonts w:cs="Times New Roman"/>
                <w:szCs w:val="24"/>
              </w:rPr>
            </w:pPr>
            <w:r>
              <w:rPr>
                <w:rFonts w:cs="Times New Roman"/>
                <w:szCs w:val="24"/>
              </w:rPr>
              <w:t>Untreated</w:t>
            </w:r>
          </w:p>
        </w:tc>
        <w:tc>
          <w:tcPr>
            <w:tcW w:w="780" w:type="pct"/>
            <w:tcBorders>
              <w:top w:val="single" w:color="auto" w:sz="6" w:space="0"/>
              <w:bottom w:val="nil"/>
            </w:tcBorders>
            <w:vAlign w:val="center"/>
          </w:tcPr>
          <w:p w14:paraId="46F42F00">
            <w:pPr>
              <w:spacing w:line="240" w:lineRule="auto"/>
              <w:jc w:val="center"/>
              <w:rPr>
                <w:rFonts w:cs="Times New Roman"/>
                <w:szCs w:val="24"/>
              </w:rPr>
            </w:pPr>
            <w:r>
              <w:rPr>
                <w:rFonts w:cs="Times New Roman"/>
                <w:szCs w:val="24"/>
              </w:rPr>
              <w:t>O</w:t>
            </w:r>
            <w:r>
              <w:rPr>
                <w:rFonts w:cs="Times New Roman"/>
                <w:szCs w:val="24"/>
                <w:vertAlign w:val="subscript"/>
              </w:rPr>
              <w:t>lattice</w:t>
            </w:r>
          </w:p>
        </w:tc>
        <w:tc>
          <w:tcPr>
            <w:tcW w:w="670" w:type="pct"/>
            <w:tcBorders>
              <w:top w:val="single" w:color="auto" w:sz="6" w:space="0"/>
              <w:bottom w:val="nil"/>
            </w:tcBorders>
          </w:tcPr>
          <w:p w14:paraId="20BBFE3A">
            <w:pPr>
              <w:spacing w:line="240" w:lineRule="auto"/>
              <w:jc w:val="center"/>
              <w:rPr>
                <w:rFonts w:cs="Times New Roman"/>
                <w:szCs w:val="24"/>
              </w:rPr>
            </w:pPr>
            <w:r>
              <w:rPr>
                <w:szCs w:val="24"/>
              </w:rPr>
              <w:t>529.78</w:t>
            </w:r>
          </w:p>
        </w:tc>
        <w:tc>
          <w:tcPr>
            <w:tcW w:w="891" w:type="pct"/>
            <w:tcBorders>
              <w:top w:val="single" w:color="auto" w:sz="6" w:space="0"/>
              <w:bottom w:val="nil"/>
            </w:tcBorders>
          </w:tcPr>
          <w:p w14:paraId="6714A7C6">
            <w:pPr>
              <w:spacing w:line="240" w:lineRule="auto"/>
              <w:jc w:val="center"/>
              <w:rPr>
                <w:rFonts w:cs="Times New Roman"/>
                <w:szCs w:val="24"/>
              </w:rPr>
            </w:pPr>
            <w:r>
              <w:rPr>
                <w:szCs w:val="24"/>
              </w:rPr>
              <w:t>1.51</w:t>
            </w:r>
          </w:p>
        </w:tc>
        <w:tc>
          <w:tcPr>
            <w:tcW w:w="781" w:type="pct"/>
            <w:tcBorders>
              <w:top w:val="single" w:color="auto" w:sz="6" w:space="0"/>
              <w:bottom w:val="nil"/>
            </w:tcBorders>
          </w:tcPr>
          <w:p w14:paraId="1E753352">
            <w:pPr>
              <w:spacing w:line="240" w:lineRule="auto"/>
              <w:jc w:val="center"/>
              <w:rPr>
                <w:rFonts w:cs="Times New Roman"/>
                <w:szCs w:val="24"/>
              </w:rPr>
            </w:pPr>
            <w:r>
              <w:rPr>
                <w:szCs w:val="24"/>
              </w:rPr>
              <w:t>1.00</w:t>
            </w:r>
          </w:p>
        </w:tc>
      </w:tr>
      <w:tr w14:paraId="6B2EEFF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878" w:type="pct"/>
            <w:vMerge w:val="continue"/>
            <w:tcBorders>
              <w:top w:val="nil"/>
              <w:bottom w:val="nil"/>
            </w:tcBorders>
            <w:vAlign w:val="center"/>
          </w:tcPr>
          <w:p w14:paraId="262E58D6">
            <w:pPr>
              <w:spacing w:line="240" w:lineRule="auto"/>
              <w:jc w:val="center"/>
              <w:rPr>
                <w:rFonts w:cs="Times New Roman"/>
                <w:szCs w:val="24"/>
              </w:rPr>
            </w:pPr>
          </w:p>
        </w:tc>
        <w:tc>
          <w:tcPr>
            <w:tcW w:w="780" w:type="pct"/>
            <w:tcBorders>
              <w:top w:val="nil"/>
              <w:bottom w:val="nil"/>
            </w:tcBorders>
            <w:vAlign w:val="center"/>
          </w:tcPr>
          <w:p w14:paraId="5B12BE57">
            <w:pPr>
              <w:spacing w:line="240" w:lineRule="auto"/>
              <w:jc w:val="center"/>
              <w:rPr>
                <w:rFonts w:cs="Times New Roman"/>
                <w:szCs w:val="24"/>
              </w:rPr>
            </w:pPr>
            <w:r>
              <w:rPr>
                <w:rFonts w:cs="Times New Roman"/>
                <w:szCs w:val="24"/>
              </w:rPr>
              <w:t>O</w:t>
            </w:r>
            <w:r>
              <w:rPr>
                <w:rFonts w:cs="Times New Roman"/>
                <w:szCs w:val="24"/>
                <w:vertAlign w:val="subscript"/>
              </w:rPr>
              <w:t>defect</w:t>
            </w:r>
          </w:p>
        </w:tc>
        <w:tc>
          <w:tcPr>
            <w:tcW w:w="670" w:type="pct"/>
            <w:tcBorders>
              <w:top w:val="nil"/>
              <w:bottom w:val="nil"/>
            </w:tcBorders>
          </w:tcPr>
          <w:p w14:paraId="791CFD13">
            <w:pPr>
              <w:spacing w:line="240" w:lineRule="auto"/>
              <w:jc w:val="center"/>
              <w:rPr>
                <w:rFonts w:cs="Times New Roman"/>
                <w:szCs w:val="24"/>
              </w:rPr>
            </w:pPr>
            <w:r>
              <w:rPr>
                <w:szCs w:val="24"/>
              </w:rPr>
              <w:t>531.65</w:t>
            </w:r>
          </w:p>
        </w:tc>
        <w:tc>
          <w:tcPr>
            <w:tcW w:w="891" w:type="pct"/>
            <w:tcBorders>
              <w:top w:val="nil"/>
              <w:bottom w:val="nil"/>
            </w:tcBorders>
          </w:tcPr>
          <w:p w14:paraId="6825AA33">
            <w:pPr>
              <w:spacing w:line="240" w:lineRule="auto"/>
              <w:jc w:val="center"/>
              <w:rPr>
                <w:rFonts w:cs="Times New Roman"/>
                <w:szCs w:val="24"/>
              </w:rPr>
            </w:pPr>
            <w:r>
              <w:rPr>
                <w:szCs w:val="24"/>
              </w:rPr>
              <w:t>1.75</w:t>
            </w:r>
          </w:p>
        </w:tc>
        <w:tc>
          <w:tcPr>
            <w:tcW w:w="781" w:type="pct"/>
            <w:tcBorders>
              <w:top w:val="nil"/>
              <w:bottom w:val="nil"/>
            </w:tcBorders>
          </w:tcPr>
          <w:p w14:paraId="07FF60BD">
            <w:pPr>
              <w:spacing w:line="240" w:lineRule="auto"/>
              <w:jc w:val="center"/>
              <w:rPr>
                <w:rFonts w:cs="Times New Roman"/>
                <w:szCs w:val="24"/>
              </w:rPr>
            </w:pPr>
            <w:r>
              <w:rPr>
                <w:szCs w:val="24"/>
              </w:rPr>
              <w:t>0.20</w:t>
            </w:r>
          </w:p>
        </w:tc>
      </w:tr>
      <w:tr w14:paraId="618983B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878" w:type="pct"/>
            <w:vMerge w:val="continue"/>
            <w:tcBorders>
              <w:top w:val="nil"/>
              <w:bottom w:val="single" w:color="auto" w:sz="6" w:space="0"/>
            </w:tcBorders>
            <w:vAlign w:val="center"/>
          </w:tcPr>
          <w:p w14:paraId="02B82D73">
            <w:pPr>
              <w:spacing w:line="240" w:lineRule="auto"/>
              <w:jc w:val="center"/>
              <w:rPr>
                <w:rFonts w:cs="Times New Roman"/>
                <w:szCs w:val="24"/>
              </w:rPr>
            </w:pPr>
          </w:p>
        </w:tc>
        <w:tc>
          <w:tcPr>
            <w:tcW w:w="780" w:type="pct"/>
            <w:tcBorders>
              <w:top w:val="nil"/>
              <w:bottom w:val="single" w:color="auto" w:sz="6" w:space="0"/>
            </w:tcBorders>
            <w:vAlign w:val="center"/>
          </w:tcPr>
          <w:p w14:paraId="6EB4451B">
            <w:pPr>
              <w:spacing w:line="240" w:lineRule="auto"/>
              <w:jc w:val="center"/>
              <w:rPr>
                <w:rFonts w:cs="Times New Roman"/>
                <w:szCs w:val="24"/>
              </w:rPr>
            </w:pPr>
            <w:r>
              <w:rPr>
                <w:rFonts w:cs="Times New Roman"/>
                <w:szCs w:val="24"/>
              </w:rPr>
              <w:t>O</w:t>
            </w:r>
            <w:r>
              <w:rPr>
                <w:rFonts w:cs="Times New Roman"/>
                <w:szCs w:val="24"/>
                <w:vertAlign w:val="subscript"/>
              </w:rPr>
              <w:t>ads</w:t>
            </w:r>
          </w:p>
        </w:tc>
        <w:tc>
          <w:tcPr>
            <w:tcW w:w="670" w:type="pct"/>
            <w:tcBorders>
              <w:top w:val="nil"/>
              <w:bottom w:val="single" w:color="auto" w:sz="6" w:space="0"/>
            </w:tcBorders>
          </w:tcPr>
          <w:p w14:paraId="14CBFCB9">
            <w:pPr>
              <w:spacing w:line="240" w:lineRule="auto"/>
              <w:jc w:val="center"/>
              <w:rPr>
                <w:rFonts w:cs="Times New Roman"/>
                <w:szCs w:val="24"/>
              </w:rPr>
            </w:pPr>
            <w:r>
              <w:rPr>
                <w:szCs w:val="24"/>
              </w:rPr>
              <w:t>533.19</w:t>
            </w:r>
          </w:p>
        </w:tc>
        <w:tc>
          <w:tcPr>
            <w:tcW w:w="891" w:type="pct"/>
            <w:tcBorders>
              <w:top w:val="nil"/>
              <w:bottom w:val="single" w:color="auto" w:sz="6" w:space="0"/>
            </w:tcBorders>
          </w:tcPr>
          <w:p w14:paraId="70AAFC94">
            <w:pPr>
              <w:spacing w:line="240" w:lineRule="auto"/>
              <w:jc w:val="center"/>
              <w:rPr>
                <w:rFonts w:cs="Times New Roman"/>
                <w:szCs w:val="24"/>
              </w:rPr>
            </w:pPr>
            <w:r>
              <w:rPr>
                <w:szCs w:val="24"/>
              </w:rPr>
              <w:t>1.91</w:t>
            </w:r>
          </w:p>
        </w:tc>
        <w:tc>
          <w:tcPr>
            <w:tcW w:w="781" w:type="pct"/>
            <w:tcBorders>
              <w:top w:val="nil"/>
              <w:bottom w:val="single" w:color="auto" w:sz="6" w:space="0"/>
            </w:tcBorders>
          </w:tcPr>
          <w:p w14:paraId="6AA89C85">
            <w:pPr>
              <w:spacing w:line="240" w:lineRule="auto"/>
              <w:jc w:val="center"/>
              <w:rPr>
                <w:rFonts w:cs="Times New Roman"/>
                <w:szCs w:val="24"/>
              </w:rPr>
            </w:pPr>
            <w:r>
              <w:rPr>
                <w:szCs w:val="24"/>
              </w:rPr>
              <w:t>0.04</w:t>
            </w:r>
          </w:p>
        </w:tc>
      </w:tr>
      <w:tr w14:paraId="0BD99A3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878" w:type="pct"/>
            <w:vMerge w:val="restart"/>
            <w:tcBorders>
              <w:top w:val="single" w:color="auto" w:sz="6" w:space="0"/>
              <w:bottom w:val="nil"/>
            </w:tcBorders>
            <w:vAlign w:val="center"/>
          </w:tcPr>
          <w:p w14:paraId="738FD94D">
            <w:pPr>
              <w:spacing w:line="240" w:lineRule="auto"/>
              <w:jc w:val="center"/>
              <w:rPr>
                <w:rFonts w:cs="Times New Roman"/>
                <w:szCs w:val="24"/>
              </w:rPr>
            </w:pPr>
            <w:r>
              <w:rPr>
                <w:rFonts w:cs="Times New Roman"/>
                <w:szCs w:val="24"/>
              </w:rPr>
              <w:t>H/Ar-48</w:t>
            </w:r>
          </w:p>
        </w:tc>
        <w:tc>
          <w:tcPr>
            <w:tcW w:w="780" w:type="pct"/>
            <w:tcBorders>
              <w:top w:val="single" w:color="auto" w:sz="6" w:space="0"/>
              <w:bottom w:val="nil"/>
            </w:tcBorders>
            <w:vAlign w:val="center"/>
          </w:tcPr>
          <w:p w14:paraId="70905189">
            <w:pPr>
              <w:spacing w:line="240" w:lineRule="auto"/>
              <w:jc w:val="center"/>
              <w:rPr>
                <w:rFonts w:cs="Times New Roman"/>
                <w:szCs w:val="24"/>
              </w:rPr>
            </w:pPr>
            <w:r>
              <w:rPr>
                <w:rFonts w:cs="Times New Roman"/>
                <w:szCs w:val="24"/>
              </w:rPr>
              <w:t>O</w:t>
            </w:r>
            <w:r>
              <w:rPr>
                <w:rFonts w:cs="Times New Roman"/>
                <w:szCs w:val="24"/>
                <w:vertAlign w:val="subscript"/>
              </w:rPr>
              <w:t>lattice</w:t>
            </w:r>
          </w:p>
        </w:tc>
        <w:tc>
          <w:tcPr>
            <w:tcW w:w="670" w:type="pct"/>
            <w:tcBorders>
              <w:top w:val="single" w:color="auto" w:sz="6" w:space="0"/>
              <w:bottom w:val="nil"/>
            </w:tcBorders>
          </w:tcPr>
          <w:p w14:paraId="6B94EAA1">
            <w:pPr>
              <w:spacing w:line="240" w:lineRule="auto"/>
              <w:jc w:val="center"/>
              <w:rPr>
                <w:rFonts w:cs="Times New Roman"/>
                <w:szCs w:val="24"/>
              </w:rPr>
            </w:pPr>
            <w:r>
              <w:rPr>
                <w:szCs w:val="24"/>
              </w:rPr>
              <w:t>529.89</w:t>
            </w:r>
          </w:p>
        </w:tc>
        <w:tc>
          <w:tcPr>
            <w:tcW w:w="891" w:type="pct"/>
            <w:tcBorders>
              <w:top w:val="single" w:color="auto" w:sz="6" w:space="0"/>
              <w:bottom w:val="nil"/>
            </w:tcBorders>
          </w:tcPr>
          <w:p w14:paraId="4AFA180D">
            <w:pPr>
              <w:spacing w:line="240" w:lineRule="auto"/>
              <w:jc w:val="center"/>
              <w:rPr>
                <w:rFonts w:cs="Times New Roman"/>
                <w:szCs w:val="24"/>
              </w:rPr>
            </w:pPr>
            <w:r>
              <w:rPr>
                <w:szCs w:val="24"/>
              </w:rPr>
              <w:t>1.49</w:t>
            </w:r>
          </w:p>
        </w:tc>
        <w:tc>
          <w:tcPr>
            <w:tcW w:w="781" w:type="pct"/>
            <w:tcBorders>
              <w:top w:val="single" w:color="auto" w:sz="6" w:space="0"/>
              <w:bottom w:val="nil"/>
            </w:tcBorders>
          </w:tcPr>
          <w:p w14:paraId="77798469">
            <w:pPr>
              <w:spacing w:line="240" w:lineRule="auto"/>
              <w:jc w:val="center"/>
              <w:rPr>
                <w:rFonts w:cs="Times New Roman"/>
                <w:szCs w:val="24"/>
              </w:rPr>
            </w:pPr>
            <w:r>
              <w:rPr>
                <w:szCs w:val="24"/>
              </w:rPr>
              <w:t>1.00</w:t>
            </w:r>
          </w:p>
        </w:tc>
      </w:tr>
      <w:tr w14:paraId="68B1235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878" w:type="pct"/>
            <w:vMerge w:val="continue"/>
            <w:tcBorders>
              <w:top w:val="nil"/>
              <w:bottom w:val="nil"/>
            </w:tcBorders>
            <w:vAlign w:val="center"/>
          </w:tcPr>
          <w:p w14:paraId="35FF1E28">
            <w:pPr>
              <w:spacing w:line="240" w:lineRule="auto"/>
              <w:jc w:val="center"/>
              <w:rPr>
                <w:rFonts w:cs="Times New Roman"/>
                <w:szCs w:val="24"/>
              </w:rPr>
            </w:pPr>
          </w:p>
        </w:tc>
        <w:tc>
          <w:tcPr>
            <w:tcW w:w="780" w:type="pct"/>
            <w:tcBorders>
              <w:top w:val="nil"/>
              <w:bottom w:val="nil"/>
            </w:tcBorders>
            <w:vAlign w:val="center"/>
          </w:tcPr>
          <w:p w14:paraId="1734B203">
            <w:pPr>
              <w:spacing w:line="240" w:lineRule="auto"/>
              <w:jc w:val="center"/>
              <w:rPr>
                <w:rFonts w:cs="Times New Roman"/>
                <w:szCs w:val="24"/>
              </w:rPr>
            </w:pPr>
            <w:r>
              <w:rPr>
                <w:rFonts w:cs="Times New Roman"/>
                <w:szCs w:val="24"/>
              </w:rPr>
              <w:t>O</w:t>
            </w:r>
            <w:r>
              <w:rPr>
                <w:rFonts w:cs="Times New Roman"/>
                <w:szCs w:val="24"/>
                <w:vertAlign w:val="subscript"/>
              </w:rPr>
              <w:t>defect</w:t>
            </w:r>
          </w:p>
        </w:tc>
        <w:tc>
          <w:tcPr>
            <w:tcW w:w="670" w:type="pct"/>
            <w:tcBorders>
              <w:top w:val="nil"/>
              <w:bottom w:val="nil"/>
            </w:tcBorders>
          </w:tcPr>
          <w:p w14:paraId="5B9DC985">
            <w:pPr>
              <w:spacing w:line="240" w:lineRule="auto"/>
              <w:jc w:val="center"/>
              <w:rPr>
                <w:rFonts w:cs="Times New Roman"/>
                <w:szCs w:val="24"/>
              </w:rPr>
            </w:pPr>
            <w:r>
              <w:rPr>
                <w:szCs w:val="24"/>
              </w:rPr>
              <w:t>531.69</w:t>
            </w:r>
          </w:p>
        </w:tc>
        <w:tc>
          <w:tcPr>
            <w:tcW w:w="891" w:type="pct"/>
            <w:tcBorders>
              <w:top w:val="nil"/>
              <w:bottom w:val="nil"/>
            </w:tcBorders>
          </w:tcPr>
          <w:p w14:paraId="4F48E881">
            <w:pPr>
              <w:spacing w:line="240" w:lineRule="auto"/>
              <w:jc w:val="center"/>
              <w:rPr>
                <w:rFonts w:cs="Times New Roman"/>
                <w:szCs w:val="24"/>
              </w:rPr>
            </w:pPr>
            <w:r>
              <w:rPr>
                <w:szCs w:val="24"/>
              </w:rPr>
              <w:t>1.82</w:t>
            </w:r>
          </w:p>
        </w:tc>
        <w:tc>
          <w:tcPr>
            <w:tcW w:w="781" w:type="pct"/>
            <w:tcBorders>
              <w:top w:val="nil"/>
              <w:bottom w:val="nil"/>
            </w:tcBorders>
          </w:tcPr>
          <w:p w14:paraId="3B0C7A00">
            <w:pPr>
              <w:spacing w:line="240" w:lineRule="auto"/>
              <w:jc w:val="center"/>
              <w:rPr>
                <w:rFonts w:cs="Times New Roman"/>
                <w:szCs w:val="24"/>
              </w:rPr>
            </w:pPr>
            <w:r>
              <w:rPr>
                <w:szCs w:val="24"/>
              </w:rPr>
              <w:t>0.21</w:t>
            </w:r>
          </w:p>
        </w:tc>
      </w:tr>
      <w:tr w14:paraId="1F492EC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878" w:type="pct"/>
            <w:vMerge w:val="continue"/>
            <w:tcBorders>
              <w:top w:val="nil"/>
              <w:bottom w:val="single" w:color="auto" w:sz="6" w:space="0"/>
            </w:tcBorders>
            <w:vAlign w:val="center"/>
          </w:tcPr>
          <w:p w14:paraId="6EA6D763">
            <w:pPr>
              <w:spacing w:line="240" w:lineRule="auto"/>
              <w:jc w:val="center"/>
              <w:rPr>
                <w:rFonts w:cs="Times New Roman"/>
                <w:szCs w:val="24"/>
              </w:rPr>
            </w:pPr>
          </w:p>
        </w:tc>
        <w:tc>
          <w:tcPr>
            <w:tcW w:w="780" w:type="pct"/>
            <w:tcBorders>
              <w:top w:val="nil"/>
              <w:bottom w:val="single" w:color="auto" w:sz="6" w:space="0"/>
            </w:tcBorders>
            <w:vAlign w:val="center"/>
          </w:tcPr>
          <w:p w14:paraId="11A1F60A">
            <w:pPr>
              <w:spacing w:line="240" w:lineRule="auto"/>
              <w:jc w:val="center"/>
              <w:rPr>
                <w:rFonts w:cs="Times New Roman"/>
                <w:szCs w:val="24"/>
              </w:rPr>
            </w:pPr>
            <w:r>
              <w:rPr>
                <w:rFonts w:cs="Times New Roman"/>
                <w:szCs w:val="24"/>
              </w:rPr>
              <w:t>O</w:t>
            </w:r>
            <w:r>
              <w:rPr>
                <w:rFonts w:cs="Times New Roman"/>
                <w:szCs w:val="24"/>
                <w:vertAlign w:val="subscript"/>
              </w:rPr>
              <w:t>ads</w:t>
            </w:r>
          </w:p>
        </w:tc>
        <w:tc>
          <w:tcPr>
            <w:tcW w:w="670" w:type="pct"/>
            <w:tcBorders>
              <w:top w:val="nil"/>
              <w:bottom w:val="single" w:color="auto" w:sz="6" w:space="0"/>
            </w:tcBorders>
          </w:tcPr>
          <w:p w14:paraId="0D68A7E4">
            <w:pPr>
              <w:spacing w:line="240" w:lineRule="auto"/>
              <w:jc w:val="center"/>
              <w:rPr>
                <w:rFonts w:cs="Times New Roman"/>
                <w:szCs w:val="24"/>
              </w:rPr>
            </w:pPr>
            <w:r>
              <w:rPr>
                <w:szCs w:val="24"/>
              </w:rPr>
              <w:t>533.25</w:t>
            </w:r>
          </w:p>
        </w:tc>
        <w:tc>
          <w:tcPr>
            <w:tcW w:w="891" w:type="pct"/>
            <w:tcBorders>
              <w:top w:val="nil"/>
              <w:bottom w:val="single" w:color="auto" w:sz="6" w:space="0"/>
            </w:tcBorders>
          </w:tcPr>
          <w:p w14:paraId="02FD8988">
            <w:pPr>
              <w:spacing w:line="240" w:lineRule="auto"/>
              <w:jc w:val="center"/>
              <w:rPr>
                <w:rFonts w:cs="Times New Roman"/>
                <w:szCs w:val="24"/>
              </w:rPr>
            </w:pPr>
            <w:r>
              <w:rPr>
                <w:szCs w:val="24"/>
              </w:rPr>
              <w:t>1.85</w:t>
            </w:r>
          </w:p>
        </w:tc>
        <w:tc>
          <w:tcPr>
            <w:tcW w:w="781" w:type="pct"/>
            <w:tcBorders>
              <w:top w:val="nil"/>
              <w:bottom w:val="single" w:color="auto" w:sz="6" w:space="0"/>
            </w:tcBorders>
          </w:tcPr>
          <w:p w14:paraId="5391E69E">
            <w:pPr>
              <w:spacing w:line="240" w:lineRule="auto"/>
              <w:jc w:val="center"/>
              <w:rPr>
                <w:rFonts w:cs="Times New Roman"/>
                <w:szCs w:val="24"/>
              </w:rPr>
            </w:pPr>
            <w:r>
              <w:rPr>
                <w:szCs w:val="24"/>
              </w:rPr>
              <w:t>0.04</w:t>
            </w:r>
          </w:p>
        </w:tc>
      </w:tr>
      <w:tr w14:paraId="66250A1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878" w:type="pct"/>
            <w:vMerge w:val="restart"/>
            <w:tcBorders>
              <w:top w:val="single" w:color="auto" w:sz="6" w:space="0"/>
              <w:bottom w:val="nil"/>
            </w:tcBorders>
            <w:vAlign w:val="center"/>
          </w:tcPr>
          <w:p w14:paraId="646AB405">
            <w:pPr>
              <w:spacing w:line="240" w:lineRule="auto"/>
              <w:jc w:val="center"/>
              <w:rPr>
                <w:rFonts w:cs="Times New Roman"/>
                <w:szCs w:val="24"/>
              </w:rPr>
            </w:pPr>
            <w:r>
              <w:rPr>
                <w:rFonts w:cs="Times New Roman"/>
                <w:szCs w:val="24"/>
              </w:rPr>
              <w:t>H-48</w:t>
            </w:r>
          </w:p>
        </w:tc>
        <w:tc>
          <w:tcPr>
            <w:tcW w:w="780" w:type="pct"/>
            <w:tcBorders>
              <w:top w:val="single" w:color="auto" w:sz="6" w:space="0"/>
              <w:bottom w:val="nil"/>
            </w:tcBorders>
            <w:vAlign w:val="center"/>
          </w:tcPr>
          <w:p w14:paraId="6C89060C">
            <w:pPr>
              <w:spacing w:line="240" w:lineRule="auto"/>
              <w:jc w:val="center"/>
              <w:rPr>
                <w:rFonts w:cs="Times New Roman"/>
                <w:szCs w:val="24"/>
              </w:rPr>
            </w:pPr>
            <w:r>
              <w:rPr>
                <w:rFonts w:cs="Times New Roman"/>
                <w:szCs w:val="24"/>
              </w:rPr>
              <w:t>O</w:t>
            </w:r>
            <w:r>
              <w:rPr>
                <w:rFonts w:cs="Times New Roman"/>
                <w:szCs w:val="24"/>
                <w:vertAlign w:val="subscript"/>
              </w:rPr>
              <w:t>lattice</w:t>
            </w:r>
          </w:p>
        </w:tc>
        <w:tc>
          <w:tcPr>
            <w:tcW w:w="670" w:type="pct"/>
            <w:tcBorders>
              <w:top w:val="single" w:color="auto" w:sz="6" w:space="0"/>
              <w:bottom w:val="nil"/>
            </w:tcBorders>
          </w:tcPr>
          <w:p w14:paraId="5FB9D938">
            <w:pPr>
              <w:spacing w:line="240" w:lineRule="auto"/>
              <w:jc w:val="center"/>
              <w:rPr>
                <w:rFonts w:cs="Times New Roman"/>
                <w:szCs w:val="24"/>
              </w:rPr>
            </w:pPr>
            <w:r>
              <w:rPr>
                <w:szCs w:val="24"/>
              </w:rPr>
              <w:t>529.85</w:t>
            </w:r>
          </w:p>
        </w:tc>
        <w:tc>
          <w:tcPr>
            <w:tcW w:w="891" w:type="pct"/>
            <w:tcBorders>
              <w:top w:val="single" w:color="auto" w:sz="6" w:space="0"/>
              <w:bottom w:val="nil"/>
            </w:tcBorders>
          </w:tcPr>
          <w:p w14:paraId="77CF11AE">
            <w:pPr>
              <w:spacing w:line="240" w:lineRule="auto"/>
              <w:jc w:val="center"/>
              <w:rPr>
                <w:rFonts w:cs="Times New Roman"/>
                <w:szCs w:val="24"/>
              </w:rPr>
            </w:pPr>
            <w:r>
              <w:rPr>
                <w:szCs w:val="24"/>
              </w:rPr>
              <w:t>1.52</w:t>
            </w:r>
          </w:p>
        </w:tc>
        <w:tc>
          <w:tcPr>
            <w:tcW w:w="781" w:type="pct"/>
            <w:tcBorders>
              <w:top w:val="single" w:color="auto" w:sz="6" w:space="0"/>
              <w:bottom w:val="nil"/>
            </w:tcBorders>
          </w:tcPr>
          <w:p w14:paraId="5DE64655">
            <w:pPr>
              <w:spacing w:line="240" w:lineRule="auto"/>
              <w:jc w:val="center"/>
              <w:rPr>
                <w:rFonts w:cs="Times New Roman"/>
                <w:szCs w:val="24"/>
              </w:rPr>
            </w:pPr>
            <w:r>
              <w:rPr>
                <w:szCs w:val="24"/>
              </w:rPr>
              <w:t>1.00</w:t>
            </w:r>
          </w:p>
        </w:tc>
      </w:tr>
      <w:tr w14:paraId="6AB4097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878" w:type="pct"/>
            <w:vMerge w:val="continue"/>
            <w:tcBorders>
              <w:top w:val="nil"/>
              <w:bottom w:val="nil"/>
            </w:tcBorders>
            <w:vAlign w:val="center"/>
          </w:tcPr>
          <w:p w14:paraId="3601CF34">
            <w:pPr>
              <w:spacing w:line="240" w:lineRule="auto"/>
              <w:jc w:val="center"/>
              <w:rPr>
                <w:rFonts w:cs="Times New Roman"/>
                <w:szCs w:val="24"/>
              </w:rPr>
            </w:pPr>
          </w:p>
        </w:tc>
        <w:tc>
          <w:tcPr>
            <w:tcW w:w="780" w:type="pct"/>
            <w:tcBorders>
              <w:top w:val="nil"/>
              <w:bottom w:val="nil"/>
            </w:tcBorders>
            <w:vAlign w:val="center"/>
          </w:tcPr>
          <w:p w14:paraId="7E76E178">
            <w:pPr>
              <w:spacing w:line="240" w:lineRule="auto"/>
              <w:jc w:val="center"/>
              <w:rPr>
                <w:rFonts w:cs="Times New Roman"/>
                <w:szCs w:val="24"/>
              </w:rPr>
            </w:pPr>
            <w:r>
              <w:rPr>
                <w:rFonts w:cs="Times New Roman"/>
                <w:szCs w:val="24"/>
              </w:rPr>
              <w:t>O</w:t>
            </w:r>
            <w:r>
              <w:rPr>
                <w:rFonts w:cs="Times New Roman"/>
                <w:szCs w:val="24"/>
                <w:vertAlign w:val="subscript"/>
              </w:rPr>
              <w:t>defect</w:t>
            </w:r>
          </w:p>
        </w:tc>
        <w:tc>
          <w:tcPr>
            <w:tcW w:w="670" w:type="pct"/>
            <w:tcBorders>
              <w:top w:val="nil"/>
              <w:bottom w:val="nil"/>
            </w:tcBorders>
          </w:tcPr>
          <w:p w14:paraId="31B4A1CB">
            <w:pPr>
              <w:spacing w:line="240" w:lineRule="auto"/>
              <w:jc w:val="center"/>
              <w:rPr>
                <w:rFonts w:cs="Times New Roman"/>
                <w:szCs w:val="24"/>
              </w:rPr>
            </w:pPr>
            <w:r>
              <w:rPr>
                <w:szCs w:val="24"/>
              </w:rPr>
              <w:t>531.35</w:t>
            </w:r>
          </w:p>
        </w:tc>
        <w:tc>
          <w:tcPr>
            <w:tcW w:w="891" w:type="pct"/>
            <w:tcBorders>
              <w:top w:val="nil"/>
              <w:bottom w:val="nil"/>
            </w:tcBorders>
          </w:tcPr>
          <w:p w14:paraId="79AFC37B">
            <w:pPr>
              <w:spacing w:line="240" w:lineRule="auto"/>
              <w:jc w:val="center"/>
              <w:rPr>
                <w:rFonts w:cs="Times New Roman"/>
                <w:szCs w:val="24"/>
              </w:rPr>
            </w:pPr>
            <w:r>
              <w:rPr>
                <w:szCs w:val="24"/>
              </w:rPr>
              <w:t>2.04</w:t>
            </w:r>
          </w:p>
        </w:tc>
        <w:tc>
          <w:tcPr>
            <w:tcW w:w="781" w:type="pct"/>
            <w:tcBorders>
              <w:top w:val="nil"/>
              <w:bottom w:val="nil"/>
            </w:tcBorders>
          </w:tcPr>
          <w:p w14:paraId="66EB449C">
            <w:pPr>
              <w:spacing w:line="240" w:lineRule="auto"/>
              <w:jc w:val="center"/>
              <w:rPr>
                <w:rFonts w:cs="Times New Roman"/>
                <w:szCs w:val="24"/>
              </w:rPr>
            </w:pPr>
            <w:r>
              <w:rPr>
                <w:szCs w:val="24"/>
              </w:rPr>
              <w:t>0.31</w:t>
            </w:r>
          </w:p>
        </w:tc>
      </w:tr>
      <w:tr w14:paraId="2C6CFAA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878" w:type="pct"/>
            <w:vMerge w:val="continue"/>
            <w:tcBorders>
              <w:top w:val="nil"/>
              <w:bottom w:val="single" w:color="auto" w:sz="4" w:space="0"/>
            </w:tcBorders>
            <w:vAlign w:val="center"/>
          </w:tcPr>
          <w:p w14:paraId="17DCBAB5">
            <w:pPr>
              <w:spacing w:line="240" w:lineRule="auto"/>
              <w:jc w:val="center"/>
              <w:rPr>
                <w:rFonts w:cs="Times New Roman"/>
                <w:szCs w:val="24"/>
              </w:rPr>
            </w:pPr>
          </w:p>
        </w:tc>
        <w:tc>
          <w:tcPr>
            <w:tcW w:w="780" w:type="pct"/>
            <w:tcBorders>
              <w:top w:val="nil"/>
              <w:bottom w:val="single" w:color="auto" w:sz="4" w:space="0"/>
            </w:tcBorders>
            <w:vAlign w:val="center"/>
          </w:tcPr>
          <w:p w14:paraId="09F3715F">
            <w:pPr>
              <w:spacing w:line="240" w:lineRule="auto"/>
              <w:jc w:val="center"/>
              <w:rPr>
                <w:rFonts w:cs="Times New Roman"/>
                <w:szCs w:val="24"/>
              </w:rPr>
            </w:pPr>
            <w:r>
              <w:rPr>
                <w:rFonts w:cs="Times New Roman"/>
                <w:szCs w:val="24"/>
              </w:rPr>
              <w:t>O</w:t>
            </w:r>
            <w:r>
              <w:rPr>
                <w:rFonts w:cs="Times New Roman"/>
                <w:szCs w:val="24"/>
                <w:vertAlign w:val="subscript"/>
              </w:rPr>
              <w:t>ads</w:t>
            </w:r>
          </w:p>
        </w:tc>
        <w:tc>
          <w:tcPr>
            <w:tcW w:w="670" w:type="pct"/>
            <w:tcBorders>
              <w:top w:val="nil"/>
              <w:bottom w:val="single" w:color="auto" w:sz="4" w:space="0"/>
            </w:tcBorders>
          </w:tcPr>
          <w:p w14:paraId="5B510527">
            <w:pPr>
              <w:spacing w:line="240" w:lineRule="auto"/>
              <w:jc w:val="center"/>
              <w:rPr>
                <w:rFonts w:cs="Times New Roman"/>
                <w:szCs w:val="24"/>
              </w:rPr>
            </w:pPr>
            <w:r>
              <w:rPr>
                <w:szCs w:val="24"/>
              </w:rPr>
              <w:t>532.72</w:t>
            </w:r>
          </w:p>
        </w:tc>
        <w:tc>
          <w:tcPr>
            <w:tcW w:w="891" w:type="pct"/>
            <w:tcBorders>
              <w:top w:val="nil"/>
              <w:bottom w:val="single" w:color="auto" w:sz="4" w:space="0"/>
            </w:tcBorders>
          </w:tcPr>
          <w:p w14:paraId="4E3F997C">
            <w:pPr>
              <w:spacing w:line="240" w:lineRule="auto"/>
              <w:jc w:val="center"/>
              <w:rPr>
                <w:rFonts w:cs="Times New Roman"/>
                <w:szCs w:val="24"/>
              </w:rPr>
            </w:pPr>
            <w:r>
              <w:rPr>
                <w:szCs w:val="24"/>
              </w:rPr>
              <w:t>1.99</w:t>
            </w:r>
          </w:p>
        </w:tc>
        <w:tc>
          <w:tcPr>
            <w:tcW w:w="781" w:type="pct"/>
            <w:tcBorders>
              <w:top w:val="nil"/>
              <w:bottom w:val="single" w:color="auto" w:sz="4" w:space="0"/>
            </w:tcBorders>
          </w:tcPr>
          <w:p w14:paraId="78F00E99">
            <w:pPr>
              <w:spacing w:line="240" w:lineRule="auto"/>
              <w:jc w:val="center"/>
              <w:rPr>
                <w:rFonts w:cs="Times New Roman"/>
                <w:szCs w:val="24"/>
              </w:rPr>
            </w:pPr>
            <w:r>
              <w:rPr>
                <w:szCs w:val="24"/>
              </w:rPr>
              <w:t>0.05</w:t>
            </w:r>
          </w:p>
        </w:tc>
      </w:tr>
      <w:tr w14:paraId="4F00A64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878" w:type="pct"/>
            <w:vMerge w:val="restart"/>
            <w:tcBorders>
              <w:top w:val="single" w:color="auto" w:sz="4" w:space="0"/>
              <w:bottom w:val="nil"/>
            </w:tcBorders>
            <w:vAlign w:val="center"/>
          </w:tcPr>
          <w:p w14:paraId="7D79EE4D">
            <w:pPr>
              <w:spacing w:line="240" w:lineRule="auto"/>
              <w:jc w:val="center"/>
              <w:rPr>
                <w:rFonts w:cs="Times New Roman"/>
                <w:szCs w:val="24"/>
              </w:rPr>
            </w:pPr>
            <w:r>
              <w:rPr>
                <w:rFonts w:cs="Times New Roman"/>
                <w:szCs w:val="24"/>
              </w:rPr>
              <w:t>H-96</w:t>
            </w:r>
          </w:p>
        </w:tc>
        <w:tc>
          <w:tcPr>
            <w:tcW w:w="780" w:type="pct"/>
            <w:tcBorders>
              <w:top w:val="single" w:color="auto" w:sz="4" w:space="0"/>
              <w:bottom w:val="nil"/>
            </w:tcBorders>
            <w:vAlign w:val="center"/>
          </w:tcPr>
          <w:p w14:paraId="49B80AAA">
            <w:pPr>
              <w:spacing w:line="240" w:lineRule="auto"/>
              <w:jc w:val="center"/>
              <w:rPr>
                <w:rFonts w:cs="Times New Roman"/>
                <w:szCs w:val="24"/>
              </w:rPr>
            </w:pPr>
            <w:r>
              <w:rPr>
                <w:rFonts w:cs="Times New Roman"/>
                <w:szCs w:val="24"/>
              </w:rPr>
              <w:t>O</w:t>
            </w:r>
            <w:r>
              <w:rPr>
                <w:rFonts w:cs="Times New Roman"/>
                <w:szCs w:val="24"/>
                <w:vertAlign w:val="subscript"/>
              </w:rPr>
              <w:t>lattice</w:t>
            </w:r>
          </w:p>
        </w:tc>
        <w:tc>
          <w:tcPr>
            <w:tcW w:w="670" w:type="pct"/>
            <w:tcBorders>
              <w:top w:val="single" w:color="auto" w:sz="4" w:space="0"/>
              <w:bottom w:val="nil"/>
            </w:tcBorders>
          </w:tcPr>
          <w:p w14:paraId="347DFDFD">
            <w:pPr>
              <w:spacing w:line="240" w:lineRule="auto"/>
              <w:jc w:val="center"/>
              <w:rPr>
                <w:rFonts w:cs="Times New Roman"/>
                <w:szCs w:val="24"/>
              </w:rPr>
            </w:pPr>
            <w:r>
              <w:rPr>
                <w:szCs w:val="24"/>
              </w:rPr>
              <w:t>529.85</w:t>
            </w:r>
          </w:p>
        </w:tc>
        <w:tc>
          <w:tcPr>
            <w:tcW w:w="891" w:type="pct"/>
            <w:tcBorders>
              <w:top w:val="single" w:color="auto" w:sz="4" w:space="0"/>
              <w:bottom w:val="nil"/>
            </w:tcBorders>
          </w:tcPr>
          <w:p w14:paraId="6085B1C5">
            <w:pPr>
              <w:spacing w:line="240" w:lineRule="auto"/>
              <w:jc w:val="center"/>
              <w:rPr>
                <w:rFonts w:cs="Times New Roman"/>
                <w:szCs w:val="24"/>
              </w:rPr>
            </w:pPr>
            <w:r>
              <w:rPr>
                <w:szCs w:val="24"/>
              </w:rPr>
              <w:t>1.60</w:t>
            </w:r>
          </w:p>
        </w:tc>
        <w:tc>
          <w:tcPr>
            <w:tcW w:w="781" w:type="pct"/>
            <w:tcBorders>
              <w:top w:val="single" w:color="auto" w:sz="4" w:space="0"/>
              <w:bottom w:val="nil"/>
            </w:tcBorders>
          </w:tcPr>
          <w:p w14:paraId="0401AAC3">
            <w:pPr>
              <w:spacing w:line="240" w:lineRule="auto"/>
              <w:jc w:val="center"/>
              <w:rPr>
                <w:rFonts w:cs="Times New Roman"/>
                <w:szCs w:val="24"/>
              </w:rPr>
            </w:pPr>
            <w:r>
              <w:rPr>
                <w:szCs w:val="24"/>
              </w:rPr>
              <w:t>1.00</w:t>
            </w:r>
          </w:p>
        </w:tc>
      </w:tr>
      <w:tr w14:paraId="7C55EDA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878" w:type="pct"/>
            <w:vMerge w:val="continue"/>
            <w:tcBorders>
              <w:top w:val="nil"/>
              <w:bottom w:val="nil"/>
            </w:tcBorders>
            <w:vAlign w:val="center"/>
          </w:tcPr>
          <w:p w14:paraId="1AEE9922">
            <w:pPr>
              <w:spacing w:line="240" w:lineRule="auto"/>
              <w:jc w:val="center"/>
              <w:rPr>
                <w:rFonts w:cs="Times New Roman"/>
                <w:szCs w:val="24"/>
              </w:rPr>
            </w:pPr>
          </w:p>
        </w:tc>
        <w:tc>
          <w:tcPr>
            <w:tcW w:w="780" w:type="pct"/>
            <w:tcBorders>
              <w:top w:val="nil"/>
              <w:bottom w:val="nil"/>
            </w:tcBorders>
            <w:vAlign w:val="center"/>
          </w:tcPr>
          <w:p w14:paraId="4E756E64">
            <w:pPr>
              <w:spacing w:line="240" w:lineRule="auto"/>
              <w:jc w:val="center"/>
              <w:rPr>
                <w:rFonts w:cs="Times New Roman"/>
                <w:szCs w:val="24"/>
              </w:rPr>
            </w:pPr>
            <w:r>
              <w:rPr>
                <w:rFonts w:cs="Times New Roman"/>
                <w:szCs w:val="24"/>
              </w:rPr>
              <w:t>O</w:t>
            </w:r>
            <w:r>
              <w:rPr>
                <w:rFonts w:cs="Times New Roman"/>
                <w:szCs w:val="24"/>
                <w:vertAlign w:val="subscript"/>
              </w:rPr>
              <w:t>defect</w:t>
            </w:r>
          </w:p>
        </w:tc>
        <w:tc>
          <w:tcPr>
            <w:tcW w:w="670" w:type="pct"/>
            <w:tcBorders>
              <w:top w:val="nil"/>
              <w:bottom w:val="nil"/>
            </w:tcBorders>
          </w:tcPr>
          <w:p w14:paraId="0A18BF48">
            <w:pPr>
              <w:spacing w:line="240" w:lineRule="auto"/>
              <w:jc w:val="center"/>
              <w:rPr>
                <w:rFonts w:cs="Times New Roman"/>
                <w:szCs w:val="24"/>
              </w:rPr>
            </w:pPr>
            <w:r>
              <w:rPr>
                <w:szCs w:val="24"/>
              </w:rPr>
              <w:t>531.56</w:t>
            </w:r>
          </w:p>
        </w:tc>
        <w:tc>
          <w:tcPr>
            <w:tcW w:w="891" w:type="pct"/>
            <w:tcBorders>
              <w:top w:val="nil"/>
              <w:bottom w:val="nil"/>
            </w:tcBorders>
          </w:tcPr>
          <w:p w14:paraId="726EF589">
            <w:pPr>
              <w:spacing w:line="240" w:lineRule="auto"/>
              <w:jc w:val="center"/>
              <w:rPr>
                <w:rFonts w:cs="Times New Roman"/>
                <w:szCs w:val="24"/>
              </w:rPr>
            </w:pPr>
            <w:r>
              <w:rPr>
                <w:szCs w:val="24"/>
              </w:rPr>
              <w:t>2.19</w:t>
            </w:r>
          </w:p>
        </w:tc>
        <w:tc>
          <w:tcPr>
            <w:tcW w:w="781" w:type="pct"/>
            <w:tcBorders>
              <w:top w:val="nil"/>
              <w:bottom w:val="nil"/>
            </w:tcBorders>
          </w:tcPr>
          <w:p w14:paraId="25CE7472">
            <w:pPr>
              <w:spacing w:line="240" w:lineRule="auto"/>
              <w:jc w:val="center"/>
              <w:rPr>
                <w:rFonts w:cs="Times New Roman"/>
                <w:szCs w:val="24"/>
              </w:rPr>
            </w:pPr>
            <w:r>
              <w:rPr>
                <w:szCs w:val="24"/>
              </w:rPr>
              <w:t>0.46</w:t>
            </w:r>
          </w:p>
        </w:tc>
      </w:tr>
      <w:tr w14:paraId="23F129A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878" w:type="pct"/>
            <w:vMerge w:val="continue"/>
            <w:tcBorders>
              <w:top w:val="nil"/>
              <w:bottom w:val="single" w:color="auto" w:sz="4" w:space="0"/>
            </w:tcBorders>
            <w:vAlign w:val="center"/>
          </w:tcPr>
          <w:p w14:paraId="31F6CBED">
            <w:pPr>
              <w:spacing w:line="240" w:lineRule="auto"/>
              <w:jc w:val="center"/>
              <w:rPr>
                <w:rFonts w:cs="Times New Roman"/>
                <w:szCs w:val="24"/>
              </w:rPr>
            </w:pPr>
          </w:p>
        </w:tc>
        <w:tc>
          <w:tcPr>
            <w:tcW w:w="780" w:type="pct"/>
            <w:tcBorders>
              <w:top w:val="nil"/>
              <w:bottom w:val="single" w:color="auto" w:sz="4" w:space="0"/>
            </w:tcBorders>
            <w:vAlign w:val="center"/>
          </w:tcPr>
          <w:p w14:paraId="63FA233B">
            <w:pPr>
              <w:spacing w:line="240" w:lineRule="auto"/>
              <w:jc w:val="center"/>
              <w:rPr>
                <w:rFonts w:cs="Times New Roman"/>
                <w:szCs w:val="24"/>
              </w:rPr>
            </w:pPr>
            <w:r>
              <w:rPr>
                <w:rFonts w:cs="Times New Roman"/>
                <w:szCs w:val="24"/>
              </w:rPr>
              <w:t>O</w:t>
            </w:r>
            <w:r>
              <w:rPr>
                <w:rFonts w:cs="Times New Roman"/>
                <w:szCs w:val="24"/>
                <w:vertAlign w:val="subscript"/>
              </w:rPr>
              <w:t>ads</w:t>
            </w:r>
          </w:p>
        </w:tc>
        <w:tc>
          <w:tcPr>
            <w:tcW w:w="670" w:type="pct"/>
            <w:tcBorders>
              <w:top w:val="nil"/>
              <w:bottom w:val="single" w:color="auto" w:sz="4" w:space="0"/>
            </w:tcBorders>
          </w:tcPr>
          <w:p w14:paraId="0E266A00">
            <w:pPr>
              <w:spacing w:line="240" w:lineRule="auto"/>
              <w:jc w:val="center"/>
              <w:rPr>
                <w:rFonts w:cs="Times New Roman"/>
                <w:szCs w:val="24"/>
              </w:rPr>
            </w:pPr>
            <w:r>
              <w:rPr>
                <w:szCs w:val="24"/>
              </w:rPr>
              <w:t>533.12</w:t>
            </w:r>
          </w:p>
        </w:tc>
        <w:tc>
          <w:tcPr>
            <w:tcW w:w="891" w:type="pct"/>
            <w:tcBorders>
              <w:top w:val="nil"/>
              <w:bottom w:val="single" w:color="auto" w:sz="4" w:space="0"/>
            </w:tcBorders>
          </w:tcPr>
          <w:p w14:paraId="72BD3420">
            <w:pPr>
              <w:spacing w:line="240" w:lineRule="auto"/>
              <w:jc w:val="center"/>
              <w:rPr>
                <w:rFonts w:cs="Times New Roman"/>
                <w:szCs w:val="24"/>
              </w:rPr>
            </w:pPr>
            <w:r>
              <w:rPr>
                <w:szCs w:val="24"/>
              </w:rPr>
              <w:t>2.08</w:t>
            </w:r>
          </w:p>
        </w:tc>
        <w:tc>
          <w:tcPr>
            <w:tcW w:w="781" w:type="pct"/>
            <w:tcBorders>
              <w:top w:val="nil"/>
              <w:bottom w:val="single" w:color="auto" w:sz="4" w:space="0"/>
            </w:tcBorders>
          </w:tcPr>
          <w:p w14:paraId="5F859D52">
            <w:pPr>
              <w:spacing w:line="240" w:lineRule="auto"/>
              <w:jc w:val="center"/>
              <w:rPr>
                <w:rFonts w:cs="Times New Roman"/>
                <w:szCs w:val="24"/>
              </w:rPr>
            </w:pPr>
            <w:r>
              <w:rPr>
                <w:szCs w:val="24"/>
              </w:rPr>
              <w:t>0.07</w:t>
            </w:r>
          </w:p>
        </w:tc>
      </w:tr>
      <w:tr w14:paraId="22717E5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878" w:type="pct"/>
            <w:vMerge w:val="restart"/>
            <w:tcBorders>
              <w:top w:val="single" w:color="auto" w:sz="4" w:space="0"/>
            </w:tcBorders>
            <w:vAlign w:val="center"/>
          </w:tcPr>
          <w:p w14:paraId="364CE75D">
            <w:pPr>
              <w:spacing w:line="240" w:lineRule="auto"/>
              <w:jc w:val="center"/>
              <w:rPr>
                <w:rFonts w:cs="Times New Roman"/>
                <w:szCs w:val="24"/>
              </w:rPr>
            </w:pPr>
            <w:r>
              <w:rPr>
                <w:rFonts w:cs="Times New Roman"/>
                <w:szCs w:val="24"/>
              </w:rPr>
              <w:t>H-192</w:t>
            </w:r>
          </w:p>
        </w:tc>
        <w:tc>
          <w:tcPr>
            <w:tcW w:w="780" w:type="pct"/>
            <w:tcBorders>
              <w:top w:val="single" w:color="auto" w:sz="4" w:space="0"/>
              <w:bottom w:val="nil"/>
            </w:tcBorders>
            <w:vAlign w:val="center"/>
          </w:tcPr>
          <w:p w14:paraId="3F54ACE8">
            <w:pPr>
              <w:spacing w:line="240" w:lineRule="auto"/>
              <w:jc w:val="center"/>
              <w:rPr>
                <w:rFonts w:cs="Times New Roman"/>
                <w:szCs w:val="24"/>
              </w:rPr>
            </w:pPr>
            <w:r>
              <w:rPr>
                <w:rFonts w:cs="Times New Roman"/>
                <w:szCs w:val="24"/>
              </w:rPr>
              <w:t>O</w:t>
            </w:r>
            <w:r>
              <w:rPr>
                <w:rFonts w:cs="Times New Roman"/>
                <w:szCs w:val="24"/>
                <w:vertAlign w:val="subscript"/>
              </w:rPr>
              <w:t>lattice</w:t>
            </w:r>
          </w:p>
        </w:tc>
        <w:tc>
          <w:tcPr>
            <w:tcW w:w="670" w:type="pct"/>
            <w:tcBorders>
              <w:top w:val="single" w:color="auto" w:sz="4" w:space="0"/>
              <w:bottom w:val="nil"/>
            </w:tcBorders>
          </w:tcPr>
          <w:p w14:paraId="2E7A1D1E">
            <w:pPr>
              <w:spacing w:line="240" w:lineRule="auto"/>
              <w:jc w:val="center"/>
              <w:rPr>
                <w:rFonts w:cs="Times New Roman"/>
                <w:szCs w:val="24"/>
              </w:rPr>
            </w:pPr>
            <w:r>
              <w:rPr>
                <w:szCs w:val="24"/>
              </w:rPr>
              <w:t>529.69</w:t>
            </w:r>
          </w:p>
        </w:tc>
        <w:tc>
          <w:tcPr>
            <w:tcW w:w="891" w:type="pct"/>
            <w:tcBorders>
              <w:top w:val="single" w:color="auto" w:sz="4" w:space="0"/>
              <w:bottom w:val="nil"/>
            </w:tcBorders>
          </w:tcPr>
          <w:p w14:paraId="1DBBE3C3">
            <w:pPr>
              <w:spacing w:line="240" w:lineRule="auto"/>
              <w:jc w:val="center"/>
              <w:rPr>
                <w:rFonts w:cs="Times New Roman"/>
                <w:szCs w:val="24"/>
              </w:rPr>
            </w:pPr>
            <w:r>
              <w:rPr>
                <w:szCs w:val="24"/>
              </w:rPr>
              <w:t>1.52</w:t>
            </w:r>
          </w:p>
        </w:tc>
        <w:tc>
          <w:tcPr>
            <w:tcW w:w="781" w:type="pct"/>
            <w:tcBorders>
              <w:top w:val="single" w:color="auto" w:sz="4" w:space="0"/>
              <w:bottom w:val="nil"/>
            </w:tcBorders>
          </w:tcPr>
          <w:p w14:paraId="4C1D7DD7">
            <w:pPr>
              <w:spacing w:line="240" w:lineRule="auto"/>
              <w:jc w:val="center"/>
              <w:rPr>
                <w:rFonts w:cs="Times New Roman"/>
                <w:szCs w:val="24"/>
              </w:rPr>
            </w:pPr>
            <w:r>
              <w:rPr>
                <w:szCs w:val="24"/>
              </w:rPr>
              <w:t>1.00</w:t>
            </w:r>
          </w:p>
        </w:tc>
      </w:tr>
      <w:tr w14:paraId="0C0E5B0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878" w:type="pct"/>
            <w:vMerge w:val="continue"/>
            <w:vAlign w:val="center"/>
          </w:tcPr>
          <w:p w14:paraId="7707C1C3">
            <w:pPr>
              <w:spacing w:line="240" w:lineRule="auto"/>
              <w:jc w:val="center"/>
              <w:rPr>
                <w:rFonts w:cs="Times New Roman"/>
                <w:szCs w:val="24"/>
              </w:rPr>
            </w:pPr>
          </w:p>
        </w:tc>
        <w:tc>
          <w:tcPr>
            <w:tcW w:w="780" w:type="pct"/>
            <w:tcBorders>
              <w:top w:val="nil"/>
              <w:bottom w:val="nil"/>
            </w:tcBorders>
            <w:vAlign w:val="center"/>
          </w:tcPr>
          <w:p w14:paraId="7FA15BF5">
            <w:pPr>
              <w:spacing w:line="240" w:lineRule="auto"/>
              <w:jc w:val="center"/>
              <w:rPr>
                <w:rFonts w:cs="Times New Roman"/>
                <w:szCs w:val="24"/>
              </w:rPr>
            </w:pPr>
            <w:r>
              <w:rPr>
                <w:rFonts w:cs="Times New Roman"/>
                <w:szCs w:val="24"/>
              </w:rPr>
              <w:t>O</w:t>
            </w:r>
            <w:r>
              <w:rPr>
                <w:rFonts w:cs="Times New Roman"/>
                <w:szCs w:val="24"/>
                <w:vertAlign w:val="subscript"/>
              </w:rPr>
              <w:t>defect</w:t>
            </w:r>
          </w:p>
        </w:tc>
        <w:tc>
          <w:tcPr>
            <w:tcW w:w="670" w:type="pct"/>
            <w:tcBorders>
              <w:top w:val="nil"/>
              <w:bottom w:val="nil"/>
            </w:tcBorders>
          </w:tcPr>
          <w:p w14:paraId="6C51CB99">
            <w:pPr>
              <w:spacing w:line="240" w:lineRule="auto"/>
              <w:jc w:val="center"/>
              <w:rPr>
                <w:rFonts w:cs="Times New Roman"/>
                <w:szCs w:val="24"/>
              </w:rPr>
            </w:pPr>
            <w:r>
              <w:rPr>
                <w:szCs w:val="24"/>
              </w:rPr>
              <w:t>532.01</w:t>
            </w:r>
          </w:p>
        </w:tc>
        <w:tc>
          <w:tcPr>
            <w:tcW w:w="891" w:type="pct"/>
            <w:tcBorders>
              <w:top w:val="nil"/>
              <w:bottom w:val="nil"/>
            </w:tcBorders>
          </w:tcPr>
          <w:p w14:paraId="18FCA7B1">
            <w:pPr>
              <w:spacing w:line="240" w:lineRule="auto"/>
              <w:jc w:val="center"/>
              <w:rPr>
                <w:rFonts w:cs="Times New Roman"/>
                <w:szCs w:val="24"/>
              </w:rPr>
            </w:pPr>
            <w:r>
              <w:rPr>
                <w:szCs w:val="24"/>
              </w:rPr>
              <w:t>2.25</w:t>
            </w:r>
          </w:p>
        </w:tc>
        <w:tc>
          <w:tcPr>
            <w:tcW w:w="781" w:type="pct"/>
            <w:tcBorders>
              <w:top w:val="nil"/>
              <w:bottom w:val="nil"/>
            </w:tcBorders>
          </w:tcPr>
          <w:p w14:paraId="2FB9F590">
            <w:pPr>
              <w:spacing w:line="240" w:lineRule="auto"/>
              <w:jc w:val="center"/>
              <w:rPr>
                <w:rFonts w:cs="Times New Roman"/>
                <w:szCs w:val="24"/>
              </w:rPr>
            </w:pPr>
            <w:r>
              <w:rPr>
                <w:szCs w:val="24"/>
              </w:rPr>
              <w:t>0.75</w:t>
            </w:r>
          </w:p>
        </w:tc>
      </w:tr>
      <w:tr w14:paraId="1200A99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878" w:type="pct"/>
            <w:vMerge w:val="continue"/>
            <w:tcBorders>
              <w:bottom w:val="single" w:color="auto" w:sz="4" w:space="0"/>
            </w:tcBorders>
            <w:vAlign w:val="center"/>
          </w:tcPr>
          <w:p w14:paraId="1DC5BFA2">
            <w:pPr>
              <w:spacing w:line="240" w:lineRule="auto"/>
              <w:jc w:val="center"/>
              <w:rPr>
                <w:rFonts w:cs="Times New Roman"/>
                <w:szCs w:val="24"/>
              </w:rPr>
            </w:pPr>
          </w:p>
        </w:tc>
        <w:tc>
          <w:tcPr>
            <w:tcW w:w="780" w:type="pct"/>
            <w:tcBorders>
              <w:top w:val="nil"/>
              <w:bottom w:val="single" w:color="auto" w:sz="4" w:space="0"/>
            </w:tcBorders>
            <w:vAlign w:val="center"/>
          </w:tcPr>
          <w:p w14:paraId="465558E8">
            <w:pPr>
              <w:spacing w:line="240" w:lineRule="auto"/>
              <w:jc w:val="center"/>
              <w:rPr>
                <w:rFonts w:cs="Times New Roman"/>
                <w:szCs w:val="24"/>
              </w:rPr>
            </w:pPr>
            <w:r>
              <w:rPr>
                <w:rFonts w:cs="Times New Roman"/>
                <w:szCs w:val="24"/>
              </w:rPr>
              <w:t>O</w:t>
            </w:r>
            <w:r>
              <w:rPr>
                <w:rFonts w:cs="Times New Roman"/>
                <w:szCs w:val="24"/>
                <w:vertAlign w:val="subscript"/>
              </w:rPr>
              <w:t>ads</w:t>
            </w:r>
          </w:p>
        </w:tc>
        <w:tc>
          <w:tcPr>
            <w:tcW w:w="670" w:type="pct"/>
            <w:tcBorders>
              <w:top w:val="nil"/>
              <w:bottom w:val="single" w:color="auto" w:sz="4" w:space="0"/>
            </w:tcBorders>
          </w:tcPr>
          <w:p w14:paraId="534098D1">
            <w:pPr>
              <w:spacing w:line="240" w:lineRule="auto"/>
              <w:jc w:val="center"/>
              <w:rPr>
                <w:rFonts w:cs="Times New Roman"/>
                <w:szCs w:val="24"/>
              </w:rPr>
            </w:pPr>
            <w:r>
              <w:rPr>
                <w:szCs w:val="24"/>
              </w:rPr>
              <w:t>533.48</w:t>
            </w:r>
          </w:p>
        </w:tc>
        <w:tc>
          <w:tcPr>
            <w:tcW w:w="891" w:type="pct"/>
            <w:tcBorders>
              <w:top w:val="nil"/>
              <w:bottom w:val="single" w:color="auto" w:sz="4" w:space="0"/>
            </w:tcBorders>
          </w:tcPr>
          <w:p w14:paraId="70337046">
            <w:pPr>
              <w:spacing w:line="240" w:lineRule="auto"/>
              <w:jc w:val="center"/>
              <w:rPr>
                <w:rFonts w:cs="Times New Roman"/>
                <w:szCs w:val="24"/>
              </w:rPr>
            </w:pPr>
            <w:r>
              <w:rPr>
                <w:szCs w:val="24"/>
              </w:rPr>
              <w:t>1.93</w:t>
            </w:r>
          </w:p>
        </w:tc>
        <w:tc>
          <w:tcPr>
            <w:tcW w:w="781" w:type="pct"/>
            <w:tcBorders>
              <w:top w:val="nil"/>
              <w:bottom w:val="single" w:color="auto" w:sz="4" w:space="0"/>
            </w:tcBorders>
          </w:tcPr>
          <w:p w14:paraId="00673248">
            <w:pPr>
              <w:spacing w:line="240" w:lineRule="auto"/>
              <w:jc w:val="center"/>
              <w:rPr>
                <w:rFonts w:cs="Times New Roman"/>
                <w:szCs w:val="24"/>
              </w:rPr>
            </w:pPr>
            <w:r>
              <w:rPr>
                <w:szCs w:val="24"/>
              </w:rPr>
              <w:t>0.08</w:t>
            </w:r>
          </w:p>
        </w:tc>
      </w:tr>
      <w:tr w14:paraId="69F4A7E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878" w:type="pct"/>
            <w:vMerge w:val="restart"/>
            <w:tcBorders>
              <w:top w:val="single" w:color="auto" w:sz="4" w:space="0"/>
            </w:tcBorders>
            <w:vAlign w:val="center"/>
          </w:tcPr>
          <w:p w14:paraId="7D28F022">
            <w:pPr>
              <w:spacing w:line="240" w:lineRule="auto"/>
              <w:jc w:val="center"/>
              <w:rPr>
                <w:rFonts w:cs="Times New Roman"/>
                <w:szCs w:val="24"/>
              </w:rPr>
            </w:pPr>
            <w:r>
              <w:rPr>
                <w:rFonts w:cs="Times New Roman"/>
                <w:szCs w:val="24"/>
              </w:rPr>
              <w:t>Air-192</w:t>
            </w:r>
          </w:p>
        </w:tc>
        <w:tc>
          <w:tcPr>
            <w:tcW w:w="780" w:type="pct"/>
            <w:tcBorders>
              <w:top w:val="single" w:color="auto" w:sz="4" w:space="0"/>
            </w:tcBorders>
            <w:vAlign w:val="center"/>
          </w:tcPr>
          <w:p w14:paraId="26914EDA">
            <w:pPr>
              <w:spacing w:line="240" w:lineRule="auto"/>
              <w:jc w:val="center"/>
              <w:rPr>
                <w:rFonts w:cs="Times New Roman"/>
                <w:szCs w:val="24"/>
              </w:rPr>
            </w:pPr>
            <w:r>
              <w:rPr>
                <w:rFonts w:cs="Times New Roman"/>
                <w:szCs w:val="24"/>
              </w:rPr>
              <w:t>O</w:t>
            </w:r>
            <w:r>
              <w:rPr>
                <w:rFonts w:cs="Times New Roman"/>
                <w:szCs w:val="24"/>
                <w:vertAlign w:val="subscript"/>
              </w:rPr>
              <w:t>lattice</w:t>
            </w:r>
          </w:p>
        </w:tc>
        <w:tc>
          <w:tcPr>
            <w:tcW w:w="670" w:type="pct"/>
            <w:tcBorders>
              <w:top w:val="single" w:color="auto" w:sz="4" w:space="0"/>
            </w:tcBorders>
          </w:tcPr>
          <w:p w14:paraId="2F8AB678">
            <w:pPr>
              <w:spacing w:line="240" w:lineRule="auto"/>
              <w:jc w:val="center"/>
              <w:rPr>
                <w:rFonts w:cs="Times New Roman"/>
                <w:szCs w:val="24"/>
              </w:rPr>
            </w:pPr>
            <w:r>
              <w:rPr>
                <w:szCs w:val="24"/>
              </w:rPr>
              <w:t>529.65</w:t>
            </w:r>
          </w:p>
        </w:tc>
        <w:tc>
          <w:tcPr>
            <w:tcW w:w="891" w:type="pct"/>
            <w:tcBorders>
              <w:top w:val="single" w:color="auto" w:sz="4" w:space="0"/>
            </w:tcBorders>
          </w:tcPr>
          <w:p w14:paraId="7786F90D">
            <w:pPr>
              <w:spacing w:line="240" w:lineRule="auto"/>
              <w:jc w:val="center"/>
              <w:rPr>
                <w:rFonts w:cs="Times New Roman"/>
                <w:szCs w:val="24"/>
              </w:rPr>
            </w:pPr>
            <w:r>
              <w:rPr>
                <w:szCs w:val="24"/>
              </w:rPr>
              <w:t>1.43</w:t>
            </w:r>
          </w:p>
        </w:tc>
        <w:tc>
          <w:tcPr>
            <w:tcW w:w="781" w:type="pct"/>
            <w:tcBorders>
              <w:top w:val="single" w:color="auto" w:sz="4" w:space="0"/>
            </w:tcBorders>
          </w:tcPr>
          <w:p w14:paraId="100D514D">
            <w:pPr>
              <w:spacing w:line="240" w:lineRule="auto"/>
              <w:jc w:val="center"/>
              <w:rPr>
                <w:rFonts w:cs="Times New Roman"/>
                <w:szCs w:val="24"/>
              </w:rPr>
            </w:pPr>
            <w:r>
              <w:rPr>
                <w:szCs w:val="24"/>
              </w:rPr>
              <w:t>1.00</w:t>
            </w:r>
          </w:p>
        </w:tc>
      </w:tr>
      <w:tr w14:paraId="04C24BE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878" w:type="pct"/>
            <w:vMerge w:val="continue"/>
            <w:vAlign w:val="center"/>
          </w:tcPr>
          <w:p w14:paraId="69DA13D8">
            <w:pPr>
              <w:spacing w:line="240" w:lineRule="auto"/>
              <w:jc w:val="center"/>
              <w:rPr>
                <w:rFonts w:cs="Times New Roman"/>
                <w:szCs w:val="24"/>
              </w:rPr>
            </w:pPr>
          </w:p>
        </w:tc>
        <w:tc>
          <w:tcPr>
            <w:tcW w:w="780" w:type="pct"/>
            <w:vAlign w:val="center"/>
          </w:tcPr>
          <w:p w14:paraId="6E3837E2">
            <w:pPr>
              <w:spacing w:line="240" w:lineRule="auto"/>
              <w:jc w:val="center"/>
              <w:rPr>
                <w:rFonts w:cs="Times New Roman"/>
                <w:szCs w:val="24"/>
              </w:rPr>
            </w:pPr>
            <w:r>
              <w:rPr>
                <w:rFonts w:cs="Times New Roman"/>
                <w:szCs w:val="24"/>
              </w:rPr>
              <w:t>O</w:t>
            </w:r>
            <w:r>
              <w:rPr>
                <w:rFonts w:cs="Times New Roman"/>
                <w:szCs w:val="24"/>
                <w:vertAlign w:val="subscript"/>
              </w:rPr>
              <w:t>defect</w:t>
            </w:r>
          </w:p>
        </w:tc>
        <w:tc>
          <w:tcPr>
            <w:tcW w:w="670" w:type="pct"/>
          </w:tcPr>
          <w:p w14:paraId="7DC4C0F3">
            <w:pPr>
              <w:spacing w:line="240" w:lineRule="auto"/>
              <w:jc w:val="center"/>
              <w:rPr>
                <w:rFonts w:cs="Times New Roman"/>
                <w:szCs w:val="24"/>
              </w:rPr>
            </w:pPr>
            <w:r>
              <w:rPr>
                <w:szCs w:val="24"/>
              </w:rPr>
              <w:t>531.62</w:t>
            </w:r>
          </w:p>
        </w:tc>
        <w:tc>
          <w:tcPr>
            <w:tcW w:w="891" w:type="pct"/>
          </w:tcPr>
          <w:p w14:paraId="002B2131">
            <w:pPr>
              <w:spacing w:line="240" w:lineRule="auto"/>
              <w:jc w:val="center"/>
              <w:rPr>
                <w:rFonts w:cs="Times New Roman"/>
                <w:szCs w:val="24"/>
              </w:rPr>
            </w:pPr>
            <w:r>
              <w:rPr>
                <w:szCs w:val="24"/>
              </w:rPr>
              <w:t>1.81</w:t>
            </w:r>
          </w:p>
        </w:tc>
        <w:tc>
          <w:tcPr>
            <w:tcW w:w="781" w:type="pct"/>
          </w:tcPr>
          <w:p w14:paraId="11A51278">
            <w:pPr>
              <w:spacing w:line="240" w:lineRule="auto"/>
              <w:jc w:val="center"/>
              <w:rPr>
                <w:rFonts w:cs="Times New Roman"/>
                <w:szCs w:val="24"/>
              </w:rPr>
            </w:pPr>
            <w:r>
              <w:rPr>
                <w:szCs w:val="24"/>
              </w:rPr>
              <w:t>0.25</w:t>
            </w:r>
          </w:p>
        </w:tc>
      </w:tr>
      <w:tr w14:paraId="3847532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878" w:type="pct"/>
            <w:vMerge w:val="continue"/>
            <w:vAlign w:val="center"/>
          </w:tcPr>
          <w:p w14:paraId="2CE5C71E">
            <w:pPr>
              <w:spacing w:line="240" w:lineRule="auto"/>
              <w:jc w:val="center"/>
              <w:rPr>
                <w:rFonts w:cs="Times New Roman"/>
                <w:szCs w:val="24"/>
              </w:rPr>
            </w:pPr>
          </w:p>
        </w:tc>
        <w:tc>
          <w:tcPr>
            <w:tcW w:w="780" w:type="pct"/>
            <w:vAlign w:val="center"/>
          </w:tcPr>
          <w:p w14:paraId="0614A7C5">
            <w:pPr>
              <w:spacing w:line="240" w:lineRule="auto"/>
              <w:jc w:val="center"/>
              <w:rPr>
                <w:rFonts w:cs="Times New Roman"/>
                <w:szCs w:val="24"/>
              </w:rPr>
            </w:pPr>
            <w:r>
              <w:rPr>
                <w:rFonts w:cs="Times New Roman"/>
                <w:szCs w:val="24"/>
              </w:rPr>
              <w:t>O</w:t>
            </w:r>
            <w:r>
              <w:rPr>
                <w:rFonts w:cs="Times New Roman"/>
                <w:szCs w:val="24"/>
                <w:vertAlign w:val="subscript"/>
              </w:rPr>
              <w:t>ads</w:t>
            </w:r>
          </w:p>
        </w:tc>
        <w:tc>
          <w:tcPr>
            <w:tcW w:w="670" w:type="pct"/>
          </w:tcPr>
          <w:p w14:paraId="6174DC66">
            <w:pPr>
              <w:spacing w:line="240" w:lineRule="auto"/>
              <w:jc w:val="center"/>
              <w:rPr>
                <w:rFonts w:cs="Times New Roman"/>
                <w:szCs w:val="24"/>
              </w:rPr>
            </w:pPr>
            <w:r>
              <w:rPr>
                <w:szCs w:val="24"/>
              </w:rPr>
              <w:t>533.32</w:t>
            </w:r>
          </w:p>
        </w:tc>
        <w:tc>
          <w:tcPr>
            <w:tcW w:w="891" w:type="pct"/>
          </w:tcPr>
          <w:p w14:paraId="5B3818DC">
            <w:pPr>
              <w:spacing w:line="240" w:lineRule="auto"/>
              <w:jc w:val="center"/>
              <w:rPr>
                <w:rFonts w:cs="Times New Roman"/>
                <w:szCs w:val="24"/>
              </w:rPr>
            </w:pPr>
            <w:r>
              <w:rPr>
                <w:szCs w:val="24"/>
              </w:rPr>
              <w:t>2.04</w:t>
            </w:r>
          </w:p>
        </w:tc>
        <w:tc>
          <w:tcPr>
            <w:tcW w:w="781" w:type="pct"/>
          </w:tcPr>
          <w:p w14:paraId="121E87AB">
            <w:pPr>
              <w:spacing w:line="240" w:lineRule="auto"/>
              <w:jc w:val="center"/>
              <w:rPr>
                <w:rFonts w:cs="Times New Roman"/>
                <w:szCs w:val="24"/>
              </w:rPr>
            </w:pPr>
            <w:r>
              <w:rPr>
                <w:szCs w:val="24"/>
              </w:rPr>
              <w:t>0.05</w:t>
            </w:r>
          </w:p>
        </w:tc>
      </w:tr>
    </w:tbl>
    <w:p w14:paraId="6209A30B">
      <w:pPr>
        <w:pStyle w:val="5"/>
        <w:jc w:val="left"/>
        <w:rPr>
          <w:b/>
          <w:bCs/>
        </w:rPr>
      </w:pPr>
    </w:p>
    <w:p w14:paraId="1F7A801B">
      <w:pPr>
        <w:widowControl/>
        <w:spacing w:line="240" w:lineRule="auto"/>
        <w:jc w:val="left"/>
        <w:rPr>
          <w:rFonts w:eastAsia="黑体" w:cstheme="majorBidi"/>
          <w:b/>
          <w:bCs/>
          <w:sz w:val="21"/>
          <w:szCs w:val="20"/>
        </w:rPr>
      </w:pPr>
      <w:r>
        <w:rPr>
          <w:b/>
          <w:bCs/>
        </w:rPr>
        <w:br w:type="page"/>
      </w:r>
    </w:p>
    <w:p w14:paraId="4D691C6D">
      <w:pPr>
        <w:pStyle w:val="5"/>
        <w:spacing w:before="156" w:beforeLines="50"/>
      </w:pPr>
      <w:r>
        <w:rPr>
          <w:b/>
          <w:bCs/>
        </w:rPr>
        <w:t>Table S</w:t>
      </w:r>
      <w:r>
        <w:rPr>
          <w:rFonts w:hint="eastAsia"/>
          <w:b/>
          <w:bCs/>
        </w:rPr>
        <w:t>2</w:t>
      </w:r>
      <w:r>
        <w:rPr>
          <w:rFonts w:hint="eastAsia"/>
        </w:rPr>
        <w:t>.</w:t>
      </w:r>
      <w:r>
        <w:rPr>
          <w:rFonts w:hint="eastAsia"/>
          <w:b/>
          <w:bCs/>
        </w:rPr>
        <w:t xml:space="preserve"> </w:t>
      </w:r>
      <w:r>
        <w:t>Fitting parameters of Zr 3d XPS spectra</w:t>
      </w:r>
      <w:r>
        <w:rPr>
          <w:rFonts w:hint="eastAsia"/>
        </w:rPr>
        <w:t>.</w:t>
      </w:r>
    </w:p>
    <w:tbl>
      <w:tblPr>
        <w:tblStyle w:val="12"/>
        <w:tblW w:w="5000" w:type="pct"/>
        <w:jc w:val="center"/>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201"/>
        <w:gridCol w:w="1329"/>
        <w:gridCol w:w="1142"/>
        <w:gridCol w:w="1519"/>
        <w:gridCol w:w="1331"/>
      </w:tblGrid>
      <w:tr w14:paraId="634305D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878" w:type="pct"/>
            <w:tcBorders>
              <w:top w:val="single" w:color="auto" w:sz="12" w:space="0"/>
              <w:bottom w:val="single" w:color="auto" w:sz="6" w:space="0"/>
            </w:tcBorders>
            <w:vAlign w:val="center"/>
          </w:tcPr>
          <w:p w14:paraId="03A8DA5F">
            <w:pPr>
              <w:spacing w:line="240" w:lineRule="auto"/>
              <w:jc w:val="center"/>
              <w:rPr>
                <w:rFonts w:cs="Times New Roman"/>
                <w:szCs w:val="24"/>
              </w:rPr>
            </w:pPr>
            <w:r>
              <w:rPr>
                <w:rFonts w:cs="Times New Roman"/>
                <w:szCs w:val="24"/>
              </w:rPr>
              <w:t>Sample</w:t>
            </w:r>
          </w:p>
        </w:tc>
        <w:tc>
          <w:tcPr>
            <w:tcW w:w="780" w:type="pct"/>
            <w:tcBorders>
              <w:top w:val="single" w:color="auto" w:sz="12" w:space="0"/>
              <w:bottom w:val="single" w:color="auto" w:sz="6" w:space="0"/>
            </w:tcBorders>
            <w:vAlign w:val="center"/>
          </w:tcPr>
          <w:p w14:paraId="7FCE1B04">
            <w:pPr>
              <w:spacing w:line="240" w:lineRule="auto"/>
              <w:jc w:val="center"/>
              <w:rPr>
                <w:rFonts w:cs="Times New Roman"/>
                <w:szCs w:val="24"/>
              </w:rPr>
            </w:pPr>
            <w:r>
              <w:rPr>
                <w:rFonts w:cs="Times New Roman"/>
                <w:szCs w:val="24"/>
              </w:rPr>
              <w:t>Species</w:t>
            </w:r>
          </w:p>
        </w:tc>
        <w:tc>
          <w:tcPr>
            <w:tcW w:w="670" w:type="pct"/>
            <w:tcBorders>
              <w:top w:val="single" w:color="auto" w:sz="12" w:space="0"/>
              <w:bottom w:val="single" w:color="auto" w:sz="6" w:space="0"/>
            </w:tcBorders>
            <w:vAlign w:val="center"/>
          </w:tcPr>
          <w:p w14:paraId="20EF649D">
            <w:pPr>
              <w:spacing w:line="240" w:lineRule="auto"/>
              <w:jc w:val="center"/>
              <w:rPr>
                <w:rFonts w:cs="Times New Roman"/>
                <w:szCs w:val="24"/>
              </w:rPr>
            </w:pPr>
            <w:r>
              <w:rPr>
                <w:rFonts w:cs="Times New Roman"/>
                <w:szCs w:val="24"/>
              </w:rPr>
              <w:t>BE (eV)</w:t>
            </w:r>
          </w:p>
        </w:tc>
        <w:tc>
          <w:tcPr>
            <w:tcW w:w="891" w:type="pct"/>
            <w:tcBorders>
              <w:top w:val="single" w:color="auto" w:sz="12" w:space="0"/>
              <w:bottom w:val="single" w:color="auto" w:sz="6" w:space="0"/>
            </w:tcBorders>
            <w:vAlign w:val="center"/>
          </w:tcPr>
          <w:p w14:paraId="1AF38DC4">
            <w:pPr>
              <w:spacing w:line="240" w:lineRule="auto"/>
              <w:jc w:val="center"/>
              <w:rPr>
                <w:rFonts w:cs="Times New Roman"/>
                <w:szCs w:val="24"/>
              </w:rPr>
            </w:pPr>
            <w:r>
              <w:rPr>
                <w:rFonts w:cs="Times New Roman"/>
                <w:szCs w:val="24"/>
              </w:rPr>
              <w:t>FWHM (eV)</w:t>
            </w:r>
          </w:p>
        </w:tc>
        <w:tc>
          <w:tcPr>
            <w:tcW w:w="781" w:type="pct"/>
            <w:tcBorders>
              <w:top w:val="single" w:color="auto" w:sz="12" w:space="0"/>
              <w:bottom w:val="single" w:color="auto" w:sz="6" w:space="0"/>
            </w:tcBorders>
          </w:tcPr>
          <w:p w14:paraId="0C924A8F">
            <w:pPr>
              <w:spacing w:line="240" w:lineRule="auto"/>
              <w:jc w:val="center"/>
              <w:rPr>
                <w:rFonts w:cs="Times New Roman"/>
                <w:szCs w:val="24"/>
              </w:rPr>
            </w:pPr>
            <w:r>
              <w:rPr>
                <w:rFonts w:cs="Times New Roman"/>
                <w:szCs w:val="24"/>
              </w:rPr>
              <w:t>Area ratio</w:t>
            </w:r>
          </w:p>
        </w:tc>
      </w:tr>
      <w:tr w14:paraId="5662D2B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878" w:type="pct"/>
            <w:vMerge w:val="restart"/>
            <w:tcBorders>
              <w:top w:val="single" w:color="auto" w:sz="6" w:space="0"/>
              <w:bottom w:val="nil"/>
            </w:tcBorders>
            <w:vAlign w:val="center"/>
          </w:tcPr>
          <w:p w14:paraId="1D433A22">
            <w:pPr>
              <w:spacing w:line="240" w:lineRule="auto"/>
              <w:jc w:val="center"/>
              <w:rPr>
                <w:rFonts w:cs="Times New Roman"/>
                <w:szCs w:val="24"/>
              </w:rPr>
            </w:pPr>
            <w:r>
              <w:rPr>
                <w:rFonts w:cs="Times New Roman"/>
                <w:szCs w:val="24"/>
              </w:rPr>
              <w:t>Untreated</w:t>
            </w:r>
          </w:p>
        </w:tc>
        <w:tc>
          <w:tcPr>
            <w:tcW w:w="780" w:type="pct"/>
            <w:tcBorders>
              <w:top w:val="single" w:color="auto" w:sz="6" w:space="0"/>
              <w:bottom w:val="nil"/>
            </w:tcBorders>
            <w:vAlign w:val="center"/>
          </w:tcPr>
          <w:p w14:paraId="3719F2F5">
            <w:pPr>
              <w:spacing w:line="240" w:lineRule="auto"/>
              <w:jc w:val="center"/>
              <w:rPr>
                <w:rFonts w:cs="Times New Roman"/>
                <w:szCs w:val="24"/>
              </w:rPr>
            </w:pPr>
            <w:r>
              <w:rPr>
                <w:rFonts w:cs="Times New Roman"/>
                <w:szCs w:val="24"/>
              </w:rPr>
              <w:t>Zr</w:t>
            </w:r>
            <w:r>
              <w:rPr>
                <w:rFonts w:cs="Times New Roman"/>
                <w:szCs w:val="24"/>
                <w:vertAlign w:val="superscript"/>
              </w:rPr>
              <w:t>4+</w:t>
            </w:r>
            <w:r>
              <w:rPr>
                <w:rFonts w:cs="Times New Roman"/>
                <w:szCs w:val="24"/>
              </w:rPr>
              <w:t>(3d</w:t>
            </w:r>
            <w:r>
              <w:rPr>
                <w:rFonts w:cs="Times New Roman"/>
                <w:szCs w:val="24"/>
                <w:vertAlign w:val="subscript"/>
              </w:rPr>
              <w:t>5/2</w:t>
            </w:r>
            <w:r>
              <w:rPr>
                <w:rFonts w:cs="Times New Roman"/>
                <w:szCs w:val="24"/>
              </w:rPr>
              <w:t>)</w:t>
            </w:r>
          </w:p>
        </w:tc>
        <w:tc>
          <w:tcPr>
            <w:tcW w:w="670" w:type="pct"/>
            <w:tcBorders>
              <w:top w:val="single" w:color="auto" w:sz="6" w:space="0"/>
              <w:bottom w:val="nil"/>
            </w:tcBorders>
          </w:tcPr>
          <w:p w14:paraId="798A7B37">
            <w:pPr>
              <w:spacing w:line="240" w:lineRule="auto"/>
              <w:jc w:val="center"/>
              <w:rPr>
                <w:rFonts w:cs="Times New Roman"/>
                <w:szCs w:val="24"/>
              </w:rPr>
            </w:pPr>
            <w:r>
              <w:rPr>
                <w:szCs w:val="24"/>
              </w:rPr>
              <w:t>181.91</w:t>
            </w:r>
          </w:p>
        </w:tc>
        <w:tc>
          <w:tcPr>
            <w:tcW w:w="891" w:type="pct"/>
            <w:tcBorders>
              <w:top w:val="single" w:color="auto" w:sz="6" w:space="0"/>
              <w:bottom w:val="nil"/>
            </w:tcBorders>
          </w:tcPr>
          <w:p w14:paraId="50A5E17E">
            <w:pPr>
              <w:spacing w:line="240" w:lineRule="auto"/>
              <w:jc w:val="center"/>
              <w:rPr>
                <w:rFonts w:cs="Times New Roman"/>
                <w:szCs w:val="24"/>
              </w:rPr>
            </w:pPr>
            <w:r>
              <w:rPr>
                <w:szCs w:val="24"/>
              </w:rPr>
              <w:t>1.40</w:t>
            </w:r>
          </w:p>
        </w:tc>
        <w:tc>
          <w:tcPr>
            <w:tcW w:w="781" w:type="pct"/>
            <w:tcBorders>
              <w:top w:val="single" w:color="auto" w:sz="6" w:space="0"/>
              <w:bottom w:val="nil"/>
            </w:tcBorders>
          </w:tcPr>
          <w:p w14:paraId="06C88A00">
            <w:pPr>
              <w:spacing w:line="240" w:lineRule="auto"/>
              <w:jc w:val="center"/>
              <w:rPr>
                <w:rFonts w:cs="Times New Roman"/>
                <w:szCs w:val="24"/>
              </w:rPr>
            </w:pPr>
            <w:r>
              <w:rPr>
                <w:szCs w:val="24"/>
              </w:rPr>
              <w:t>1.00</w:t>
            </w:r>
          </w:p>
        </w:tc>
      </w:tr>
      <w:tr w14:paraId="3F54FB3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878" w:type="pct"/>
            <w:vMerge w:val="continue"/>
            <w:tcBorders>
              <w:top w:val="nil"/>
              <w:bottom w:val="single" w:color="auto" w:sz="6" w:space="0"/>
            </w:tcBorders>
            <w:vAlign w:val="center"/>
          </w:tcPr>
          <w:p w14:paraId="283A1FC7">
            <w:pPr>
              <w:spacing w:line="240" w:lineRule="auto"/>
              <w:jc w:val="center"/>
              <w:rPr>
                <w:rFonts w:cs="Times New Roman"/>
                <w:szCs w:val="24"/>
              </w:rPr>
            </w:pPr>
          </w:p>
        </w:tc>
        <w:tc>
          <w:tcPr>
            <w:tcW w:w="780" w:type="pct"/>
            <w:tcBorders>
              <w:top w:val="nil"/>
              <w:bottom w:val="single" w:color="auto" w:sz="6" w:space="0"/>
            </w:tcBorders>
            <w:vAlign w:val="center"/>
          </w:tcPr>
          <w:p w14:paraId="58E1EDB5">
            <w:pPr>
              <w:spacing w:line="240" w:lineRule="auto"/>
              <w:jc w:val="center"/>
              <w:rPr>
                <w:rFonts w:cs="Times New Roman"/>
                <w:szCs w:val="24"/>
              </w:rPr>
            </w:pPr>
            <w:r>
              <w:rPr>
                <w:rFonts w:cs="Times New Roman"/>
                <w:szCs w:val="24"/>
              </w:rPr>
              <w:t>Zr</w:t>
            </w:r>
            <w:r>
              <w:rPr>
                <w:rFonts w:cs="Times New Roman"/>
                <w:szCs w:val="24"/>
                <w:vertAlign w:val="superscript"/>
              </w:rPr>
              <w:t>4+</w:t>
            </w:r>
            <w:r>
              <w:rPr>
                <w:rFonts w:cs="Times New Roman"/>
                <w:szCs w:val="24"/>
              </w:rPr>
              <w:t>(3d</w:t>
            </w:r>
            <w:r>
              <w:rPr>
                <w:rFonts w:cs="Times New Roman"/>
                <w:szCs w:val="24"/>
                <w:vertAlign w:val="subscript"/>
              </w:rPr>
              <w:t>3/2</w:t>
            </w:r>
            <w:r>
              <w:rPr>
                <w:rFonts w:cs="Times New Roman"/>
                <w:szCs w:val="24"/>
              </w:rPr>
              <w:t>)</w:t>
            </w:r>
          </w:p>
        </w:tc>
        <w:tc>
          <w:tcPr>
            <w:tcW w:w="670" w:type="pct"/>
            <w:tcBorders>
              <w:top w:val="nil"/>
              <w:bottom w:val="single" w:color="auto" w:sz="6" w:space="0"/>
            </w:tcBorders>
          </w:tcPr>
          <w:p w14:paraId="6E691F7A">
            <w:pPr>
              <w:spacing w:line="240" w:lineRule="auto"/>
              <w:jc w:val="center"/>
              <w:rPr>
                <w:rFonts w:cs="Times New Roman"/>
                <w:szCs w:val="24"/>
              </w:rPr>
            </w:pPr>
            <w:r>
              <w:rPr>
                <w:szCs w:val="24"/>
              </w:rPr>
              <w:t>184.30</w:t>
            </w:r>
          </w:p>
        </w:tc>
        <w:tc>
          <w:tcPr>
            <w:tcW w:w="891" w:type="pct"/>
            <w:tcBorders>
              <w:top w:val="nil"/>
              <w:bottom w:val="single" w:color="auto" w:sz="6" w:space="0"/>
            </w:tcBorders>
          </w:tcPr>
          <w:p w14:paraId="51E98CA5">
            <w:pPr>
              <w:spacing w:line="240" w:lineRule="auto"/>
              <w:jc w:val="center"/>
              <w:rPr>
                <w:rFonts w:cs="Times New Roman"/>
                <w:szCs w:val="24"/>
              </w:rPr>
            </w:pPr>
            <w:r>
              <w:rPr>
                <w:szCs w:val="24"/>
              </w:rPr>
              <w:t>1.40</w:t>
            </w:r>
          </w:p>
        </w:tc>
        <w:tc>
          <w:tcPr>
            <w:tcW w:w="781" w:type="pct"/>
            <w:tcBorders>
              <w:top w:val="nil"/>
              <w:bottom w:val="single" w:color="auto" w:sz="6" w:space="0"/>
            </w:tcBorders>
          </w:tcPr>
          <w:p w14:paraId="07C58391">
            <w:pPr>
              <w:spacing w:line="240" w:lineRule="auto"/>
              <w:jc w:val="center"/>
              <w:rPr>
                <w:rFonts w:cs="Times New Roman"/>
                <w:szCs w:val="24"/>
              </w:rPr>
            </w:pPr>
            <w:r>
              <w:rPr>
                <w:szCs w:val="24"/>
              </w:rPr>
              <w:t>0.67</w:t>
            </w:r>
          </w:p>
        </w:tc>
      </w:tr>
      <w:tr w14:paraId="66DBFA7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878" w:type="pct"/>
            <w:vMerge w:val="restart"/>
            <w:tcBorders>
              <w:top w:val="single" w:color="auto" w:sz="6" w:space="0"/>
            </w:tcBorders>
            <w:vAlign w:val="center"/>
          </w:tcPr>
          <w:p w14:paraId="1BDEABB5">
            <w:pPr>
              <w:spacing w:line="240" w:lineRule="auto"/>
              <w:jc w:val="center"/>
              <w:rPr>
                <w:rFonts w:cs="Times New Roman"/>
                <w:szCs w:val="24"/>
              </w:rPr>
            </w:pPr>
            <w:r>
              <w:rPr>
                <w:rFonts w:cs="Times New Roman"/>
                <w:szCs w:val="24"/>
              </w:rPr>
              <w:t>H/Ar-48</w:t>
            </w:r>
          </w:p>
        </w:tc>
        <w:tc>
          <w:tcPr>
            <w:tcW w:w="780" w:type="pct"/>
            <w:tcBorders>
              <w:top w:val="single" w:color="auto" w:sz="6" w:space="0"/>
              <w:bottom w:val="nil"/>
            </w:tcBorders>
            <w:vAlign w:val="center"/>
          </w:tcPr>
          <w:p w14:paraId="486DF0BB">
            <w:pPr>
              <w:spacing w:line="240" w:lineRule="auto"/>
              <w:jc w:val="center"/>
              <w:rPr>
                <w:rFonts w:cs="Times New Roman"/>
                <w:szCs w:val="24"/>
              </w:rPr>
            </w:pPr>
            <w:r>
              <w:rPr>
                <w:rFonts w:cs="Times New Roman"/>
                <w:szCs w:val="24"/>
              </w:rPr>
              <w:t>Zr</w:t>
            </w:r>
            <w:r>
              <w:rPr>
                <w:rFonts w:cs="Times New Roman"/>
                <w:szCs w:val="24"/>
                <w:vertAlign w:val="superscript"/>
              </w:rPr>
              <w:t>4+</w:t>
            </w:r>
            <w:r>
              <w:rPr>
                <w:rFonts w:cs="Times New Roman"/>
                <w:szCs w:val="24"/>
              </w:rPr>
              <w:t>(3d</w:t>
            </w:r>
            <w:r>
              <w:rPr>
                <w:rFonts w:cs="Times New Roman"/>
                <w:szCs w:val="24"/>
                <w:vertAlign w:val="subscript"/>
              </w:rPr>
              <w:t>5/2</w:t>
            </w:r>
            <w:r>
              <w:rPr>
                <w:rFonts w:cs="Times New Roman"/>
                <w:szCs w:val="24"/>
              </w:rPr>
              <w:t>)</w:t>
            </w:r>
          </w:p>
        </w:tc>
        <w:tc>
          <w:tcPr>
            <w:tcW w:w="670" w:type="pct"/>
            <w:tcBorders>
              <w:top w:val="single" w:color="auto" w:sz="6" w:space="0"/>
              <w:bottom w:val="nil"/>
            </w:tcBorders>
          </w:tcPr>
          <w:p w14:paraId="3CB915B1">
            <w:pPr>
              <w:spacing w:line="240" w:lineRule="auto"/>
              <w:jc w:val="center"/>
              <w:rPr>
                <w:rFonts w:cs="Times New Roman"/>
                <w:szCs w:val="24"/>
              </w:rPr>
            </w:pPr>
            <w:r>
              <w:rPr>
                <w:szCs w:val="24"/>
              </w:rPr>
              <w:t>181.93</w:t>
            </w:r>
          </w:p>
        </w:tc>
        <w:tc>
          <w:tcPr>
            <w:tcW w:w="891" w:type="pct"/>
            <w:tcBorders>
              <w:top w:val="single" w:color="auto" w:sz="6" w:space="0"/>
              <w:bottom w:val="nil"/>
            </w:tcBorders>
          </w:tcPr>
          <w:p w14:paraId="23820663">
            <w:pPr>
              <w:spacing w:line="240" w:lineRule="auto"/>
              <w:jc w:val="center"/>
              <w:rPr>
                <w:rFonts w:cs="Times New Roman"/>
                <w:szCs w:val="24"/>
              </w:rPr>
            </w:pPr>
            <w:r>
              <w:rPr>
                <w:szCs w:val="24"/>
              </w:rPr>
              <w:t>1.42</w:t>
            </w:r>
          </w:p>
        </w:tc>
        <w:tc>
          <w:tcPr>
            <w:tcW w:w="781" w:type="pct"/>
            <w:tcBorders>
              <w:top w:val="single" w:color="auto" w:sz="6" w:space="0"/>
              <w:bottom w:val="nil"/>
            </w:tcBorders>
          </w:tcPr>
          <w:p w14:paraId="4E3BCAB2">
            <w:pPr>
              <w:spacing w:line="240" w:lineRule="auto"/>
              <w:jc w:val="center"/>
              <w:rPr>
                <w:rFonts w:cs="Times New Roman"/>
                <w:szCs w:val="24"/>
              </w:rPr>
            </w:pPr>
            <w:r>
              <w:rPr>
                <w:szCs w:val="24"/>
              </w:rPr>
              <w:t>1.00</w:t>
            </w:r>
          </w:p>
        </w:tc>
      </w:tr>
      <w:tr w14:paraId="5EB191C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878" w:type="pct"/>
            <w:vMerge w:val="continue"/>
            <w:vAlign w:val="center"/>
          </w:tcPr>
          <w:p w14:paraId="20254F80">
            <w:pPr>
              <w:spacing w:line="240" w:lineRule="auto"/>
              <w:jc w:val="center"/>
              <w:rPr>
                <w:rFonts w:cs="Times New Roman"/>
                <w:szCs w:val="24"/>
              </w:rPr>
            </w:pPr>
          </w:p>
        </w:tc>
        <w:tc>
          <w:tcPr>
            <w:tcW w:w="780" w:type="pct"/>
            <w:tcBorders>
              <w:top w:val="nil"/>
              <w:bottom w:val="nil"/>
            </w:tcBorders>
            <w:vAlign w:val="center"/>
          </w:tcPr>
          <w:p w14:paraId="52679CEB">
            <w:pPr>
              <w:spacing w:line="240" w:lineRule="auto"/>
              <w:jc w:val="center"/>
              <w:rPr>
                <w:rFonts w:cs="Times New Roman"/>
                <w:szCs w:val="24"/>
              </w:rPr>
            </w:pPr>
            <w:r>
              <w:rPr>
                <w:rFonts w:cs="Times New Roman"/>
                <w:szCs w:val="24"/>
              </w:rPr>
              <w:t>Zr</w:t>
            </w:r>
            <w:r>
              <w:rPr>
                <w:rFonts w:cs="Times New Roman"/>
                <w:szCs w:val="24"/>
                <w:vertAlign w:val="superscript"/>
              </w:rPr>
              <w:t>4+</w:t>
            </w:r>
            <w:r>
              <w:rPr>
                <w:rFonts w:cs="Times New Roman"/>
                <w:szCs w:val="24"/>
              </w:rPr>
              <w:t>(3d</w:t>
            </w:r>
            <w:r>
              <w:rPr>
                <w:rFonts w:cs="Times New Roman"/>
                <w:szCs w:val="24"/>
                <w:vertAlign w:val="subscript"/>
              </w:rPr>
              <w:t>3/2</w:t>
            </w:r>
            <w:r>
              <w:rPr>
                <w:rFonts w:cs="Times New Roman"/>
                <w:szCs w:val="24"/>
              </w:rPr>
              <w:t>)</w:t>
            </w:r>
          </w:p>
        </w:tc>
        <w:tc>
          <w:tcPr>
            <w:tcW w:w="670" w:type="pct"/>
            <w:tcBorders>
              <w:top w:val="nil"/>
              <w:bottom w:val="nil"/>
            </w:tcBorders>
          </w:tcPr>
          <w:p w14:paraId="6BFBBEC8">
            <w:pPr>
              <w:spacing w:line="240" w:lineRule="auto"/>
              <w:jc w:val="center"/>
              <w:rPr>
                <w:rFonts w:cs="Times New Roman"/>
                <w:szCs w:val="24"/>
              </w:rPr>
            </w:pPr>
            <w:r>
              <w:rPr>
                <w:szCs w:val="24"/>
              </w:rPr>
              <w:t>184.28</w:t>
            </w:r>
          </w:p>
        </w:tc>
        <w:tc>
          <w:tcPr>
            <w:tcW w:w="891" w:type="pct"/>
            <w:tcBorders>
              <w:top w:val="nil"/>
              <w:bottom w:val="nil"/>
            </w:tcBorders>
          </w:tcPr>
          <w:p w14:paraId="33D2EF93">
            <w:pPr>
              <w:spacing w:line="240" w:lineRule="auto"/>
              <w:jc w:val="center"/>
              <w:rPr>
                <w:rFonts w:cs="Times New Roman"/>
                <w:szCs w:val="24"/>
              </w:rPr>
            </w:pPr>
            <w:r>
              <w:rPr>
                <w:szCs w:val="24"/>
              </w:rPr>
              <w:t>1.42</w:t>
            </w:r>
          </w:p>
        </w:tc>
        <w:tc>
          <w:tcPr>
            <w:tcW w:w="781" w:type="pct"/>
            <w:tcBorders>
              <w:top w:val="nil"/>
              <w:bottom w:val="nil"/>
            </w:tcBorders>
          </w:tcPr>
          <w:p w14:paraId="3E3DAA0D">
            <w:pPr>
              <w:spacing w:line="240" w:lineRule="auto"/>
              <w:jc w:val="center"/>
              <w:rPr>
                <w:rFonts w:cs="Times New Roman"/>
                <w:szCs w:val="24"/>
              </w:rPr>
            </w:pPr>
            <w:r>
              <w:rPr>
                <w:szCs w:val="24"/>
              </w:rPr>
              <w:t>0.67</w:t>
            </w:r>
          </w:p>
        </w:tc>
      </w:tr>
      <w:tr w14:paraId="1A91A4D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878" w:type="pct"/>
            <w:vMerge w:val="continue"/>
            <w:vAlign w:val="center"/>
          </w:tcPr>
          <w:p w14:paraId="5D32966C">
            <w:pPr>
              <w:spacing w:line="240" w:lineRule="auto"/>
              <w:jc w:val="center"/>
              <w:rPr>
                <w:rFonts w:cs="Times New Roman"/>
                <w:szCs w:val="24"/>
              </w:rPr>
            </w:pPr>
          </w:p>
        </w:tc>
        <w:tc>
          <w:tcPr>
            <w:tcW w:w="780" w:type="pct"/>
            <w:tcBorders>
              <w:top w:val="nil"/>
              <w:bottom w:val="nil"/>
            </w:tcBorders>
            <w:vAlign w:val="center"/>
          </w:tcPr>
          <w:p w14:paraId="78C1953B">
            <w:pPr>
              <w:spacing w:line="240" w:lineRule="auto"/>
              <w:jc w:val="center"/>
              <w:rPr>
                <w:rFonts w:cs="Times New Roman"/>
                <w:szCs w:val="24"/>
              </w:rPr>
            </w:pPr>
            <w:r>
              <w:rPr>
                <w:rFonts w:cs="Times New Roman"/>
                <w:szCs w:val="24"/>
              </w:rPr>
              <w:t>Zr</w:t>
            </w:r>
            <w:r>
              <w:rPr>
                <w:rFonts w:cs="Times New Roman"/>
                <w:szCs w:val="24"/>
                <w:vertAlign w:val="superscript"/>
              </w:rPr>
              <w:t>3+</w:t>
            </w:r>
            <w:r>
              <w:rPr>
                <w:rFonts w:cs="Times New Roman"/>
                <w:szCs w:val="24"/>
              </w:rPr>
              <w:t>(3d</w:t>
            </w:r>
            <w:r>
              <w:rPr>
                <w:rFonts w:cs="Times New Roman"/>
                <w:szCs w:val="24"/>
                <w:vertAlign w:val="subscript"/>
              </w:rPr>
              <w:t>5/2</w:t>
            </w:r>
            <w:r>
              <w:rPr>
                <w:rFonts w:cs="Times New Roman"/>
                <w:szCs w:val="24"/>
              </w:rPr>
              <w:t>)</w:t>
            </w:r>
          </w:p>
        </w:tc>
        <w:tc>
          <w:tcPr>
            <w:tcW w:w="670" w:type="pct"/>
            <w:tcBorders>
              <w:top w:val="nil"/>
              <w:bottom w:val="nil"/>
            </w:tcBorders>
          </w:tcPr>
          <w:p w14:paraId="3586FD22">
            <w:pPr>
              <w:spacing w:line="240" w:lineRule="auto"/>
              <w:jc w:val="center"/>
              <w:rPr>
                <w:rFonts w:cs="Times New Roman"/>
                <w:szCs w:val="24"/>
              </w:rPr>
            </w:pPr>
            <w:r>
              <w:rPr>
                <w:szCs w:val="24"/>
              </w:rPr>
              <w:t>181.30</w:t>
            </w:r>
          </w:p>
        </w:tc>
        <w:tc>
          <w:tcPr>
            <w:tcW w:w="891" w:type="pct"/>
            <w:tcBorders>
              <w:top w:val="nil"/>
              <w:bottom w:val="nil"/>
            </w:tcBorders>
          </w:tcPr>
          <w:p w14:paraId="16A9CF34">
            <w:pPr>
              <w:spacing w:line="240" w:lineRule="auto"/>
              <w:jc w:val="center"/>
              <w:rPr>
                <w:rFonts w:cs="Times New Roman"/>
                <w:szCs w:val="24"/>
              </w:rPr>
            </w:pPr>
            <w:r>
              <w:rPr>
                <w:szCs w:val="24"/>
              </w:rPr>
              <w:t>1.45</w:t>
            </w:r>
          </w:p>
        </w:tc>
        <w:tc>
          <w:tcPr>
            <w:tcW w:w="781" w:type="pct"/>
            <w:tcBorders>
              <w:top w:val="nil"/>
              <w:bottom w:val="nil"/>
            </w:tcBorders>
          </w:tcPr>
          <w:p w14:paraId="0B7ECD2B">
            <w:pPr>
              <w:spacing w:line="240" w:lineRule="auto"/>
              <w:jc w:val="center"/>
              <w:rPr>
                <w:rFonts w:cs="Times New Roman"/>
                <w:szCs w:val="24"/>
              </w:rPr>
            </w:pPr>
            <w:r>
              <w:rPr>
                <w:szCs w:val="24"/>
              </w:rPr>
              <w:t>0.10</w:t>
            </w:r>
          </w:p>
        </w:tc>
      </w:tr>
      <w:tr w14:paraId="0165E92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878" w:type="pct"/>
            <w:vMerge w:val="continue"/>
            <w:tcBorders>
              <w:bottom w:val="single" w:color="auto" w:sz="6" w:space="0"/>
            </w:tcBorders>
            <w:vAlign w:val="center"/>
          </w:tcPr>
          <w:p w14:paraId="4416EAA4">
            <w:pPr>
              <w:spacing w:line="240" w:lineRule="auto"/>
              <w:jc w:val="center"/>
              <w:rPr>
                <w:rFonts w:cs="Times New Roman"/>
                <w:szCs w:val="24"/>
              </w:rPr>
            </w:pPr>
          </w:p>
        </w:tc>
        <w:tc>
          <w:tcPr>
            <w:tcW w:w="780" w:type="pct"/>
            <w:tcBorders>
              <w:top w:val="nil"/>
              <w:bottom w:val="single" w:color="auto" w:sz="6" w:space="0"/>
            </w:tcBorders>
            <w:vAlign w:val="center"/>
          </w:tcPr>
          <w:p w14:paraId="3E347629">
            <w:pPr>
              <w:spacing w:line="240" w:lineRule="auto"/>
              <w:jc w:val="center"/>
              <w:rPr>
                <w:rFonts w:cs="Times New Roman"/>
                <w:szCs w:val="24"/>
              </w:rPr>
            </w:pPr>
            <w:r>
              <w:rPr>
                <w:rFonts w:cs="Times New Roman"/>
                <w:szCs w:val="24"/>
              </w:rPr>
              <w:t>Zr</w:t>
            </w:r>
            <w:r>
              <w:rPr>
                <w:rFonts w:cs="Times New Roman"/>
                <w:szCs w:val="24"/>
                <w:vertAlign w:val="superscript"/>
              </w:rPr>
              <w:t>3+</w:t>
            </w:r>
            <w:r>
              <w:rPr>
                <w:rFonts w:cs="Times New Roman"/>
                <w:szCs w:val="24"/>
              </w:rPr>
              <w:t>(3d</w:t>
            </w:r>
            <w:r>
              <w:rPr>
                <w:rFonts w:cs="Times New Roman"/>
                <w:szCs w:val="24"/>
                <w:vertAlign w:val="subscript"/>
              </w:rPr>
              <w:t>3/2</w:t>
            </w:r>
            <w:r>
              <w:rPr>
                <w:rFonts w:cs="Times New Roman"/>
                <w:szCs w:val="24"/>
              </w:rPr>
              <w:t>)</w:t>
            </w:r>
          </w:p>
        </w:tc>
        <w:tc>
          <w:tcPr>
            <w:tcW w:w="670" w:type="pct"/>
            <w:tcBorders>
              <w:top w:val="nil"/>
              <w:bottom w:val="single" w:color="auto" w:sz="6" w:space="0"/>
            </w:tcBorders>
          </w:tcPr>
          <w:p w14:paraId="7DA5E1E6">
            <w:pPr>
              <w:spacing w:line="240" w:lineRule="auto"/>
              <w:jc w:val="center"/>
              <w:rPr>
                <w:rFonts w:cs="Times New Roman"/>
                <w:szCs w:val="24"/>
              </w:rPr>
            </w:pPr>
            <w:r>
              <w:rPr>
                <w:szCs w:val="24"/>
              </w:rPr>
              <w:t>183.65</w:t>
            </w:r>
          </w:p>
        </w:tc>
        <w:tc>
          <w:tcPr>
            <w:tcW w:w="891" w:type="pct"/>
            <w:tcBorders>
              <w:top w:val="nil"/>
              <w:bottom w:val="single" w:color="auto" w:sz="6" w:space="0"/>
            </w:tcBorders>
          </w:tcPr>
          <w:p w14:paraId="5FD8410B">
            <w:pPr>
              <w:spacing w:line="240" w:lineRule="auto"/>
              <w:jc w:val="center"/>
              <w:rPr>
                <w:rFonts w:cs="Times New Roman"/>
                <w:szCs w:val="24"/>
              </w:rPr>
            </w:pPr>
            <w:r>
              <w:rPr>
                <w:szCs w:val="24"/>
              </w:rPr>
              <w:t>1.45</w:t>
            </w:r>
          </w:p>
        </w:tc>
        <w:tc>
          <w:tcPr>
            <w:tcW w:w="781" w:type="pct"/>
            <w:tcBorders>
              <w:top w:val="nil"/>
              <w:bottom w:val="single" w:color="auto" w:sz="6" w:space="0"/>
            </w:tcBorders>
          </w:tcPr>
          <w:p w14:paraId="06443305">
            <w:pPr>
              <w:spacing w:line="240" w:lineRule="auto"/>
              <w:jc w:val="center"/>
              <w:rPr>
                <w:rFonts w:cs="Times New Roman"/>
                <w:szCs w:val="24"/>
              </w:rPr>
            </w:pPr>
            <w:r>
              <w:rPr>
                <w:szCs w:val="24"/>
              </w:rPr>
              <w:t>0.07</w:t>
            </w:r>
          </w:p>
        </w:tc>
      </w:tr>
      <w:tr w14:paraId="68C8569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878" w:type="pct"/>
            <w:vMerge w:val="restart"/>
            <w:tcBorders>
              <w:top w:val="single" w:color="auto" w:sz="6" w:space="0"/>
            </w:tcBorders>
            <w:vAlign w:val="center"/>
          </w:tcPr>
          <w:p w14:paraId="606DAB1D">
            <w:pPr>
              <w:spacing w:line="240" w:lineRule="auto"/>
              <w:jc w:val="center"/>
              <w:rPr>
                <w:rFonts w:cs="Times New Roman"/>
                <w:szCs w:val="24"/>
              </w:rPr>
            </w:pPr>
            <w:r>
              <w:rPr>
                <w:rFonts w:cs="Times New Roman"/>
                <w:szCs w:val="24"/>
              </w:rPr>
              <w:t>H-48</w:t>
            </w:r>
          </w:p>
        </w:tc>
        <w:tc>
          <w:tcPr>
            <w:tcW w:w="780" w:type="pct"/>
            <w:tcBorders>
              <w:top w:val="single" w:color="auto" w:sz="6" w:space="0"/>
              <w:bottom w:val="nil"/>
            </w:tcBorders>
            <w:vAlign w:val="center"/>
          </w:tcPr>
          <w:p w14:paraId="6A4A5DA9">
            <w:pPr>
              <w:spacing w:line="240" w:lineRule="auto"/>
              <w:jc w:val="center"/>
              <w:rPr>
                <w:rFonts w:cs="Times New Roman"/>
                <w:szCs w:val="24"/>
              </w:rPr>
            </w:pPr>
            <w:r>
              <w:rPr>
                <w:rFonts w:cs="Times New Roman"/>
                <w:szCs w:val="24"/>
              </w:rPr>
              <w:t>Zr</w:t>
            </w:r>
            <w:r>
              <w:rPr>
                <w:rFonts w:cs="Times New Roman"/>
                <w:szCs w:val="24"/>
                <w:vertAlign w:val="superscript"/>
              </w:rPr>
              <w:t>4+</w:t>
            </w:r>
            <w:r>
              <w:rPr>
                <w:rFonts w:cs="Times New Roman"/>
                <w:szCs w:val="24"/>
              </w:rPr>
              <w:t>(3d</w:t>
            </w:r>
            <w:r>
              <w:rPr>
                <w:rFonts w:cs="Times New Roman"/>
                <w:szCs w:val="24"/>
                <w:vertAlign w:val="subscript"/>
              </w:rPr>
              <w:t>5/2</w:t>
            </w:r>
            <w:r>
              <w:rPr>
                <w:rFonts w:cs="Times New Roman"/>
                <w:szCs w:val="24"/>
              </w:rPr>
              <w:t>)</w:t>
            </w:r>
          </w:p>
        </w:tc>
        <w:tc>
          <w:tcPr>
            <w:tcW w:w="670" w:type="pct"/>
            <w:tcBorders>
              <w:top w:val="single" w:color="auto" w:sz="6" w:space="0"/>
              <w:bottom w:val="nil"/>
            </w:tcBorders>
          </w:tcPr>
          <w:p w14:paraId="41F80C56">
            <w:pPr>
              <w:spacing w:line="240" w:lineRule="auto"/>
              <w:jc w:val="center"/>
              <w:rPr>
                <w:rFonts w:cs="Times New Roman"/>
                <w:szCs w:val="24"/>
              </w:rPr>
            </w:pPr>
            <w:r>
              <w:rPr>
                <w:szCs w:val="24"/>
              </w:rPr>
              <w:t>181.94</w:t>
            </w:r>
          </w:p>
        </w:tc>
        <w:tc>
          <w:tcPr>
            <w:tcW w:w="891" w:type="pct"/>
            <w:tcBorders>
              <w:top w:val="single" w:color="auto" w:sz="6" w:space="0"/>
              <w:bottom w:val="nil"/>
            </w:tcBorders>
          </w:tcPr>
          <w:p w14:paraId="63FE2751">
            <w:pPr>
              <w:spacing w:line="240" w:lineRule="auto"/>
              <w:jc w:val="center"/>
              <w:rPr>
                <w:rFonts w:cs="Times New Roman"/>
                <w:szCs w:val="24"/>
              </w:rPr>
            </w:pPr>
            <w:r>
              <w:rPr>
                <w:szCs w:val="24"/>
              </w:rPr>
              <w:t>1.40</w:t>
            </w:r>
          </w:p>
        </w:tc>
        <w:tc>
          <w:tcPr>
            <w:tcW w:w="781" w:type="pct"/>
            <w:tcBorders>
              <w:top w:val="single" w:color="auto" w:sz="6" w:space="0"/>
              <w:bottom w:val="nil"/>
            </w:tcBorders>
          </w:tcPr>
          <w:p w14:paraId="283733BB">
            <w:pPr>
              <w:spacing w:line="240" w:lineRule="auto"/>
              <w:jc w:val="center"/>
              <w:rPr>
                <w:rFonts w:cs="Times New Roman"/>
                <w:szCs w:val="24"/>
              </w:rPr>
            </w:pPr>
            <w:r>
              <w:rPr>
                <w:szCs w:val="24"/>
              </w:rPr>
              <w:t>1.00</w:t>
            </w:r>
          </w:p>
        </w:tc>
      </w:tr>
      <w:tr w14:paraId="0E41D03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878" w:type="pct"/>
            <w:vMerge w:val="continue"/>
            <w:vAlign w:val="center"/>
          </w:tcPr>
          <w:p w14:paraId="68AEA789">
            <w:pPr>
              <w:spacing w:line="240" w:lineRule="auto"/>
              <w:jc w:val="center"/>
              <w:rPr>
                <w:rFonts w:cs="Times New Roman"/>
                <w:szCs w:val="24"/>
              </w:rPr>
            </w:pPr>
          </w:p>
        </w:tc>
        <w:tc>
          <w:tcPr>
            <w:tcW w:w="780" w:type="pct"/>
            <w:tcBorders>
              <w:top w:val="nil"/>
              <w:bottom w:val="nil"/>
            </w:tcBorders>
            <w:vAlign w:val="center"/>
          </w:tcPr>
          <w:p w14:paraId="0F5E13F4">
            <w:pPr>
              <w:spacing w:line="240" w:lineRule="auto"/>
              <w:jc w:val="center"/>
              <w:rPr>
                <w:rFonts w:cs="Times New Roman"/>
                <w:szCs w:val="24"/>
              </w:rPr>
            </w:pPr>
            <w:r>
              <w:rPr>
                <w:rFonts w:cs="Times New Roman"/>
                <w:szCs w:val="24"/>
              </w:rPr>
              <w:t>Zr</w:t>
            </w:r>
            <w:r>
              <w:rPr>
                <w:rFonts w:cs="Times New Roman"/>
                <w:szCs w:val="24"/>
                <w:vertAlign w:val="superscript"/>
              </w:rPr>
              <w:t>4+</w:t>
            </w:r>
            <w:r>
              <w:rPr>
                <w:rFonts w:cs="Times New Roman"/>
                <w:szCs w:val="24"/>
              </w:rPr>
              <w:t>(3d</w:t>
            </w:r>
            <w:r>
              <w:rPr>
                <w:rFonts w:cs="Times New Roman"/>
                <w:szCs w:val="24"/>
                <w:vertAlign w:val="subscript"/>
              </w:rPr>
              <w:t>3/2</w:t>
            </w:r>
            <w:r>
              <w:rPr>
                <w:rFonts w:cs="Times New Roman"/>
                <w:szCs w:val="24"/>
              </w:rPr>
              <w:t>)</w:t>
            </w:r>
          </w:p>
        </w:tc>
        <w:tc>
          <w:tcPr>
            <w:tcW w:w="670" w:type="pct"/>
            <w:tcBorders>
              <w:top w:val="nil"/>
              <w:bottom w:val="nil"/>
            </w:tcBorders>
          </w:tcPr>
          <w:p w14:paraId="273041AC">
            <w:pPr>
              <w:spacing w:line="240" w:lineRule="auto"/>
              <w:jc w:val="center"/>
              <w:rPr>
                <w:rFonts w:cs="Times New Roman"/>
                <w:szCs w:val="24"/>
              </w:rPr>
            </w:pPr>
            <w:r>
              <w:rPr>
                <w:szCs w:val="24"/>
              </w:rPr>
              <w:t>184.34</w:t>
            </w:r>
          </w:p>
        </w:tc>
        <w:tc>
          <w:tcPr>
            <w:tcW w:w="891" w:type="pct"/>
            <w:tcBorders>
              <w:top w:val="nil"/>
              <w:bottom w:val="nil"/>
            </w:tcBorders>
          </w:tcPr>
          <w:p w14:paraId="015428A6">
            <w:pPr>
              <w:spacing w:line="240" w:lineRule="auto"/>
              <w:jc w:val="center"/>
              <w:rPr>
                <w:rFonts w:cs="Times New Roman"/>
                <w:szCs w:val="24"/>
              </w:rPr>
            </w:pPr>
            <w:r>
              <w:rPr>
                <w:szCs w:val="24"/>
              </w:rPr>
              <w:t>1.40</w:t>
            </w:r>
          </w:p>
        </w:tc>
        <w:tc>
          <w:tcPr>
            <w:tcW w:w="781" w:type="pct"/>
            <w:tcBorders>
              <w:top w:val="nil"/>
              <w:bottom w:val="nil"/>
            </w:tcBorders>
          </w:tcPr>
          <w:p w14:paraId="14A80E85">
            <w:pPr>
              <w:spacing w:line="240" w:lineRule="auto"/>
              <w:jc w:val="center"/>
              <w:rPr>
                <w:rFonts w:cs="Times New Roman"/>
                <w:szCs w:val="24"/>
              </w:rPr>
            </w:pPr>
            <w:r>
              <w:rPr>
                <w:szCs w:val="24"/>
              </w:rPr>
              <w:t>0.67</w:t>
            </w:r>
          </w:p>
        </w:tc>
      </w:tr>
      <w:tr w14:paraId="5BC92B7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878" w:type="pct"/>
            <w:vMerge w:val="continue"/>
            <w:vAlign w:val="center"/>
          </w:tcPr>
          <w:p w14:paraId="0DDDD9C3">
            <w:pPr>
              <w:spacing w:line="240" w:lineRule="auto"/>
              <w:jc w:val="center"/>
              <w:rPr>
                <w:rFonts w:cs="Times New Roman"/>
                <w:szCs w:val="24"/>
              </w:rPr>
            </w:pPr>
          </w:p>
        </w:tc>
        <w:tc>
          <w:tcPr>
            <w:tcW w:w="780" w:type="pct"/>
            <w:tcBorders>
              <w:top w:val="nil"/>
              <w:bottom w:val="nil"/>
            </w:tcBorders>
            <w:vAlign w:val="center"/>
          </w:tcPr>
          <w:p w14:paraId="12F7CEC5">
            <w:pPr>
              <w:spacing w:line="240" w:lineRule="auto"/>
              <w:jc w:val="center"/>
              <w:rPr>
                <w:rFonts w:cs="Times New Roman"/>
                <w:szCs w:val="24"/>
              </w:rPr>
            </w:pPr>
            <w:r>
              <w:rPr>
                <w:rFonts w:cs="Times New Roman"/>
                <w:szCs w:val="24"/>
              </w:rPr>
              <w:t>Zr</w:t>
            </w:r>
            <w:r>
              <w:rPr>
                <w:rFonts w:cs="Times New Roman"/>
                <w:szCs w:val="24"/>
                <w:vertAlign w:val="superscript"/>
              </w:rPr>
              <w:t>3+</w:t>
            </w:r>
            <w:r>
              <w:rPr>
                <w:rFonts w:cs="Times New Roman"/>
                <w:szCs w:val="24"/>
              </w:rPr>
              <w:t>(3d</w:t>
            </w:r>
            <w:r>
              <w:rPr>
                <w:rFonts w:cs="Times New Roman"/>
                <w:szCs w:val="24"/>
                <w:vertAlign w:val="subscript"/>
              </w:rPr>
              <w:t>5/2</w:t>
            </w:r>
            <w:r>
              <w:rPr>
                <w:rFonts w:cs="Times New Roman"/>
                <w:szCs w:val="24"/>
              </w:rPr>
              <w:t>)</w:t>
            </w:r>
          </w:p>
        </w:tc>
        <w:tc>
          <w:tcPr>
            <w:tcW w:w="670" w:type="pct"/>
            <w:tcBorders>
              <w:top w:val="nil"/>
              <w:bottom w:val="nil"/>
            </w:tcBorders>
          </w:tcPr>
          <w:p w14:paraId="47C40AE2">
            <w:pPr>
              <w:spacing w:line="240" w:lineRule="auto"/>
              <w:jc w:val="center"/>
              <w:rPr>
                <w:rFonts w:cs="Times New Roman"/>
                <w:szCs w:val="24"/>
              </w:rPr>
            </w:pPr>
            <w:r>
              <w:rPr>
                <w:szCs w:val="24"/>
              </w:rPr>
              <w:t>181.45</w:t>
            </w:r>
          </w:p>
        </w:tc>
        <w:tc>
          <w:tcPr>
            <w:tcW w:w="891" w:type="pct"/>
            <w:tcBorders>
              <w:top w:val="nil"/>
              <w:bottom w:val="nil"/>
            </w:tcBorders>
          </w:tcPr>
          <w:p w14:paraId="46E261D8">
            <w:pPr>
              <w:spacing w:line="240" w:lineRule="auto"/>
              <w:jc w:val="center"/>
              <w:rPr>
                <w:rFonts w:cs="Times New Roman"/>
                <w:szCs w:val="24"/>
              </w:rPr>
            </w:pPr>
            <w:r>
              <w:rPr>
                <w:szCs w:val="24"/>
              </w:rPr>
              <w:t>1.45</w:t>
            </w:r>
          </w:p>
        </w:tc>
        <w:tc>
          <w:tcPr>
            <w:tcW w:w="781" w:type="pct"/>
            <w:tcBorders>
              <w:top w:val="nil"/>
              <w:bottom w:val="nil"/>
            </w:tcBorders>
          </w:tcPr>
          <w:p w14:paraId="75D0869D">
            <w:pPr>
              <w:spacing w:line="240" w:lineRule="auto"/>
              <w:jc w:val="center"/>
              <w:rPr>
                <w:rFonts w:cs="Times New Roman"/>
                <w:szCs w:val="24"/>
              </w:rPr>
            </w:pPr>
            <w:r>
              <w:rPr>
                <w:szCs w:val="24"/>
              </w:rPr>
              <w:t>0.20</w:t>
            </w:r>
          </w:p>
        </w:tc>
      </w:tr>
      <w:tr w14:paraId="30C84D3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878" w:type="pct"/>
            <w:vMerge w:val="continue"/>
            <w:tcBorders>
              <w:bottom w:val="single" w:color="auto" w:sz="4" w:space="0"/>
            </w:tcBorders>
            <w:vAlign w:val="center"/>
          </w:tcPr>
          <w:p w14:paraId="31A4A9EB">
            <w:pPr>
              <w:spacing w:line="240" w:lineRule="auto"/>
              <w:jc w:val="center"/>
              <w:rPr>
                <w:rFonts w:cs="Times New Roman"/>
                <w:szCs w:val="24"/>
              </w:rPr>
            </w:pPr>
          </w:p>
        </w:tc>
        <w:tc>
          <w:tcPr>
            <w:tcW w:w="780" w:type="pct"/>
            <w:tcBorders>
              <w:top w:val="nil"/>
              <w:bottom w:val="single" w:color="auto" w:sz="4" w:space="0"/>
            </w:tcBorders>
            <w:vAlign w:val="center"/>
          </w:tcPr>
          <w:p w14:paraId="15176A86">
            <w:pPr>
              <w:spacing w:line="240" w:lineRule="auto"/>
              <w:jc w:val="center"/>
              <w:rPr>
                <w:rFonts w:cs="Times New Roman"/>
                <w:szCs w:val="24"/>
              </w:rPr>
            </w:pPr>
            <w:r>
              <w:rPr>
                <w:rFonts w:cs="Times New Roman"/>
                <w:szCs w:val="24"/>
              </w:rPr>
              <w:t>Zr</w:t>
            </w:r>
            <w:r>
              <w:rPr>
                <w:rFonts w:cs="Times New Roman"/>
                <w:szCs w:val="24"/>
                <w:vertAlign w:val="superscript"/>
              </w:rPr>
              <w:t>3+</w:t>
            </w:r>
            <w:r>
              <w:rPr>
                <w:rFonts w:cs="Times New Roman"/>
                <w:szCs w:val="24"/>
              </w:rPr>
              <w:t>(3d</w:t>
            </w:r>
            <w:r>
              <w:rPr>
                <w:rFonts w:cs="Times New Roman"/>
                <w:szCs w:val="24"/>
                <w:vertAlign w:val="subscript"/>
              </w:rPr>
              <w:t>3/2</w:t>
            </w:r>
            <w:r>
              <w:rPr>
                <w:rFonts w:cs="Times New Roman"/>
                <w:szCs w:val="24"/>
              </w:rPr>
              <w:t>)</w:t>
            </w:r>
          </w:p>
        </w:tc>
        <w:tc>
          <w:tcPr>
            <w:tcW w:w="670" w:type="pct"/>
            <w:tcBorders>
              <w:top w:val="nil"/>
              <w:bottom w:val="single" w:color="auto" w:sz="4" w:space="0"/>
            </w:tcBorders>
          </w:tcPr>
          <w:p w14:paraId="3E5E5B77">
            <w:pPr>
              <w:spacing w:line="240" w:lineRule="auto"/>
              <w:jc w:val="center"/>
              <w:rPr>
                <w:rFonts w:cs="Times New Roman"/>
                <w:szCs w:val="24"/>
              </w:rPr>
            </w:pPr>
            <w:r>
              <w:rPr>
                <w:szCs w:val="24"/>
              </w:rPr>
              <w:t>183.85</w:t>
            </w:r>
          </w:p>
        </w:tc>
        <w:tc>
          <w:tcPr>
            <w:tcW w:w="891" w:type="pct"/>
            <w:tcBorders>
              <w:top w:val="nil"/>
              <w:bottom w:val="single" w:color="auto" w:sz="4" w:space="0"/>
            </w:tcBorders>
          </w:tcPr>
          <w:p w14:paraId="44E7B454">
            <w:pPr>
              <w:spacing w:line="240" w:lineRule="auto"/>
              <w:jc w:val="center"/>
              <w:rPr>
                <w:rFonts w:cs="Times New Roman"/>
                <w:szCs w:val="24"/>
              </w:rPr>
            </w:pPr>
            <w:r>
              <w:rPr>
                <w:szCs w:val="24"/>
              </w:rPr>
              <w:t>1.45</w:t>
            </w:r>
          </w:p>
        </w:tc>
        <w:tc>
          <w:tcPr>
            <w:tcW w:w="781" w:type="pct"/>
            <w:tcBorders>
              <w:top w:val="nil"/>
              <w:bottom w:val="single" w:color="auto" w:sz="4" w:space="0"/>
            </w:tcBorders>
          </w:tcPr>
          <w:p w14:paraId="07FDDB07">
            <w:pPr>
              <w:spacing w:line="240" w:lineRule="auto"/>
              <w:jc w:val="center"/>
              <w:rPr>
                <w:rFonts w:cs="Times New Roman"/>
                <w:szCs w:val="24"/>
              </w:rPr>
            </w:pPr>
            <w:r>
              <w:rPr>
                <w:szCs w:val="24"/>
              </w:rPr>
              <w:t>0.13</w:t>
            </w:r>
          </w:p>
        </w:tc>
      </w:tr>
      <w:tr w14:paraId="2A487A0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878" w:type="pct"/>
            <w:vMerge w:val="restart"/>
            <w:tcBorders>
              <w:top w:val="single" w:color="auto" w:sz="4" w:space="0"/>
            </w:tcBorders>
            <w:vAlign w:val="center"/>
          </w:tcPr>
          <w:p w14:paraId="4F9687B8">
            <w:pPr>
              <w:spacing w:line="240" w:lineRule="auto"/>
              <w:jc w:val="center"/>
              <w:rPr>
                <w:rFonts w:cs="Times New Roman"/>
                <w:szCs w:val="24"/>
              </w:rPr>
            </w:pPr>
            <w:r>
              <w:rPr>
                <w:rFonts w:cs="Times New Roman"/>
                <w:szCs w:val="24"/>
              </w:rPr>
              <w:t>H-96</w:t>
            </w:r>
          </w:p>
        </w:tc>
        <w:tc>
          <w:tcPr>
            <w:tcW w:w="780" w:type="pct"/>
            <w:tcBorders>
              <w:top w:val="single" w:color="auto" w:sz="4" w:space="0"/>
              <w:bottom w:val="nil"/>
            </w:tcBorders>
            <w:vAlign w:val="center"/>
          </w:tcPr>
          <w:p w14:paraId="5CE17CDA">
            <w:pPr>
              <w:spacing w:line="240" w:lineRule="auto"/>
              <w:jc w:val="center"/>
              <w:rPr>
                <w:rFonts w:cs="Times New Roman"/>
                <w:szCs w:val="24"/>
              </w:rPr>
            </w:pPr>
            <w:r>
              <w:rPr>
                <w:rFonts w:cs="Times New Roman"/>
                <w:szCs w:val="24"/>
              </w:rPr>
              <w:t>Zr</w:t>
            </w:r>
            <w:r>
              <w:rPr>
                <w:rFonts w:cs="Times New Roman"/>
                <w:szCs w:val="24"/>
                <w:vertAlign w:val="superscript"/>
              </w:rPr>
              <w:t>4+</w:t>
            </w:r>
            <w:r>
              <w:rPr>
                <w:rFonts w:cs="Times New Roman"/>
                <w:szCs w:val="24"/>
              </w:rPr>
              <w:t>(3d</w:t>
            </w:r>
            <w:r>
              <w:rPr>
                <w:rFonts w:cs="Times New Roman"/>
                <w:szCs w:val="24"/>
                <w:vertAlign w:val="subscript"/>
              </w:rPr>
              <w:t>5/2</w:t>
            </w:r>
            <w:r>
              <w:rPr>
                <w:rFonts w:cs="Times New Roman"/>
                <w:szCs w:val="24"/>
              </w:rPr>
              <w:t>)</w:t>
            </w:r>
          </w:p>
        </w:tc>
        <w:tc>
          <w:tcPr>
            <w:tcW w:w="670" w:type="pct"/>
            <w:tcBorders>
              <w:top w:val="single" w:color="auto" w:sz="4" w:space="0"/>
              <w:bottom w:val="nil"/>
            </w:tcBorders>
          </w:tcPr>
          <w:p w14:paraId="517F9D52">
            <w:pPr>
              <w:spacing w:line="240" w:lineRule="auto"/>
              <w:jc w:val="center"/>
              <w:rPr>
                <w:rFonts w:cs="Times New Roman"/>
                <w:szCs w:val="24"/>
              </w:rPr>
            </w:pPr>
            <w:r>
              <w:rPr>
                <w:szCs w:val="24"/>
              </w:rPr>
              <w:t>181.95</w:t>
            </w:r>
          </w:p>
        </w:tc>
        <w:tc>
          <w:tcPr>
            <w:tcW w:w="891" w:type="pct"/>
            <w:tcBorders>
              <w:top w:val="single" w:color="auto" w:sz="4" w:space="0"/>
              <w:bottom w:val="nil"/>
            </w:tcBorders>
          </w:tcPr>
          <w:p w14:paraId="27C342BC">
            <w:pPr>
              <w:spacing w:line="240" w:lineRule="auto"/>
              <w:jc w:val="center"/>
              <w:rPr>
                <w:rFonts w:cs="Times New Roman"/>
                <w:szCs w:val="24"/>
              </w:rPr>
            </w:pPr>
            <w:r>
              <w:rPr>
                <w:szCs w:val="24"/>
              </w:rPr>
              <w:t>1.40</w:t>
            </w:r>
          </w:p>
        </w:tc>
        <w:tc>
          <w:tcPr>
            <w:tcW w:w="781" w:type="pct"/>
            <w:tcBorders>
              <w:top w:val="single" w:color="auto" w:sz="4" w:space="0"/>
              <w:bottom w:val="nil"/>
            </w:tcBorders>
          </w:tcPr>
          <w:p w14:paraId="08E3E803">
            <w:pPr>
              <w:spacing w:line="240" w:lineRule="auto"/>
              <w:jc w:val="center"/>
              <w:rPr>
                <w:rFonts w:cs="Times New Roman"/>
                <w:szCs w:val="24"/>
              </w:rPr>
            </w:pPr>
            <w:r>
              <w:rPr>
                <w:szCs w:val="24"/>
              </w:rPr>
              <w:t>1.00</w:t>
            </w:r>
          </w:p>
        </w:tc>
      </w:tr>
      <w:tr w14:paraId="33777C1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878" w:type="pct"/>
            <w:vMerge w:val="continue"/>
            <w:vAlign w:val="center"/>
          </w:tcPr>
          <w:p w14:paraId="397E4E90">
            <w:pPr>
              <w:spacing w:line="240" w:lineRule="auto"/>
              <w:jc w:val="center"/>
              <w:rPr>
                <w:rFonts w:cs="Times New Roman"/>
                <w:szCs w:val="24"/>
              </w:rPr>
            </w:pPr>
          </w:p>
        </w:tc>
        <w:tc>
          <w:tcPr>
            <w:tcW w:w="780" w:type="pct"/>
            <w:tcBorders>
              <w:top w:val="nil"/>
              <w:bottom w:val="nil"/>
            </w:tcBorders>
            <w:vAlign w:val="center"/>
          </w:tcPr>
          <w:p w14:paraId="3D98B2FE">
            <w:pPr>
              <w:spacing w:line="240" w:lineRule="auto"/>
              <w:jc w:val="center"/>
              <w:rPr>
                <w:rFonts w:cs="Times New Roman"/>
                <w:szCs w:val="24"/>
              </w:rPr>
            </w:pPr>
            <w:r>
              <w:rPr>
                <w:rFonts w:cs="Times New Roman"/>
                <w:szCs w:val="24"/>
              </w:rPr>
              <w:t>Zr</w:t>
            </w:r>
            <w:r>
              <w:rPr>
                <w:rFonts w:cs="Times New Roman"/>
                <w:szCs w:val="24"/>
                <w:vertAlign w:val="superscript"/>
              </w:rPr>
              <w:t>4+</w:t>
            </w:r>
            <w:r>
              <w:rPr>
                <w:rFonts w:cs="Times New Roman"/>
                <w:szCs w:val="24"/>
              </w:rPr>
              <w:t>(3d</w:t>
            </w:r>
            <w:r>
              <w:rPr>
                <w:rFonts w:cs="Times New Roman"/>
                <w:szCs w:val="24"/>
                <w:vertAlign w:val="subscript"/>
              </w:rPr>
              <w:t>3/2</w:t>
            </w:r>
            <w:r>
              <w:rPr>
                <w:rFonts w:cs="Times New Roman"/>
                <w:szCs w:val="24"/>
              </w:rPr>
              <w:t>)</w:t>
            </w:r>
          </w:p>
        </w:tc>
        <w:tc>
          <w:tcPr>
            <w:tcW w:w="670" w:type="pct"/>
            <w:tcBorders>
              <w:top w:val="nil"/>
              <w:bottom w:val="nil"/>
            </w:tcBorders>
          </w:tcPr>
          <w:p w14:paraId="26179B75">
            <w:pPr>
              <w:spacing w:line="240" w:lineRule="auto"/>
              <w:jc w:val="center"/>
              <w:rPr>
                <w:rFonts w:cs="Times New Roman"/>
                <w:szCs w:val="24"/>
              </w:rPr>
            </w:pPr>
            <w:r>
              <w:rPr>
                <w:szCs w:val="24"/>
              </w:rPr>
              <w:t>184.30</w:t>
            </w:r>
          </w:p>
        </w:tc>
        <w:tc>
          <w:tcPr>
            <w:tcW w:w="891" w:type="pct"/>
            <w:tcBorders>
              <w:top w:val="nil"/>
              <w:bottom w:val="nil"/>
            </w:tcBorders>
          </w:tcPr>
          <w:p w14:paraId="72B3A188">
            <w:pPr>
              <w:spacing w:line="240" w:lineRule="auto"/>
              <w:jc w:val="center"/>
              <w:rPr>
                <w:rFonts w:cs="Times New Roman"/>
                <w:szCs w:val="24"/>
              </w:rPr>
            </w:pPr>
            <w:r>
              <w:rPr>
                <w:szCs w:val="24"/>
              </w:rPr>
              <w:t>1.40</w:t>
            </w:r>
          </w:p>
        </w:tc>
        <w:tc>
          <w:tcPr>
            <w:tcW w:w="781" w:type="pct"/>
            <w:tcBorders>
              <w:top w:val="nil"/>
              <w:bottom w:val="nil"/>
            </w:tcBorders>
          </w:tcPr>
          <w:p w14:paraId="7048C9ED">
            <w:pPr>
              <w:spacing w:line="240" w:lineRule="auto"/>
              <w:jc w:val="center"/>
              <w:rPr>
                <w:rFonts w:cs="Times New Roman"/>
                <w:szCs w:val="24"/>
              </w:rPr>
            </w:pPr>
            <w:r>
              <w:rPr>
                <w:szCs w:val="24"/>
              </w:rPr>
              <w:t>0.67</w:t>
            </w:r>
          </w:p>
        </w:tc>
      </w:tr>
      <w:tr w14:paraId="2D31287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878" w:type="pct"/>
            <w:vMerge w:val="continue"/>
            <w:vAlign w:val="center"/>
          </w:tcPr>
          <w:p w14:paraId="09E1377C">
            <w:pPr>
              <w:spacing w:line="240" w:lineRule="auto"/>
              <w:jc w:val="center"/>
              <w:rPr>
                <w:rFonts w:cs="Times New Roman"/>
                <w:szCs w:val="24"/>
              </w:rPr>
            </w:pPr>
          </w:p>
        </w:tc>
        <w:tc>
          <w:tcPr>
            <w:tcW w:w="780" w:type="pct"/>
            <w:tcBorders>
              <w:top w:val="nil"/>
              <w:bottom w:val="nil"/>
            </w:tcBorders>
            <w:vAlign w:val="center"/>
          </w:tcPr>
          <w:p w14:paraId="201A4672">
            <w:pPr>
              <w:spacing w:line="240" w:lineRule="auto"/>
              <w:jc w:val="center"/>
              <w:rPr>
                <w:rFonts w:cs="Times New Roman"/>
                <w:szCs w:val="24"/>
              </w:rPr>
            </w:pPr>
            <w:r>
              <w:rPr>
                <w:rFonts w:cs="Times New Roman"/>
                <w:szCs w:val="24"/>
              </w:rPr>
              <w:t>Zr</w:t>
            </w:r>
            <w:r>
              <w:rPr>
                <w:rFonts w:cs="Times New Roman"/>
                <w:szCs w:val="24"/>
                <w:vertAlign w:val="superscript"/>
              </w:rPr>
              <w:t>3+</w:t>
            </w:r>
            <w:r>
              <w:rPr>
                <w:rFonts w:cs="Times New Roman"/>
                <w:szCs w:val="24"/>
              </w:rPr>
              <w:t>(3d</w:t>
            </w:r>
            <w:r>
              <w:rPr>
                <w:rFonts w:cs="Times New Roman"/>
                <w:szCs w:val="24"/>
                <w:vertAlign w:val="subscript"/>
              </w:rPr>
              <w:t>5/2</w:t>
            </w:r>
            <w:r>
              <w:rPr>
                <w:rFonts w:cs="Times New Roman"/>
                <w:szCs w:val="24"/>
              </w:rPr>
              <w:t>)</w:t>
            </w:r>
          </w:p>
        </w:tc>
        <w:tc>
          <w:tcPr>
            <w:tcW w:w="670" w:type="pct"/>
            <w:tcBorders>
              <w:top w:val="nil"/>
              <w:bottom w:val="nil"/>
            </w:tcBorders>
          </w:tcPr>
          <w:p w14:paraId="2B0D584F">
            <w:pPr>
              <w:spacing w:line="240" w:lineRule="auto"/>
              <w:jc w:val="center"/>
              <w:rPr>
                <w:rFonts w:cs="Times New Roman"/>
                <w:szCs w:val="24"/>
              </w:rPr>
            </w:pPr>
            <w:r>
              <w:rPr>
                <w:szCs w:val="24"/>
              </w:rPr>
              <w:t>181.56</w:t>
            </w:r>
          </w:p>
        </w:tc>
        <w:tc>
          <w:tcPr>
            <w:tcW w:w="891" w:type="pct"/>
            <w:tcBorders>
              <w:top w:val="nil"/>
              <w:bottom w:val="nil"/>
            </w:tcBorders>
          </w:tcPr>
          <w:p w14:paraId="3A01A0D2">
            <w:pPr>
              <w:spacing w:line="240" w:lineRule="auto"/>
              <w:jc w:val="center"/>
              <w:rPr>
                <w:rFonts w:cs="Times New Roman"/>
                <w:szCs w:val="24"/>
              </w:rPr>
            </w:pPr>
            <w:r>
              <w:rPr>
                <w:szCs w:val="24"/>
              </w:rPr>
              <w:t>1.48</w:t>
            </w:r>
          </w:p>
        </w:tc>
        <w:tc>
          <w:tcPr>
            <w:tcW w:w="781" w:type="pct"/>
            <w:tcBorders>
              <w:top w:val="nil"/>
              <w:bottom w:val="nil"/>
            </w:tcBorders>
          </w:tcPr>
          <w:p w14:paraId="6B83751F">
            <w:pPr>
              <w:spacing w:line="240" w:lineRule="auto"/>
              <w:jc w:val="center"/>
              <w:rPr>
                <w:rFonts w:cs="Times New Roman"/>
                <w:szCs w:val="24"/>
              </w:rPr>
            </w:pPr>
            <w:r>
              <w:rPr>
                <w:szCs w:val="24"/>
              </w:rPr>
              <w:t>0.30</w:t>
            </w:r>
          </w:p>
        </w:tc>
      </w:tr>
      <w:tr w14:paraId="4BB4376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878" w:type="pct"/>
            <w:vMerge w:val="continue"/>
            <w:tcBorders>
              <w:bottom w:val="single" w:color="auto" w:sz="4" w:space="0"/>
            </w:tcBorders>
            <w:vAlign w:val="center"/>
          </w:tcPr>
          <w:p w14:paraId="15665A74">
            <w:pPr>
              <w:spacing w:line="240" w:lineRule="auto"/>
              <w:jc w:val="center"/>
              <w:rPr>
                <w:rFonts w:cs="Times New Roman"/>
                <w:szCs w:val="24"/>
              </w:rPr>
            </w:pPr>
          </w:p>
        </w:tc>
        <w:tc>
          <w:tcPr>
            <w:tcW w:w="780" w:type="pct"/>
            <w:tcBorders>
              <w:top w:val="nil"/>
              <w:bottom w:val="single" w:color="auto" w:sz="4" w:space="0"/>
            </w:tcBorders>
            <w:vAlign w:val="center"/>
          </w:tcPr>
          <w:p w14:paraId="12A8D8DA">
            <w:pPr>
              <w:spacing w:line="240" w:lineRule="auto"/>
              <w:jc w:val="center"/>
              <w:rPr>
                <w:rFonts w:cs="Times New Roman"/>
                <w:szCs w:val="24"/>
              </w:rPr>
            </w:pPr>
            <w:r>
              <w:rPr>
                <w:rFonts w:cs="Times New Roman"/>
                <w:szCs w:val="24"/>
              </w:rPr>
              <w:t>Zr</w:t>
            </w:r>
            <w:r>
              <w:rPr>
                <w:rFonts w:cs="Times New Roman"/>
                <w:szCs w:val="24"/>
                <w:vertAlign w:val="superscript"/>
              </w:rPr>
              <w:t>3+</w:t>
            </w:r>
            <w:r>
              <w:rPr>
                <w:rFonts w:cs="Times New Roman"/>
                <w:szCs w:val="24"/>
              </w:rPr>
              <w:t>(3d</w:t>
            </w:r>
            <w:r>
              <w:rPr>
                <w:rFonts w:cs="Times New Roman"/>
                <w:szCs w:val="24"/>
                <w:vertAlign w:val="subscript"/>
              </w:rPr>
              <w:t>3/2</w:t>
            </w:r>
            <w:r>
              <w:rPr>
                <w:rFonts w:cs="Times New Roman"/>
                <w:szCs w:val="24"/>
              </w:rPr>
              <w:t>)</w:t>
            </w:r>
          </w:p>
        </w:tc>
        <w:tc>
          <w:tcPr>
            <w:tcW w:w="670" w:type="pct"/>
            <w:tcBorders>
              <w:top w:val="nil"/>
              <w:bottom w:val="single" w:color="auto" w:sz="4" w:space="0"/>
            </w:tcBorders>
          </w:tcPr>
          <w:p w14:paraId="7293EC53">
            <w:pPr>
              <w:spacing w:line="240" w:lineRule="auto"/>
              <w:jc w:val="center"/>
              <w:rPr>
                <w:rFonts w:cs="Times New Roman"/>
                <w:szCs w:val="24"/>
              </w:rPr>
            </w:pPr>
            <w:r>
              <w:rPr>
                <w:szCs w:val="24"/>
              </w:rPr>
              <w:t>183.96</w:t>
            </w:r>
          </w:p>
        </w:tc>
        <w:tc>
          <w:tcPr>
            <w:tcW w:w="891" w:type="pct"/>
            <w:tcBorders>
              <w:top w:val="nil"/>
              <w:bottom w:val="single" w:color="auto" w:sz="4" w:space="0"/>
            </w:tcBorders>
          </w:tcPr>
          <w:p w14:paraId="2FDE10C8">
            <w:pPr>
              <w:spacing w:line="240" w:lineRule="auto"/>
              <w:jc w:val="center"/>
              <w:rPr>
                <w:rFonts w:cs="Times New Roman"/>
                <w:szCs w:val="24"/>
              </w:rPr>
            </w:pPr>
            <w:r>
              <w:rPr>
                <w:szCs w:val="24"/>
              </w:rPr>
              <w:t>1.48</w:t>
            </w:r>
          </w:p>
        </w:tc>
        <w:tc>
          <w:tcPr>
            <w:tcW w:w="781" w:type="pct"/>
            <w:tcBorders>
              <w:top w:val="nil"/>
              <w:bottom w:val="single" w:color="auto" w:sz="4" w:space="0"/>
            </w:tcBorders>
          </w:tcPr>
          <w:p w14:paraId="7536A065">
            <w:pPr>
              <w:spacing w:line="240" w:lineRule="auto"/>
              <w:jc w:val="center"/>
              <w:rPr>
                <w:rFonts w:cs="Times New Roman"/>
                <w:szCs w:val="24"/>
              </w:rPr>
            </w:pPr>
            <w:r>
              <w:rPr>
                <w:szCs w:val="24"/>
              </w:rPr>
              <w:t>0.20</w:t>
            </w:r>
          </w:p>
        </w:tc>
      </w:tr>
      <w:tr w14:paraId="60B043D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878" w:type="pct"/>
            <w:vMerge w:val="restart"/>
            <w:tcBorders>
              <w:top w:val="single" w:color="auto" w:sz="4" w:space="0"/>
            </w:tcBorders>
            <w:vAlign w:val="center"/>
          </w:tcPr>
          <w:p w14:paraId="51EB118F">
            <w:pPr>
              <w:spacing w:line="240" w:lineRule="auto"/>
              <w:jc w:val="center"/>
              <w:rPr>
                <w:rFonts w:cs="Times New Roman"/>
                <w:szCs w:val="24"/>
              </w:rPr>
            </w:pPr>
            <w:r>
              <w:rPr>
                <w:rFonts w:cs="Times New Roman"/>
                <w:szCs w:val="24"/>
              </w:rPr>
              <w:t>H-192</w:t>
            </w:r>
          </w:p>
        </w:tc>
        <w:tc>
          <w:tcPr>
            <w:tcW w:w="780" w:type="pct"/>
            <w:tcBorders>
              <w:top w:val="single" w:color="auto" w:sz="4" w:space="0"/>
              <w:bottom w:val="nil"/>
            </w:tcBorders>
            <w:vAlign w:val="center"/>
          </w:tcPr>
          <w:p w14:paraId="420D8619">
            <w:pPr>
              <w:spacing w:line="240" w:lineRule="auto"/>
              <w:jc w:val="center"/>
              <w:rPr>
                <w:rFonts w:cs="Times New Roman"/>
                <w:szCs w:val="24"/>
              </w:rPr>
            </w:pPr>
            <w:r>
              <w:rPr>
                <w:rFonts w:cs="Times New Roman"/>
                <w:szCs w:val="24"/>
              </w:rPr>
              <w:t>Zr</w:t>
            </w:r>
            <w:r>
              <w:rPr>
                <w:rFonts w:cs="Times New Roman"/>
                <w:szCs w:val="24"/>
                <w:vertAlign w:val="superscript"/>
              </w:rPr>
              <w:t>4+</w:t>
            </w:r>
            <w:r>
              <w:rPr>
                <w:rFonts w:cs="Times New Roman"/>
                <w:szCs w:val="24"/>
              </w:rPr>
              <w:t>(3d</w:t>
            </w:r>
            <w:r>
              <w:rPr>
                <w:rFonts w:cs="Times New Roman"/>
                <w:szCs w:val="24"/>
                <w:vertAlign w:val="subscript"/>
              </w:rPr>
              <w:t>5/2</w:t>
            </w:r>
            <w:r>
              <w:rPr>
                <w:rFonts w:cs="Times New Roman"/>
                <w:szCs w:val="24"/>
              </w:rPr>
              <w:t>)</w:t>
            </w:r>
          </w:p>
        </w:tc>
        <w:tc>
          <w:tcPr>
            <w:tcW w:w="670" w:type="pct"/>
            <w:tcBorders>
              <w:top w:val="single" w:color="auto" w:sz="4" w:space="0"/>
              <w:bottom w:val="nil"/>
            </w:tcBorders>
          </w:tcPr>
          <w:p w14:paraId="1BDE3D2F">
            <w:pPr>
              <w:spacing w:line="240" w:lineRule="auto"/>
              <w:jc w:val="center"/>
              <w:rPr>
                <w:rFonts w:cs="Times New Roman"/>
                <w:szCs w:val="24"/>
              </w:rPr>
            </w:pPr>
            <w:r>
              <w:rPr>
                <w:szCs w:val="24"/>
              </w:rPr>
              <w:t>182.03</w:t>
            </w:r>
          </w:p>
        </w:tc>
        <w:tc>
          <w:tcPr>
            <w:tcW w:w="891" w:type="pct"/>
            <w:tcBorders>
              <w:top w:val="single" w:color="auto" w:sz="4" w:space="0"/>
              <w:bottom w:val="nil"/>
            </w:tcBorders>
          </w:tcPr>
          <w:p w14:paraId="37DDEE38">
            <w:pPr>
              <w:spacing w:line="240" w:lineRule="auto"/>
              <w:jc w:val="center"/>
              <w:rPr>
                <w:rFonts w:cs="Times New Roman"/>
                <w:szCs w:val="24"/>
              </w:rPr>
            </w:pPr>
            <w:r>
              <w:rPr>
                <w:szCs w:val="24"/>
              </w:rPr>
              <w:t>1.46</w:t>
            </w:r>
          </w:p>
        </w:tc>
        <w:tc>
          <w:tcPr>
            <w:tcW w:w="781" w:type="pct"/>
            <w:tcBorders>
              <w:top w:val="single" w:color="auto" w:sz="4" w:space="0"/>
              <w:bottom w:val="nil"/>
            </w:tcBorders>
          </w:tcPr>
          <w:p w14:paraId="5808B262">
            <w:pPr>
              <w:spacing w:line="240" w:lineRule="auto"/>
              <w:jc w:val="center"/>
              <w:rPr>
                <w:rFonts w:cs="Times New Roman"/>
                <w:szCs w:val="24"/>
              </w:rPr>
            </w:pPr>
            <w:r>
              <w:rPr>
                <w:szCs w:val="24"/>
              </w:rPr>
              <w:t>1.00</w:t>
            </w:r>
          </w:p>
        </w:tc>
      </w:tr>
      <w:tr w14:paraId="5749401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878" w:type="pct"/>
            <w:vMerge w:val="continue"/>
            <w:vAlign w:val="center"/>
          </w:tcPr>
          <w:p w14:paraId="6527CB66">
            <w:pPr>
              <w:spacing w:line="240" w:lineRule="auto"/>
              <w:jc w:val="center"/>
              <w:rPr>
                <w:rFonts w:cs="Times New Roman"/>
                <w:szCs w:val="24"/>
              </w:rPr>
            </w:pPr>
          </w:p>
        </w:tc>
        <w:tc>
          <w:tcPr>
            <w:tcW w:w="780" w:type="pct"/>
            <w:tcBorders>
              <w:top w:val="nil"/>
              <w:bottom w:val="nil"/>
            </w:tcBorders>
            <w:vAlign w:val="center"/>
          </w:tcPr>
          <w:p w14:paraId="42B2F3A7">
            <w:pPr>
              <w:spacing w:line="240" w:lineRule="auto"/>
              <w:jc w:val="center"/>
              <w:rPr>
                <w:rFonts w:cs="Times New Roman"/>
                <w:szCs w:val="24"/>
              </w:rPr>
            </w:pPr>
            <w:r>
              <w:rPr>
                <w:rFonts w:cs="Times New Roman"/>
                <w:szCs w:val="24"/>
              </w:rPr>
              <w:t>Zr</w:t>
            </w:r>
            <w:r>
              <w:rPr>
                <w:rFonts w:cs="Times New Roman"/>
                <w:szCs w:val="24"/>
                <w:vertAlign w:val="superscript"/>
              </w:rPr>
              <w:t>4+</w:t>
            </w:r>
            <w:r>
              <w:rPr>
                <w:rFonts w:cs="Times New Roman"/>
                <w:szCs w:val="24"/>
              </w:rPr>
              <w:t>(3d</w:t>
            </w:r>
            <w:r>
              <w:rPr>
                <w:rFonts w:cs="Times New Roman"/>
                <w:szCs w:val="24"/>
                <w:vertAlign w:val="subscript"/>
              </w:rPr>
              <w:t>3/2</w:t>
            </w:r>
            <w:r>
              <w:rPr>
                <w:rFonts w:cs="Times New Roman"/>
                <w:szCs w:val="24"/>
              </w:rPr>
              <w:t>)</w:t>
            </w:r>
          </w:p>
        </w:tc>
        <w:tc>
          <w:tcPr>
            <w:tcW w:w="670" w:type="pct"/>
            <w:tcBorders>
              <w:top w:val="nil"/>
              <w:bottom w:val="nil"/>
            </w:tcBorders>
          </w:tcPr>
          <w:p w14:paraId="663A2136">
            <w:pPr>
              <w:spacing w:line="240" w:lineRule="auto"/>
              <w:jc w:val="center"/>
              <w:rPr>
                <w:rFonts w:cs="Times New Roman"/>
                <w:szCs w:val="24"/>
              </w:rPr>
            </w:pPr>
            <w:r>
              <w:rPr>
                <w:szCs w:val="24"/>
              </w:rPr>
              <w:t>184.39</w:t>
            </w:r>
          </w:p>
        </w:tc>
        <w:tc>
          <w:tcPr>
            <w:tcW w:w="891" w:type="pct"/>
            <w:tcBorders>
              <w:top w:val="nil"/>
              <w:bottom w:val="nil"/>
            </w:tcBorders>
          </w:tcPr>
          <w:p w14:paraId="5F1902C3">
            <w:pPr>
              <w:spacing w:line="240" w:lineRule="auto"/>
              <w:jc w:val="center"/>
              <w:rPr>
                <w:rFonts w:cs="Times New Roman"/>
                <w:szCs w:val="24"/>
              </w:rPr>
            </w:pPr>
            <w:r>
              <w:rPr>
                <w:szCs w:val="24"/>
              </w:rPr>
              <w:t>1.46</w:t>
            </w:r>
          </w:p>
        </w:tc>
        <w:tc>
          <w:tcPr>
            <w:tcW w:w="781" w:type="pct"/>
            <w:tcBorders>
              <w:top w:val="nil"/>
              <w:bottom w:val="nil"/>
            </w:tcBorders>
          </w:tcPr>
          <w:p w14:paraId="5D8BCD21">
            <w:pPr>
              <w:spacing w:line="240" w:lineRule="auto"/>
              <w:jc w:val="center"/>
              <w:rPr>
                <w:rFonts w:cs="Times New Roman"/>
                <w:szCs w:val="24"/>
              </w:rPr>
            </w:pPr>
            <w:r>
              <w:rPr>
                <w:szCs w:val="24"/>
              </w:rPr>
              <w:t>0.67</w:t>
            </w:r>
          </w:p>
        </w:tc>
      </w:tr>
      <w:tr w14:paraId="21EFB73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878" w:type="pct"/>
            <w:vMerge w:val="continue"/>
            <w:vAlign w:val="center"/>
          </w:tcPr>
          <w:p w14:paraId="302D32D6">
            <w:pPr>
              <w:spacing w:line="240" w:lineRule="auto"/>
              <w:jc w:val="center"/>
              <w:rPr>
                <w:rFonts w:cs="Times New Roman"/>
                <w:szCs w:val="24"/>
              </w:rPr>
            </w:pPr>
          </w:p>
        </w:tc>
        <w:tc>
          <w:tcPr>
            <w:tcW w:w="780" w:type="pct"/>
            <w:tcBorders>
              <w:top w:val="nil"/>
              <w:bottom w:val="nil"/>
            </w:tcBorders>
            <w:vAlign w:val="center"/>
          </w:tcPr>
          <w:p w14:paraId="51040C37">
            <w:pPr>
              <w:spacing w:line="240" w:lineRule="auto"/>
              <w:jc w:val="center"/>
              <w:rPr>
                <w:rFonts w:cs="Times New Roman"/>
                <w:szCs w:val="24"/>
              </w:rPr>
            </w:pPr>
            <w:r>
              <w:rPr>
                <w:rFonts w:cs="Times New Roman"/>
                <w:szCs w:val="24"/>
              </w:rPr>
              <w:t>Zr</w:t>
            </w:r>
            <w:r>
              <w:rPr>
                <w:rFonts w:cs="Times New Roman"/>
                <w:szCs w:val="24"/>
                <w:vertAlign w:val="superscript"/>
              </w:rPr>
              <w:t>3+</w:t>
            </w:r>
            <w:r>
              <w:rPr>
                <w:rFonts w:cs="Times New Roman"/>
                <w:szCs w:val="24"/>
              </w:rPr>
              <w:t>(3d</w:t>
            </w:r>
            <w:r>
              <w:rPr>
                <w:rFonts w:cs="Times New Roman"/>
                <w:szCs w:val="24"/>
                <w:vertAlign w:val="subscript"/>
              </w:rPr>
              <w:t>5/2</w:t>
            </w:r>
            <w:r>
              <w:rPr>
                <w:rFonts w:cs="Times New Roman"/>
                <w:szCs w:val="24"/>
              </w:rPr>
              <w:t>)</w:t>
            </w:r>
          </w:p>
        </w:tc>
        <w:tc>
          <w:tcPr>
            <w:tcW w:w="670" w:type="pct"/>
            <w:tcBorders>
              <w:top w:val="nil"/>
              <w:bottom w:val="nil"/>
            </w:tcBorders>
          </w:tcPr>
          <w:p w14:paraId="235576F8">
            <w:pPr>
              <w:spacing w:line="240" w:lineRule="auto"/>
              <w:jc w:val="center"/>
              <w:rPr>
                <w:rFonts w:cs="Times New Roman"/>
                <w:szCs w:val="24"/>
              </w:rPr>
            </w:pPr>
            <w:r>
              <w:rPr>
                <w:szCs w:val="24"/>
              </w:rPr>
              <w:t>181.47</w:t>
            </w:r>
          </w:p>
        </w:tc>
        <w:tc>
          <w:tcPr>
            <w:tcW w:w="891" w:type="pct"/>
            <w:tcBorders>
              <w:top w:val="nil"/>
              <w:bottom w:val="nil"/>
            </w:tcBorders>
          </w:tcPr>
          <w:p w14:paraId="20C1CB88">
            <w:pPr>
              <w:spacing w:line="240" w:lineRule="auto"/>
              <w:jc w:val="center"/>
              <w:rPr>
                <w:rFonts w:cs="Times New Roman"/>
                <w:szCs w:val="24"/>
              </w:rPr>
            </w:pPr>
            <w:r>
              <w:rPr>
                <w:szCs w:val="24"/>
              </w:rPr>
              <w:t>1.47</w:t>
            </w:r>
          </w:p>
        </w:tc>
        <w:tc>
          <w:tcPr>
            <w:tcW w:w="781" w:type="pct"/>
            <w:tcBorders>
              <w:top w:val="nil"/>
              <w:bottom w:val="nil"/>
            </w:tcBorders>
          </w:tcPr>
          <w:p w14:paraId="45A9E62A">
            <w:pPr>
              <w:spacing w:line="240" w:lineRule="auto"/>
              <w:jc w:val="center"/>
              <w:rPr>
                <w:rFonts w:cs="Times New Roman"/>
                <w:szCs w:val="24"/>
              </w:rPr>
            </w:pPr>
            <w:r>
              <w:rPr>
                <w:szCs w:val="24"/>
              </w:rPr>
              <w:t>0.45</w:t>
            </w:r>
          </w:p>
        </w:tc>
      </w:tr>
      <w:tr w14:paraId="1C86061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878" w:type="pct"/>
            <w:vMerge w:val="continue"/>
            <w:tcBorders>
              <w:bottom w:val="single" w:color="auto" w:sz="4" w:space="0"/>
            </w:tcBorders>
            <w:vAlign w:val="center"/>
          </w:tcPr>
          <w:p w14:paraId="45264ECA">
            <w:pPr>
              <w:spacing w:line="240" w:lineRule="auto"/>
              <w:jc w:val="center"/>
              <w:rPr>
                <w:rFonts w:cs="Times New Roman"/>
                <w:szCs w:val="24"/>
              </w:rPr>
            </w:pPr>
          </w:p>
        </w:tc>
        <w:tc>
          <w:tcPr>
            <w:tcW w:w="780" w:type="pct"/>
            <w:tcBorders>
              <w:top w:val="nil"/>
              <w:bottom w:val="single" w:color="auto" w:sz="4" w:space="0"/>
            </w:tcBorders>
            <w:vAlign w:val="center"/>
          </w:tcPr>
          <w:p w14:paraId="69A97C43">
            <w:pPr>
              <w:spacing w:line="240" w:lineRule="auto"/>
              <w:jc w:val="center"/>
              <w:rPr>
                <w:rFonts w:cs="Times New Roman"/>
                <w:szCs w:val="24"/>
              </w:rPr>
            </w:pPr>
            <w:r>
              <w:rPr>
                <w:rFonts w:cs="Times New Roman"/>
                <w:szCs w:val="24"/>
              </w:rPr>
              <w:t>Zr</w:t>
            </w:r>
            <w:r>
              <w:rPr>
                <w:rFonts w:cs="Times New Roman"/>
                <w:szCs w:val="24"/>
                <w:vertAlign w:val="superscript"/>
              </w:rPr>
              <w:t>3+</w:t>
            </w:r>
            <w:r>
              <w:rPr>
                <w:rFonts w:cs="Times New Roman"/>
                <w:szCs w:val="24"/>
              </w:rPr>
              <w:t>(3d</w:t>
            </w:r>
            <w:r>
              <w:rPr>
                <w:rFonts w:cs="Times New Roman"/>
                <w:szCs w:val="24"/>
                <w:vertAlign w:val="subscript"/>
              </w:rPr>
              <w:t>3/2</w:t>
            </w:r>
            <w:r>
              <w:rPr>
                <w:rFonts w:cs="Times New Roman"/>
                <w:szCs w:val="24"/>
              </w:rPr>
              <w:t>)</w:t>
            </w:r>
          </w:p>
        </w:tc>
        <w:tc>
          <w:tcPr>
            <w:tcW w:w="670" w:type="pct"/>
            <w:tcBorders>
              <w:top w:val="nil"/>
              <w:bottom w:val="single" w:color="auto" w:sz="4" w:space="0"/>
            </w:tcBorders>
          </w:tcPr>
          <w:p w14:paraId="26111139">
            <w:pPr>
              <w:spacing w:line="240" w:lineRule="auto"/>
              <w:jc w:val="center"/>
              <w:rPr>
                <w:rFonts w:cs="Times New Roman"/>
                <w:szCs w:val="24"/>
              </w:rPr>
            </w:pPr>
            <w:r>
              <w:rPr>
                <w:szCs w:val="24"/>
              </w:rPr>
              <w:t>183.85</w:t>
            </w:r>
          </w:p>
        </w:tc>
        <w:tc>
          <w:tcPr>
            <w:tcW w:w="891" w:type="pct"/>
            <w:tcBorders>
              <w:top w:val="nil"/>
              <w:bottom w:val="single" w:color="auto" w:sz="4" w:space="0"/>
            </w:tcBorders>
          </w:tcPr>
          <w:p w14:paraId="77CE8D59">
            <w:pPr>
              <w:spacing w:line="240" w:lineRule="auto"/>
              <w:jc w:val="center"/>
              <w:rPr>
                <w:rFonts w:cs="Times New Roman"/>
                <w:szCs w:val="24"/>
              </w:rPr>
            </w:pPr>
            <w:r>
              <w:rPr>
                <w:szCs w:val="24"/>
              </w:rPr>
              <w:t>1.47</w:t>
            </w:r>
          </w:p>
        </w:tc>
        <w:tc>
          <w:tcPr>
            <w:tcW w:w="781" w:type="pct"/>
            <w:tcBorders>
              <w:top w:val="nil"/>
              <w:bottom w:val="single" w:color="auto" w:sz="4" w:space="0"/>
            </w:tcBorders>
          </w:tcPr>
          <w:p w14:paraId="4A1180C6">
            <w:pPr>
              <w:spacing w:line="240" w:lineRule="auto"/>
              <w:jc w:val="center"/>
              <w:rPr>
                <w:rFonts w:cs="Times New Roman"/>
                <w:szCs w:val="24"/>
              </w:rPr>
            </w:pPr>
            <w:r>
              <w:rPr>
                <w:szCs w:val="24"/>
              </w:rPr>
              <w:t>0.30</w:t>
            </w:r>
          </w:p>
        </w:tc>
      </w:tr>
      <w:tr w14:paraId="27321E4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878" w:type="pct"/>
            <w:vMerge w:val="restart"/>
            <w:tcBorders>
              <w:top w:val="single" w:color="auto" w:sz="4" w:space="0"/>
            </w:tcBorders>
            <w:vAlign w:val="center"/>
          </w:tcPr>
          <w:p w14:paraId="0454B0A5">
            <w:pPr>
              <w:spacing w:line="240" w:lineRule="auto"/>
              <w:jc w:val="center"/>
              <w:rPr>
                <w:rFonts w:cs="Times New Roman"/>
                <w:szCs w:val="24"/>
              </w:rPr>
            </w:pPr>
            <w:r>
              <w:rPr>
                <w:rFonts w:cs="Times New Roman"/>
                <w:szCs w:val="24"/>
              </w:rPr>
              <w:t>Air-192</w:t>
            </w:r>
          </w:p>
        </w:tc>
        <w:tc>
          <w:tcPr>
            <w:tcW w:w="780" w:type="pct"/>
            <w:tcBorders>
              <w:top w:val="single" w:color="auto" w:sz="4" w:space="0"/>
            </w:tcBorders>
            <w:vAlign w:val="center"/>
          </w:tcPr>
          <w:p w14:paraId="4009607D">
            <w:pPr>
              <w:spacing w:line="240" w:lineRule="auto"/>
              <w:jc w:val="center"/>
              <w:rPr>
                <w:rFonts w:cs="Times New Roman"/>
                <w:szCs w:val="24"/>
              </w:rPr>
            </w:pPr>
            <w:r>
              <w:rPr>
                <w:rFonts w:cs="Times New Roman"/>
                <w:szCs w:val="24"/>
              </w:rPr>
              <w:t>Zr</w:t>
            </w:r>
            <w:r>
              <w:rPr>
                <w:rFonts w:cs="Times New Roman"/>
                <w:szCs w:val="24"/>
                <w:vertAlign w:val="superscript"/>
              </w:rPr>
              <w:t>4+</w:t>
            </w:r>
            <w:r>
              <w:rPr>
                <w:rFonts w:cs="Times New Roman"/>
                <w:szCs w:val="24"/>
              </w:rPr>
              <w:t>(3d</w:t>
            </w:r>
            <w:r>
              <w:rPr>
                <w:rFonts w:cs="Times New Roman"/>
                <w:szCs w:val="24"/>
                <w:vertAlign w:val="subscript"/>
              </w:rPr>
              <w:t>5/2</w:t>
            </w:r>
            <w:r>
              <w:rPr>
                <w:rFonts w:cs="Times New Roman"/>
                <w:szCs w:val="24"/>
              </w:rPr>
              <w:t>)</w:t>
            </w:r>
          </w:p>
        </w:tc>
        <w:tc>
          <w:tcPr>
            <w:tcW w:w="670" w:type="pct"/>
            <w:tcBorders>
              <w:top w:val="single" w:color="auto" w:sz="4" w:space="0"/>
            </w:tcBorders>
          </w:tcPr>
          <w:p w14:paraId="42C77E3E">
            <w:pPr>
              <w:spacing w:line="240" w:lineRule="auto"/>
              <w:jc w:val="center"/>
              <w:rPr>
                <w:rFonts w:cs="Times New Roman"/>
                <w:szCs w:val="24"/>
              </w:rPr>
            </w:pPr>
            <w:r>
              <w:rPr>
                <w:szCs w:val="24"/>
              </w:rPr>
              <w:t>181.91</w:t>
            </w:r>
          </w:p>
        </w:tc>
        <w:tc>
          <w:tcPr>
            <w:tcW w:w="891" w:type="pct"/>
            <w:tcBorders>
              <w:top w:val="single" w:color="auto" w:sz="4" w:space="0"/>
            </w:tcBorders>
          </w:tcPr>
          <w:p w14:paraId="7A42DA66">
            <w:pPr>
              <w:spacing w:line="240" w:lineRule="auto"/>
              <w:jc w:val="center"/>
              <w:rPr>
                <w:rFonts w:cs="Times New Roman"/>
                <w:szCs w:val="24"/>
              </w:rPr>
            </w:pPr>
            <w:r>
              <w:rPr>
                <w:szCs w:val="24"/>
              </w:rPr>
              <w:t>1.40</w:t>
            </w:r>
          </w:p>
        </w:tc>
        <w:tc>
          <w:tcPr>
            <w:tcW w:w="781" w:type="pct"/>
            <w:tcBorders>
              <w:top w:val="single" w:color="auto" w:sz="4" w:space="0"/>
            </w:tcBorders>
          </w:tcPr>
          <w:p w14:paraId="71C17F00">
            <w:pPr>
              <w:spacing w:line="240" w:lineRule="auto"/>
              <w:jc w:val="center"/>
              <w:rPr>
                <w:rFonts w:cs="Times New Roman"/>
                <w:szCs w:val="24"/>
              </w:rPr>
            </w:pPr>
            <w:r>
              <w:rPr>
                <w:szCs w:val="24"/>
              </w:rPr>
              <w:t>1.00</w:t>
            </w:r>
          </w:p>
        </w:tc>
      </w:tr>
      <w:tr w14:paraId="71A9DB1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878" w:type="pct"/>
            <w:vMerge w:val="continue"/>
            <w:vAlign w:val="center"/>
          </w:tcPr>
          <w:p w14:paraId="48BF9C2C">
            <w:pPr>
              <w:spacing w:line="240" w:lineRule="auto"/>
              <w:jc w:val="center"/>
              <w:rPr>
                <w:rFonts w:cs="Times New Roman"/>
                <w:szCs w:val="24"/>
              </w:rPr>
            </w:pPr>
          </w:p>
        </w:tc>
        <w:tc>
          <w:tcPr>
            <w:tcW w:w="780" w:type="pct"/>
            <w:vAlign w:val="center"/>
          </w:tcPr>
          <w:p w14:paraId="79D727C9">
            <w:pPr>
              <w:spacing w:line="240" w:lineRule="auto"/>
              <w:jc w:val="center"/>
              <w:rPr>
                <w:rFonts w:cs="Times New Roman"/>
                <w:szCs w:val="24"/>
              </w:rPr>
            </w:pPr>
            <w:r>
              <w:rPr>
                <w:rFonts w:cs="Times New Roman"/>
                <w:szCs w:val="24"/>
              </w:rPr>
              <w:t>Zr</w:t>
            </w:r>
            <w:r>
              <w:rPr>
                <w:rFonts w:cs="Times New Roman"/>
                <w:szCs w:val="24"/>
                <w:vertAlign w:val="superscript"/>
              </w:rPr>
              <w:t>4+</w:t>
            </w:r>
            <w:r>
              <w:rPr>
                <w:rFonts w:cs="Times New Roman"/>
                <w:szCs w:val="24"/>
              </w:rPr>
              <w:t>(3d</w:t>
            </w:r>
            <w:r>
              <w:rPr>
                <w:rFonts w:cs="Times New Roman"/>
                <w:szCs w:val="24"/>
                <w:vertAlign w:val="subscript"/>
              </w:rPr>
              <w:t>3/2</w:t>
            </w:r>
            <w:r>
              <w:rPr>
                <w:rFonts w:cs="Times New Roman"/>
                <w:szCs w:val="24"/>
              </w:rPr>
              <w:t>)</w:t>
            </w:r>
          </w:p>
        </w:tc>
        <w:tc>
          <w:tcPr>
            <w:tcW w:w="670" w:type="pct"/>
          </w:tcPr>
          <w:p w14:paraId="4E1E4820">
            <w:pPr>
              <w:spacing w:line="240" w:lineRule="auto"/>
              <w:jc w:val="center"/>
              <w:rPr>
                <w:rFonts w:cs="Times New Roman"/>
                <w:szCs w:val="24"/>
              </w:rPr>
            </w:pPr>
            <w:r>
              <w:rPr>
                <w:szCs w:val="24"/>
              </w:rPr>
              <w:t>184.31</w:t>
            </w:r>
          </w:p>
        </w:tc>
        <w:tc>
          <w:tcPr>
            <w:tcW w:w="891" w:type="pct"/>
          </w:tcPr>
          <w:p w14:paraId="7AC1C212">
            <w:pPr>
              <w:spacing w:line="240" w:lineRule="auto"/>
              <w:jc w:val="center"/>
              <w:rPr>
                <w:rFonts w:cs="Times New Roman"/>
                <w:szCs w:val="24"/>
              </w:rPr>
            </w:pPr>
            <w:r>
              <w:rPr>
                <w:szCs w:val="24"/>
              </w:rPr>
              <w:t>1.40</w:t>
            </w:r>
          </w:p>
        </w:tc>
        <w:tc>
          <w:tcPr>
            <w:tcW w:w="781" w:type="pct"/>
          </w:tcPr>
          <w:p w14:paraId="763F338F">
            <w:pPr>
              <w:spacing w:line="240" w:lineRule="auto"/>
              <w:jc w:val="center"/>
              <w:rPr>
                <w:rFonts w:cs="Times New Roman"/>
                <w:szCs w:val="24"/>
              </w:rPr>
            </w:pPr>
            <w:r>
              <w:rPr>
                <w:szCs w:val="24"/>
              </w:rPr>
              <w:t>0.67</w:t>
            </w:r>
          </w:p>
        </w:tc>
      </w:tr>
    </w:tbl>
    <w:p w14:paraId="4F55A6C9">
      <w:pPr>
        <w:pStyle w:val="5"/>
        <w:jc w:val="left"/>
      </w:pPr>
      <w:r>
        <w:rPr>
          <w:b/>
          <w:bCs/>
        </w:rPr>
        <w:t>Table note:</w:t>
      </w:r>
      <w:r>
        <w:rPr>
          <w:rFonts w:hint="eastAsia"/>
        </w:rPr>
        <w:t xml:space="preserve"> </w:t>
      </w:r>
      <w:r>
        <w:t>The spin–orbit splitting (Δ</w:t>
      </w:r>
      <w:r>
        <w:rPr>
          <w:i/>
          <w:iCs/>
        </w:rPr>
        <w:t>E</w:t>
      </w:r>
      <w:r>
        <w:t xml:space="preserve"> = BE</w:t>
      </w:r>
      <w:r>
        <w:rPr>
          <w:rFonts w:hint="eastAsia"/>
        </w:rPr>
        <w:t xml:space="preserve"> </w:t>
      </w:r>
      <w:r>
        <w:t>3d</w:t>
      </w:r>
      <w:r>
        <w:rPr>
          <w:vertAlign w:val="subscript"/>
        </w:rPr>
        <w:t>3/2</w:t>
      </w:r>
      <w:r>
        <w:t xml:space="preserve"> – BE</w:t>
      </w:r>
      <w:r>
        <w:rPr>
          <w:rFonts w:hint="eastAsia"/>
        </w:rPr>
        <w:t xml:space="preserve"> </w:t>
      </w:r>
      <w:r>
        <w:t>3d</w:t>
      </w:r>
      <w:r>
        <w:rPr>
          <w:vertAlign w:val="subscript"/>
        </w:rPr>
        <w:t>5/2</w:t>
      </w:r>
      <w:r>
        <w:t>) was constrained to 2.40 ± 0.05 eV; the 3d</w:t>
      </w:r>
      <w:r>
        <w:rPr>
          <w:vertAlign w:val="subscript"/>
        </w:rPr>
        <w:t>5/2</w:t>
      </w:r>
      <w:r>
        <w:t>:3d</w:t>
      </w:r>
      <w:r>
        <w:rPr>
          <w:vertAlign w:val="subscript"/>
        </w:rPr>
        <w:t>3/2</w:t>
      </w:r>
      <w:r>
        <w:rPr>
          <w:rFonts w:hint="eastAsia"/>
        </w:rPr>
        <w:t xml:space="preserve"> </w:t>
      </w:r>
      <w:r>
        <w:t>area ratio was fixed at 3:2; and FWHMs were tied within each doublet.</w:t>
      </w:r>
    </w:p>
    <w:p w14:paraId="716F0121"/>
    <w:p w14:paraId="2C89C4E2">
      <w:pPr>
        <w:widowControl/>
        <w:spacing w:line="240" w:lineRule="auto"/>
        <w:jc w:val="left"/>
      </w:pPr>
      <w:r>
        <w:br w:type="page"/>
      </w:r>
    </w:p>
    <w:p w14:paraId="328B2A12">
      <w:pPr>
        <w:pStyle w:val="2"/>
      </w:pPr>
      <w:r>
        <w:t xml:space="preserve">High-Temperature and High-Pressure Phase Transformation of 8YSZ in a </w:t>
      </w:r>
      <w:r>
        <w:rPr>
          <w:rFonts w:hint="eastAsia"/>
        </w:rPr>
        <w:t>DAC</w:t>
      </w:r>
    </w:p>
    <w:p w14:paraId="23EC41D7">
      <w:pPr>
        <w:pStyle w:val="5"/>
      </w:pPr>
      <w:r>
        <w:drawing>
          <wp:inline distT="0" distB="0" distL="0" distR="0">
            <wp:extent cx="5187950" cy="6151245"/>
            <wp:effectExtent l="0" t="0" r="0" b="1905"/>
            <wp:docPr id="209594723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947237" name="图片 1"/>
                    <pic:cNvPicPr>
                      <a:picLocks noChangeAspect="1" noChangeArrowheads="1"/>
                    </pic:cNvPicPr>
                  </pic:nvPicPr>
                  <pic:blipFill>
                    <a:blip r:embed="rId10" cstate="hqprint"/>
                    <a:srcRect/>
                    <a:stretch>
                      <a:fillRect/>
                    </a:stretch>
                  </pic:blipFill>
                  <pic:spPr>
                    <a:xfrm>
                      <a:off x="0" y="0"/>
                      <a:ext cx="5188149" cy="6151245"/>
                    </a:xfrm>
                    <a:prstGeom prst="rect">
                      <a:avLst/>
                    </a:prstGeom>
                    <a:noFill/>
                    <a:ln>
                      <a:noFill/>
                    </a:ln>
                  </pic:spPr>
                </pic:pic>
              </a:graphicData>
            </a:graphic>
          </wp:inline>
        </w:drawing>
      </w:r>
    </w:p>
    <w:p w14:paraId="39A6A042">
      <w:pPr>
        <w:pStyle w:val="5"/>
        <w:rPr>
          <w:rFonts w:cs="Times New Roman"/>
        </w:rPr>
      </w:pPr>
      <w:r>
        <w:rPr>
          <w:b/>
          <w:bCs/>
        </w:rPr>
        <w:t xml:space="preserve">Fig. </w:t>
      </w:r>
      <w:r>
        <w:rPr>
          <w:rFonts w:hint="eastAsia"/>
          <w:b/>
          <w:bCs/>
        </w:rPr>
        <w:t>S</w:t>
      </w:r>
      <w:r>
        <w:rPr>
          <w:b/>
          <w:bCs/>
        </w:rPr>
        <w:fldChar w:fldCharType="begin"/>
      </w:r>
      <w:r>
        <w:rPr>
          <w:b/>
          <w:bCs/>
        </w:rPr>
        <w:instrText xml:space="preserve"> SEQ Fig. \* ARABIC </w:instrText>
      </w:r>
      <w:r>
        <w:rPr>
          <w:b/>
          <w:bCs/>
        </w:rPr>
        <w:fldChar w:fldCharType="separate"/>
      </w:r>
      <w:r>
        <w:rPr>
          <w:b/>
          <w:bCs/>
        </w:rPr>
        <w:t>5</w:t>
      </w:r>
      <w:r>
        <w:rPr>
          <w:b/>
          <w:bCs/>
        </w:rPr>
        <w:fldChar w:fldCharType="end"/>
      </w:r>
      <w:r>
        <w:rPr>
          <w:rFonts w:hint="eastAsia"/>
        </w:rPr>
        <w:t xml:space="preserve"> </w:t>
      </w:r>
      <w:r>
        <w:rPr>
          <w:rFonts w:cs="Times New Roman"/>
        </w:rPr>
        <w:t>Morphology and phase characterization of 8YSZ powders under different hydrogen-treatment conditions: (a) optical image, 1.8 GPa H</w:t>
      </w:r>
      <w:r>
        <w:rPr>
          <w:rFonts w:hint="eastAsia" w:cs="Times New Roman"/>
          <w:vertAlign w:val="subscript"/>
        </w:rPr>
        <w:t>2</w:t>
      </w:r>
      <w:r>
        <w:rPr>
          <w:rFonts w:cs="Times New Roman"/>
        </w:rPr>
        <w:t xml:space="preserve">, </w:t>
      </w:r>
      <w:r>
        <w:rPr>
          <w:rFonts w:hint="eastAsia" w:cs="Times New Roman"/>
        </w:rPr>
        <w:t>0</w:t>
      </w:r>
      <w:r>
        <w:rPr>
          <w:rFonts w:cs="Times New Roman"/>
        </w:rPr>
        <w:t xml:space="preserve"> day</w:t>
      </w:r>
      <w:r>
        <w:rPr>
          <w:rFonts w:hint="eastAsia" w:cs="Times New Roman"/>
        </w:rPr>
        <w:t>s</w:t>
      </w:r>
      <w:r>
        <w:rPr>
          <w:rFonts w:cs="Times New Roman"/>
        </w:rPr>
        <w:t>, 298 K; (b) optical image, 1.8 GPa H</w:t>
      </w:r>
      <w:r>
        <w:rPr>
          <w:rFonts w:hint="eastAsia" w:cs="Times New Roman"/>
          <w:vertAlign w:val="subscript"/>
        </w:rPr>
        <w:t>2</w:t>
      </w:r>
      <w:r>
        <w:rPr>
          <w:rFonts w:cs="Times New Roman"/>
        </w:rPr>
        <w:t>, 30 days, 298 K; (c) optical image, 1.8 GPa H</w:t>
      </w:r>
      <w:r>
        <w:rPr>
          <w:rFonts w:hint="eastAsia" w:cs="Times New Roman"/>
          <w:vertAlign w:val="subscript"/>
        </w:rPr>
        <w:t>2</w:t>
      </w:r>
      <w:r>
        <w:rPr>
          <w:rFonts w:cs="Times New Roman"/>
        </w:rPr>
        <w:t>, 30 days, 1473 K; (d) Raman spectra; (e) X-ray diffraction patterns.</w:t>
      </w:r>
    </w:p>
    <w:p w14:paraId="1E1DAE97">
      <w:pPr>
        <w:widowControl/>
        <w:spacing w:line="240" w:lineRule="auto"/>
        <w:jc w:val="left"/>
      </w:pPr>
      <w:r>
        <w:br w:type="page"/>
      </w:r>
    </w:p>
    <w:p w14:paraId="5CE0CB6E">
      <w:pPr>
        <w:pStyle w:val="2"/>
      </w:pPr>
      <w:r>
        <w:t>XRD Patterns of 8YSZ Under Different Treatment Conditions</w:t>
      </w:r>
    </w:p>
    <w:p w14:paraId="7F29553D">
      <w:pPr>
        <w:ind w:firstLine="420"/>
      </w:pPr>
      <w:r>
        <w:t>The legend entries represent the processing sequences. For instance, “Ar</w:t>
      </w:r>
      <w:r>
        <w:rPr>
          <w:rFonts w:hint="eastAsia"/>
        </w:rPr>
        <w:t>-</w:t>
      </w:r>
      <w:r>
        <w:t>1773 K</w:t>
      </w:r>
      <w:r>
        <w:rPr>
          <w:rFonts w:hint="eastAsia"/>
        </w:rPr>
        <w:t>-</w:t>
      </w:r>
      <w:r>
        <w:t>0.5 h → H</w:t>
      </w:r>
      <w:r>
        <w:rPr>
          <w:rFonts w:hint="eastAsia"/>
          <w:vertAlign w:val="subscript"/>
        </w:rPr>
        <w:t>2</w:t>
      </w:r>
      <w:r>
        <w:rPr>
          <w:rFonts w:hint="eastAsia"/>
        </w:rPr>
        <w:t>-</w:t>
      </w:r>
      <w:r>
        <w:t>673 K</w:t>
      </w:r>
      <w:r>
        <w:rPr>
          <w:rFonts w:hint="eastAsia"/>
        </w:rPr>
        <w:t>-</w:t>
      </w:r>
      <w:r>
        <w:t>48 h” denotes a two-step treatment, where the sample was first annealed in Ar at 1773 K for 0.5 h and subsequently exposed to H</w:t>
      </w:r>
      <w:r>
        <w:rPr>
          <w:rFonts w:hint="eastAsia"/>
          <w:vertAlign w:val="subscript"/>
        </w:rPr>
        <w:t>2</w:t>
      </w:r>
      <w:r>
        <w:t xml:space="preserve"> at 673 K for 48 h.</w:t>
      </w:r>
    </w:p>
    <w:p w14:paraId="485EE4EF">
      <w:pPr>
        <w:pStyle w:val="17"/>
      </w:pPr>
      <w:r>
        <w:drawing>
          <wp:inline distT="0" distB="0" distL="0" distR="0">
            <wp:extent cx="3959860" cy="5441950"/>
            <wp:effectExtent l="0" t="0" r="2540" b="6350"/>
            <wp:docPr id="8254778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47788" name="图片 1"/>
                    <pic:cNvPicPr>
                      <a:picLocks noChangeAspect="1"/>
                    </pic:cNvPicPr>
                  </pic:nvPicPr>
                  <pic:blipFill>
                    <a:blip r:embed="rId11" cstate="print"/>
                    <a:stretch>
                      <a:fillRect/>
                    </a:stretch>
                  </pic:blipFill>
                  <pic:spPr>
                    <a:xfrm>
                      <a:off x="0" y="0"/>
                      <a:ext cx="3960000" cy="5442258"/>
                    </a:xfrm>
                    <a:prstGeom prst="rect">
                      <a:avLst/>
                    </a:prstGeom>
                  </pic:spPr>
                </pic:pic>
              </a:graphicData>
            </a:graphic>
          </wp:inline>
        </w:drawing>
      </w:r>
    </w:p>
    <w:p w14:paraId="7B81804F">
      <w:pPr>
        <w:pStyle w:val="5"/>
      </w:pPr>
      <w:r>
        <w:rPr>
          <w:b/>
          <w:bCs/>
        </w:rPr>
        <w:t xml:space="preserve">Fig. </w:t>
      </w:r>
      <w:r>
        <w:rPr>
          <w:rFonts w:hint="eastAsia"/>
          <w:b/>
          <w:bCs/>
        </w:rPr>
        <w:t>S</w:t>
      </w:r>
      <w:r>
        <w:rPr>
          <w:b/>
          <w:bCs/>
        </w:rPr>
        <w:fldChar w:fldCharType="begin"/>
      </w:r>
      <w:r>
        <w:rPr>
          <w:b/>
          <w:bCs/>
        </w:rPr>
        <w:instrText xml:space="preserve"> SEQ Fig. \* ARABIC </w:instrText>
      </w:r>
      <w:r>
        <w:rPr>
          <w:b/>
          <w:bCs/>
        </w:rPr>
        <w:fldChar w:fldCharType="separate"/>
      </w:r>
      <w:r>
        <w:rPr>
          <w:b/>
          <w:bCs/>
        </w:rPr>
        <w:t>6</w:t>
      </w:r>
      <w:r>
        <w:rPr>
          <w:b/>
          <w:bCs/>
        </w:rPr>
        <w:fldChar w:fldCharType="end"/>
      </w:r>
      <w:r>
        <w:rPr>
          <w:rFonts w:hint="eastAsia"/>
        </w:rPr>
        <w:t xml:space="preserve"> </w:t>
      </w:r>
      <w:r>
        <w:t>XRD patterns of 8YSZ powders subjected to different heat- and hydrogen-treatment sequences.</w:t>
      </w:r>
    </w:p>
    <w:p w14:paraId="79911EEF">
      <w:pPr>
        <w:widowControl/>
        <w:spacing w:line="240" w:lineRule="auto"/>
        <w:jc w:val="left"/>
      </w:pPr>
      <w:r>
        <w:br w:type="page"/>
      </w:r>
    </w:p>
    <w:p w14:paraId="393A6957">
      <w:pPr>
        <w:pStyle w:val="2"/>
      </w:pPr>
      <w:r>
        <w:t>Rietveld Refinement Results of XRD Patterns</w:t>
      </w:r>
    </w:p>
    <w:p w14:paraId="35E79BF2">
      <w:pPr>
        <w:pStyle w:val="17"/>
      </w:pPr>
      <w:r>
        <w:drawing>
          <wp:inline distT="0" distB="0" distL="0" distR="0">
            <wp:extent cx="5006340" cy="4586605"/>
            <wp:effectExtent l="0" t="0" r="3810" b="4445"/>
            <wp:docPr id="203484017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840174" name="图片 1"/>
                    <pic:cNvPicPr>
                      <a:picLocks noChangeAspect="1" noChangeArrowheads="1"/>
                    </pic:cNvPicPr>
                  </pic:nvPicPr>
                  <pic:blipFill>
                    <a:blip r:embed="rId12" cstate="print"/>
                    <a:srcRect l="662"/>
                    <a:stretch>
                      <a:fillRect/>
                    </a:stretch>
                  </pic:blipFill>
                  <pic:spPr>
                    <a:xfrm>
                      <a:off x="0" y="0"/>
                      <a:ext cx="5006660" cy="4586868"/>
                    </a:xfrm>
                    <a:prstGeom prst="rect">
                      <a:avLst/>
                    </a:prstGeom>
                    <a:noFill/>
                    <a:ln>
                      <a:noFill/>
                    </a:ln>
                  </pic:spPr>
                </pic:pic>
              </a:graphicData>
            </a:graphic>
          </wp:inline>
        </w:drawing>
      </w:r>
    </w:p>
    <w:p w14:paraId="3B44CBA8">
      <w:pPr>
        <w:pStyle w:val="5"/>
      </w:pPr>
      <w:r>
        <w:rPr>
          <w:b/>
          <w:bCs/>
        </w:rPr>
        <w:t>Fig.</w:t>
      </w:r>
      <w:r>
        <w:rPr>
          <w:rFonts w:hint="eastAsia"/>
          <w:b/>
          <w:bCs/>
        </w:rPr>
        <w:t xml:space="preserve"> S</w:t>
      </w:r>
      <w:r>
        <w:rPr>
          <w:b/>
          <w:bCs/>
        </w:rPr>
        <w:fldChar w:fldCharType="begin"/>
      </w:r>
      <w:r>
        <w:rPr>
          <w:b/>
          <w:bCs/>
        </w:rPr>
        <w:instrText xml:space="preserve"> SEQ Fig. \* ARABIC </w:instrText>
      </w:r>
      <w:r>
        <w:rPr>
          <w:b/>
          <w:bCs/>
        </w:rPr>
        <w:fldChar w:fldCharType="separate"/>
      </w:r>
      <w:r>
        <w:rPr>
          <w:b/>
          <w:bCs/>
        </w:rPr>
        <w:t>7</w:t>
      </w:r>
      <w:r>
        <w:rPr>
          <w:b/>
          <w:bCs/>
        </w:rPr>
        <w:fldChar w:fldCharType="end"/>
      </w:r>
      <w:bookmarkStart w:id="4" w:name="_GoBack"/>
      <w:bookmarkEnd w:id="4"/>
      <w:r>
        <w:rPr>
          <w:rFonts w:hint="eastAsia"/>
        </w:rPr>
        <w:t xml:space="preserve"> </w:t>
      </w:r>
      <w:r>
        <w:t>Rietveld refinement results of XRD patterns for 8YSZ powders after different hydrogen exposure durations: (a) Untreated; (b) H-48; (c) H-96; (d) H-192.</w:t>
      </w:r>
      <w:bookmarkEnd w:id="0"/>
      <w:bookmarkEnd w:id="1"/>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Cambria Math">
    <w:panose1 w:val="02040503050406030204"/>
    <w:charset w:val="00"/>
    <w:family w:val="roman"/>
    <w:pitch w:val="default"/>
    <w:sig w:usb0="E00006FF" w:usb1="420024FF" w:usb2="02000000" w:usb3="00000000" w:csb0="2000019F" w:csb1="00000000"/>
  </w:font>
  <w:font w:name="MS Mincho">
    <w:altName w:val="Segoe Print"/>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480" w:lineRule="auto"/>
      </w:pPr>
      <w:r>
        <w:separator/>
      </w:r>
    </w:p>
  </w:footnote>
  <w:footnote w:type="continuationSeparator" w:id="1">
    <w:p>
      <w:pPr>
        <w:spacing w:line="48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35F6FBA"/>
    <w:multiLevelType w:val="multilevel"/>
    <w:tmpl w:val="635F6FBA"/>
    <w:lvl w:ilvl="0" w:tentative="0">
      <w:start w:val="1"/>
      <w:numFmt w:val="decimal"/>
      <w:pStyle w:val="2"/>
      <w:suff w:val="space"/>
      <w:lvlText w:val="%1"/>
      <w:lvlJc w:val="left"/>
      <w:pPr>
        <w:ind w:left="0" w:firstLine="0"/>
      </w:pPr>
      <w:rPr>
        <w:rFonts w:hint="eastAsia"/>
      </w:rPr>
    </w:lvl>
    <w:lvl w:ilvl="1" w:tentative="0">
      <w:start w:val="1"/>
      <w:numFmt w:val="decimal"/>
      <w:pStyle w:val="3"/>
      <w:suff w:val="space"/>
      <w:lvlText w:val="%1.%2"/>
      <w:lvlJc w:val="left"/>
      <w:pPr>
        <w:ind w:left="0" w:firstLine="0"/>
      </w:pPr>
      <w:rPr>
        <w:rFonts w:hint="eastAsia"/>
      </w:rPr>
    </w:lvl>
    <w:lvl w:ilvl="2" w:tentative="0">
      <w:start w:val="1"/>
      <w:numFmt w:val="decimal"/>
      <w:pStyle w:val="4"/>
      <w:suff w:val="space"/>
      <w:lvlText w:val="%1.%2.%3"/>
      <w:lvlJc w:val="left"/>
      <w:pPr>
        <w:ind w:left="0" w:firstLine="0"/>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5F06"/>
    <w:rsid w:val="00033B3B"/>
    <w:rsid w:val="000962A8"/>
    <w:rsid w:val="000D320F"/>
    <w:rsid w:val="00102EF3"/>
    <w:rsid w:val="0011287A"/>
    <w:rsid w:val="00152082"/>
    <w:rsid w:val="001A2995"/>
    <w:rsid w:val="001D7B63"/>
    <w:rsid w:val="001E3F77"/>
    <w:rsid w:val="001F15B5"/>
    <w:rsid w:val="00253692"/>
    <w:rsid w:val="002639C6"/>
    <w:rsid w:val="002673AE"/>
    <w:rsid w:val="00274F43"/>
    <w:rsid w:val="002C4406"/>
    <w:rsid w:val="002C764E"/>
    <w:rsid w:val="002D22FD"/>
    <w:rsid w:val="002D4697"/>
    <w:rsid w:val="002E4B39"/>
    <w:rsid w:val="002E7BDD"/>
    <w:rsid w:val="00302420"/>
    <w:rsid w:val="00305F88"/>
    <w:rsid w:val="0030770B"/>
    <w:rsid w:val="00313CE0"/>
    <w:rsid w:val="0032178E"/>
    <w:rsid w:val="00353533"/>
    <w:rsid w:val="00367B9F"/>
    <w:rsid w:val="0038408C"/>
    <w:rsid w:val="003A00E2"/>
    <w:rsid w:val="003B3215"/>
    <w:rsid w:val="003C1A3E"/>
    <w:rsid w:val="003F4BE8"/>
    <w:rsid w:val="00405CF9"/>
    <w:rsid w:val="00413087"/>
    <w:rsid w:val="00424528"/>
    <w:rsid w:val="004318BF"/>
    <w:rsid w:val="00431FA4"/>
    <w:rsid w:val="00455FE5"/>
    <w:rsid w:val="0046540B"/>
    <w:rsid w:val="004A0165"/>
    <w:rsid w:val="004B62F6"/>
    <w:rsid w:val="004D73DA"/>
    <w:rsid w:val="0051388F"/>
    <w:rsid w:val="00550659"/>
    <w:rsid w:val="00551089"/>
    <w:rsid w:val="00551F08"/>
    <w:rsid w:val="00552112"/>
    <w:rsid w:val="005659AA"/>
    <w:rsid w:val="0057074C"/>
    <w:rsid w:val="00574F8C"/>
    <w:rsid w:val="00576D7E"/>
    <w:rsid w:val="00592863"/>
    <w:rsid w:val="005B52B0"/>
    <w:rsid w:val="005C7CA8"/>
    <w:rsid w:val="006165FE"/>
    <w:rsid w:val="006432F8"/>
    <w:rsid w:val="006A5D91"/>
    <w:rsid w:val="006B4CF4"/>
    <w:rsid w:val="006D2F25"/>
    <w:rsid w:val="00752136"/>
    <w:rsid w:val="00772D9B"/>
    <w:rsid w:val="00797CC6"/>
    <w:rsid w:val="007A58AF"/>
    <w:rsid w:val="007A7A37"/>
    <w:rsid w:val="007B39F7"/>
    <w:rsid w:val="007E0B9C"/>
    <w:rsid w:val="007F44B2"/>
    <w:rsid w:val="0082776B"/>
    <w:rsid w:val="00833EFD"/>
    <w:rsid w:val="00835F06"/>
    <w:rsid w:val="008578FB"/>
    <w:rsid w:val="00871E1C"/>
    <w:rsid w:val="00891B32"/>
    <w:rsid w:val="008B5339"/>
    <w:rsid w:val="008C5550"/>
    <w:rsid w:val="008C68A0"/>
    <w:rsid w:val="008E2604"/>
    <w:rsid w:val="008E541D"/>
    <w:rsid w:val="00907381"/>
    <w:rsid w:val="0093120D"/>
    <w:rsid w:val="00945779"/>
    <w:rsid w:val="0097528D"/>
    <w:rsid w:val="00994EEE"/>
    <w:rsid w:val="00995984"/>
    <w:rsid w:val="009B5CFC"/>
    <w:rsid w:val="009C7544"/>
    <w:rsid w:val="009D1702"/>
    <w:rsid w:val="009D7015"/>
    <w:rsid w:val="00A63B45"/>
    <w:rsid w:val="00A86217"/>
    <w:rsid w:val="00A96144"/>
    <w:rsid w:val="00AB0FBA"/>
    <w:rsid w:val="00AE223B"/>
    <w:rsid w:val="00AE6F3C"/>
    <w:rsid w:val="00B4776F"/>
    <w:rsid w:val="00B65648"/>
    <w:rsid w:val="00B83B02"/>
    <w:rsid w:val="00B86FA8"/>
    <w:rsid w:val="00B94A99"/>
    <w:rsid w:val="00BB34CD"/>
    <w:rsid w:val="00BB5240"/>
    <w:rsid w:val="00BD6400"/>
    <w:rsid w:val="00C006B4"/>
    <w:rsid w:val="00C108F3"/>
    <w:rsid w:val="00C21303"/>
    <w:rsid w:val="00C40E13"/>
    <w:rsid w:val="00C716FE"/>
    <w:rsid w:val="00C754D2"/>
    <w:rsid w:val="00C77CE9"/>
    <w:rsid w:val="00CB281F"/>
    <w:rsid w:val="00CE678F"/>
    <w:rsid w:val="00D20334"/>
    <w:rsid w:val="00D62EC4"/>
    <w:rsid w:val="00D76822"/>
    <w:rsid w:val="00D87473"/>
    <w:rsid w:val="00D95106"/>
    <w:rsid w:val="00D979ED"/>
    <w:rsid w:val="00DA0258"/>
    <w:rsid w:val="00DA17BB"/>
    <w:rsid w:val="00E01BBA"/>
    <w:rsid w:val="00E11EED"/>
    <w:rsid w:val="00E169AC"/>
    <w:rsid w:val="00E3343D"/>
    <w:rsid w:val="00E42845"/>
    <w:rsid w:val="00E83487"/>
    <w:rsid w:val="00E84C8E"/>
    <w:rsid w:val="00EA1C0D"/>
    <w:rsid w:val="00EB7755"/>
    <w:rsid w:val="00EE00A1"/>
    <w:rsid w:val="00EE3450"/>
    <w:rsid w:val="00EE5EDE"/>
    <w:rsid w:val="00F81DB6"/>
    <w:rsid w:val="00FA4943"/>
    <w:rsid w:val="00FC003C"/>
    <w:rsid w:val="00FC1046"/>
    <w:rsid w:val="00FC34E1"/>
    <w:rsid w:val="00FC5EAC"/>
    <w:rsid w:val="00FD2035"/>
    <w:rsid w:val="520C2B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480" w:lineRule="auto"/>
      <w:jc w:val="both"/>
    </w:pPr>
    <w:rPr>
      <w:rFonts w:ascii="Times New Roman" w:hAnsi="Times New Roman" w:eastAsia="宋体" w:cstheme="minorBidi"/>
      <w:kern w:val="2"/>
      <w:sz w:val="24"/>
      <w:szCs w:val="22"/>
      <w:lang w:val="en-US" w:eastAsia="zh-CN" w:bidi="ar-SA"/>
      <w14:ligatures w14:val="standardContextual"/>
    </w:rPr>
  </w:style>
  <w:style w:type="paragraph" w:styleId="2">
    <w:name w:val="heading 1"/>
    <w:basedOn w:val="1"/>
    <w:next w:val="1"/>
    <w:link w:val="16"/>
    <w:qFormat/>
    <w:uiPriority w:val="9"/>
    <w:pPr>
      <w:keepNext/>
      <w:keepLines/>
      <w:numPr>
        <w:ilvl w:val="0"/>
        <w:numId w:val="1"/>
      </w:numPr>
      <w:spacing w:line="360" w:lineRule="auto"/>
      <w:outlineLvl w:val="0"/>
    </w:pPr>
    <w:rPr>
      <w:b/>
      <w:bCs/>
      <w:kern w:val="44"/>
      <w:szCs w:val="44"/>
    </w:rPr>
  </w:style>
  <w:style w:type="paragraph" w:styleId="3">
    <w:name w:val="heading 2"/>
    <w:basedOn w:val="1"/>
    <w:next w:val="1"/>
    <w:link w:val="18"/>
    <w:unhideWhenUsed/>
    <w:qFormat/>
    <w:uiPriority w:val="9"/>
    <w:pPr>
      <w:keepNext/>
      <w:keepLines/>
      <w:numPr>
        <w:ilvl w:val="1"/>
        <w:numId w:val="1"/>
      </w:numPr>
      <w:spacing w:line="360" w:lineRule="auto"/>
      <w:outlineLvl w:val="1"/>
    </w:pPr>
    <w:rPr>
      <w:rFonts w:eastAsia="Times New Roman" w:cstheme="majorBidi"/>
      <w:bCs/>
      <w:szCs w:val="32"/>
    </w:rPr>
  </w:style>
  <w:style w:type="paragraph" w:styleId="4">
    <w:name w:val="heading 3"/>
    <w:next w:val="1"/>
    <w:link w:val="20"/>
    <w:unhideWhenUsed/>
    <w:qFormat/>
    <w:uiPriority w:val="9"/>
    <w:pPr>
      <w:keepNext/>
      <w:keepLines/>
      <w:numPr>
        <w:ilvl w:val="2"/>
        <w:numId w:val="1"/>
      </w:numPr>
      <w:spacing w:line="360" w:lineRule="auto"/>
      <w:outlineLvl w:val="2"/>
    </w:pPr>
    <w:rPr>
      <w:rFonts w:ascii="Times New Roman" w:hAnsi="Times New Roman" w:eastAsia="宋体" w:cstheme="minorBidi"/>
      <w:bCs/>
      <w:kern w:val="2"/>
      <w:sz w:val="24"/>
      <w:szCs w:val="32"/>
      <w:lang w:val="en-US" w:eastAsia="zh-CN" w:bidi="ar-SA"/>
      <w14:ligatures w14:val="standardContextual"/>
    </w:rPr>
  </w:style>
  <w:style w:type="character" w:default="1" w:styleId="13">
    <w:name w:val="Default Paragraph Font"/>
    <w:semiHidden/>
    <w:unhideWhenUsed/>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5">
    <w:name w:val="caption"/>
    <w:basedOn w:val="1"/>
    <w:next w:val="1"/>
    <w:link w:val="26"/>
    <w:unhideWhenUsed/>
    <w:qFormat/>
    <w:uiPriority w:val="35"/>
    <w:pPr>
      <w:spacing w:line="360" w:lineRule="auto"/>
      <w:jc w:val="center"/>
    </w:pPr>
    <w:rPr>
      <w:rFonts w:eastAsia="黑体" w:cstheme="majorBidi"/>
      <w:sz w:val="21"/>
      <w:szCs w:val="20"/>
    </w:rPr>
  </w:style>
  <w:style w:type="paragraph" w:styleId="6">
    <w:name w:val="annotation text"/>
    <w:basedOn w:val="1"/>
    <w:link w:val="33"/>
    <w:unhideWhenUsed/>
    <w:qFormat/>
    <w:uiPriority w:val="99"/>
    <w:pPr>
      <w:jc w:val="left"/>
    </w:pPr>
  </w:style>
  <w:style w:type="paragraph" w:styleId="7">
    <w:name w:val="footer"/>
    <w:basedOn w:val="1"/>
    <w:link w:val="31"/>
    <w:unhideWhenUsed/>
    <w:qFormat/>
    <w:uiPriority w:val="99"/>
    <w:pPr>
      <w:tabs>
        <w:tab w:val="center" w:pos="4153"/>
        <w:tab w:val="right" w:pos="8306"/>
      </w:tabs>
      <w:snapToGrid w:val="0"/>
      <w:spacing w:line="240" w:lineRule="auto"/>
      <w:jc w:val="left"/>
    </w:pPr>
    <w:rPr>
      <w:sz w:val="18"/>
      <w:szCs w:val="18"/>
    </w:rPr>
  </w:style>
  <w:style w:type="paragraph" w:styleId="8">
    <w:name w:val="header"/>
    <w:basedOn w:val="1"/>
    <w:link w:val="30"/>
    <w:unhideWhenUsed/>
    <w:qFormat/>
    <w:uiPriority w:val="99"/>
    <w:pPr>
      <w:tabs>
        <w:tab w:val="center" w:pos="4153"/>
        <w:tab w:val="right" w:pos="8306"/>
      </w:tabs>
      <w:snapToGrid w:val="0"/>
      <w:spacing w:line="240" w:lineRule="auto"/>
      <w:jc w:val="center"/>
    </w:pPr>
    <w:rPr>
      <w:sz w:val="18"/>
      <w:szCs w:val="18"/>
    </w:rPr>
  </w:style>
  <w:style w:type="paragraph" w:styleId="9">
    <w:name w:val="Title"/>
    <w:next w:val="1"/>
    <w:link w:val="19"/>
    <w:qFormat/>
    <w:uiPriority w:val="0"/>
    <w:pPr>
      <w:spacing w:after="120" w:line="360" w:lineRule="auto"/>
      <w:jc w:val="center"/>
      <w:outlineLvl w:val="0"/>
    </w:pPr>
    <w:rPr>
      <w:rFonts w:ascii="Times New Roman" w:hAnsi="Times New Roman" w:eastAsia="宋体" w:cstheme="majorBidi"/>
      <w:bCs/>
      <w:kern w:val="2"/>
      <w:sz w:val="36"/>
      <w:szCs w:val="32"/>
      <w:lang w:val="en-US" w:eastAsia="zh-CN" w:bidi="ar-SA"/>
      <w14:ligatures w14:val="standardContextual"/>
    </w:rPr>
  </w:style>
  <w:style w:type="paragraph" w:styleId="10">
    <w:name w:val="annotation subject"/>
    <w:basedOn w:val="6"/>
    <w:next w:val="6"/>
    <w:link w:val="34"/>
    <w:semiHidden/>
    <w:unhideWhenUsed/>
    <w:qFormat/>
    <w:uiPriority w:val="99"/>
    <w:rPr>
      <w:b/>
      <w:bCs/>
    </w:rPr>
  </w:style>
  <w:style w:type="table" w:styleId="12">
    <w:name w:val="Table Grid"/>
    <w:basedOn w:val="1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Hyperlink"/>
    <w:basedOn w:val="13"/>
    <w:unhideWhenUsed/>
    <w:uiPriority w:val="99"/>
    <w:rPr>
      <w:color w:val="0563C1" w:themeColor="hyperlink"/>
      <w:u w:val="single"/>
      <w14:textFill>
        <w14:solidFill>
          <w14:schemeClr w14:val="hlink"/>
        </w14:solidFill>
      </w14:textFill>
    </w:rPr>
  </w:style>
  <w:style w:type="character" w:styleId="15">
    <w:name w:val="annotation reference"/>
    <w:basedOn w:val="13"/>
    <w:semiHidden/>
    <w:unhideWhenUsed/>
    <w:qFormat/>
    <w:uiPriority w:val="99"/>
    <w:rPr>
      <w:sz w:val="21"/>
      <w:szCs w:val="21"/>
    </w:rPr>
  </w:style>
  <w:style w:type="character" w:customStyle="1" w:styleId="16">
    <w:name w:val="标题 1 字符"/>
    <w:basedOn w:val="13"/>
    <w:link w:val="2"/>
    <w:qFormat/>
    <w:uiPriority w:val="9"/>
    <w:rPr>
      <w:rFonts w:ascii="Times New Roman" w:hAnsi="Times New Roman" w:eastAsia="宋体"/>
      <w:b/>
      <w:bCs/>
      <w:kern w:val="44"/>
      <w:sz w:val="24"/>
      <w:szCs w:val="44"/>
    </w:rPr>
  </w:style>
  <w:style w:type="paragraph" w:customStyle="1" w:styleId="17">
    <w:name w:val="图"/>
    <w:link w:val="27"/>
    <w:qFormat/>
    <w:uiPriority w:val="0"/>
    <w:pPr>
      <w:keepNext/>
      <w:spacing w:before="156" w:beforeLines="50" w:after="156" w:afterLines="50"/>
      <w:jc w:val="center"/>
    </w:pPr>
    <w:rPr>
      <w:rFonts w:ascii="Times New Roman" w:hAnsi="Times New Roman" w:eastAsia="黑体" w:cstheme="majorBidi"/>
      <w:kern w:val="2"/>
      <w:sz w:val="21"/>
      <w:szCs w:val="20"/>
      <w:lang w:val="en-US" w:eastAsia="zh-CN" w:bidi="ar-SA"/>
      <w14:ligatures w14:val="standardContextual"/>
    </w:rPr>
  </w:style>
  <w:style w:type="character" w:customStyle="1" w:styleId="18">
    <w:name w:val="标题 2 字符"/>
    <w:basedOn w:val="13"/>
    <w:link w:val="3"/>
    <w:qFormat/>
    <w:uiPriority w:val="9"/>
    <w:rPr>
      <w:rFonts w:ascii="Times New Roman" w:hAnsi="Times New Roman" w:eastAsia="Times New Roman" w:cstheme="majorBidi"/>
      <w:bCs/>
      <w:sz w:val="24"/>
      <w:szCs w:val="32"/>
    </w:rPr>
  </w:style>
  <w:style w:type="character" w:customStyle="1" w:styleId="19">
    <w:name w:val="标题 字符"/>
    <w:basedOn w:val="13"/>
    <w:link w:val="9"/>
    <w:qFormat/>
    <w:uiPriority w:val="0"/>
    <w:rPr>
      <w:rFonts w:ascii="Times New Roman" w:hAnsi="Times New Roman" w:eastAsia="宋体" w:cstheme="majorBidi"/>
      <w:bCs/>
      <w:sz w:val="36"/>
      <w:szCs w:val="32"/>
    </w:rPr>
  </w:style>
  <w:style w:type="character" w:customStyle="1" w:styleId="20">
    <w:name w:val="标题 3 字符"/>
    <w:basedOn w:val="13"/>
    <w:link w:val="4"/>
    <w:qFormat/>
    <w:uiPriority w:val="9"/>
    <w:rPr>
      <w:rFonts w:ascii="Times New Roman" w:hAnsi="Times New Roman" w:eastAsia="宋体"/>
      <w:bCs/>
      <w:sz w:val="24"/>
      <w:szCs w:val="32"/>
    </w:rPr>
  </w:style>
  <w:style w:type="paragraph" w:styleId="21">
    <w:name w:val="List Paragraph"/>
    <w:basedOn w:val="1"/>
    <w:qFormat/>
    <w:uiPriority w:val="34"/>
    <w:pPr>
      <w:spacing w:line="360" w:lineRule="auto"/>
      <w:ind w:firstLine="420" w:firstLineChars="200"/>
    </w:pPr>
  </w:style>
  <w:style w:type="paragraph" w:customStyle="1" w:styleId="22">
    <w:name w:val="参考文献标题"/>
    <w:basedOn w:val="9"/>
    <w:link w:val="23"/>
    <w:qFormat/>
    <w:uiPriority w:val="0"/>
    <w:pPr>
      <w:pageBreakBefore/>
    </w:pPr>
    <w:rPr>
      <w:rFonts w:eastAsia="楷体"/>
    </w:rPr>
  </w:style>
  <w:style w:type="character" w:customStyle="1" w:styleId="23">
    <w:name w:val="参考文献标题 字符"/>
    <w:basedOn w:val="19"/>
    <w:link w:val="22"/>
    <w:uiPriority w:val="0"/>
    <w:rPr>
      <w:rFonts w:ascii="Times New Roman" w:hAnsi="Times New Roman" w:eastAsia="楷体" w:cstheme="majorBidi"/>
      <w:sz w:val="36"/>
      <w:szCs w:val="32"/>
    </w:rPr>
  </w:style>
  <w:style w:type="paragraph" w:customStyle="1" w:styleId="24">
    <w:name w:val="图片"/>
    <w:link w:val="25"/>
    <w:qFormat/>
    <w:uiPriority w:val="0"/>
    <w:pPr>
      <w:spacing w:after="50" w:afterLines="50" w:line="360" w:lineRule="auto"/>
      <w:jc w:val="center"/>
    </w:pPr>
    <w:rPr>
      <w:rFonts w:ascii="Times New Roman" w:hAnsi="Times New Roman" w:eastAsia="宋体" w:cstheme="minorBidi"/>
      <w:kern w:val="2"/>
      <w:sz w:val="24"/>
      <w:szCs w:val="22"/>
      <w:lang w:val="en-US" w:eastAsia="zh-CN" w:bidi="ar-SA"/>
      <w14:ligatures w14:val="standardContextual"/>
    </w:rPr>
  </w:style>
  <w:style w:type="character" w:customStyle="1" w:styleId="25">
    <w:name w:val="图片 字符"/>
    <w:basedOn w:val="13"/>
    <w:link w:val="24"/>
    <w:uiPriority w:val="0"/>
    <w:rPr>
      <w:rFonts w:ascii="Times New Roman" w:hAnsi="Times New Roman" w:eastAsia="宋体"/>
      <w:sz w:val="24"/>
    </w:rPr>
  </w:style>
  <w:style w:type="character" w:customStyle="1" w:styleId="26">
    <w:name w:val="题注 字符"/>
    <w:basedOn w:val="13"/>
    <w:link w:val="5"/>
    <w:qFormat/>
    <w:uiPriority w:val="35"/>
    <w:rPr>
      <w:rFonts w:ascii="Times New Roman" w:hAnsi="Times New Roman" w:eastAsia="黑体" w:cstheme="majorBidi"/>
      <w:szCs w:val="20"/>
    </w:rPr>
  </w:style>
  <w:style w:type="character" w:customStyle="1" w:styleId="27">
    <w:name w:val="图 字符"/>
    <w:basedOn w:val="26"/>
    <w:link w:val="17"/>
    <w:qFormat/>
    <w:uiPriority w:val="0"/>
    <w:rPr>
      <w:rFonts w:ascii="Times New Roman" w:hAnsi="Times New Roman" w:eastAsia="黑体" w:cstheme="majorBidi"/>
      <w:szCs w:val="20"/>
    </w:rPr>
  </w:style>
  <w:style w:type="paragraph" w:customStyle="1" w:styleId="28">
    <w:name w:val="英文作者名"/>
    <w:basedOn w:val="1"/>
    <w:link w:val="29"/>
    <w:qFormat/>
    <w:uiPriority w:val="0"/>
    <w:pPr>
      <w:widowControl/>
      <w:jc w:val="left"/>
    </w:pPr>
    <w:rPr>
      <w:rFonts w:cs="Times New Roman"/>
      <w:kern w:val="0"/>
      <w:szCs w:val="24"/>
      <w14:ligatures w14:val="none"/>
    </w:rPr>
  </w:style>
  <w:style w:type="character" w:customStyle="1" w:styleId="29">
    <w:name w:val="英文作者名 字符"/>
    <w:basedOn w:val="13"/>
    <w:link w:val="28"/>
    <w:uiPriority w:val="0"/>
    <w:rPr>
      <w:rFonts w:ascii="Times New Roman" w:hAnsi="Times New Roman" w:eastAsia="宋体" w:cs="Times New Roman"/>
      <w:kern w:val="0"/>
      <w:sz w:val="24"/>
      <w:szCs w:val="24"/>
      <w14:ligatures w14:val="none"/>
    </w:rPr>
  </w:style>
  <w:style w:type="character" w:customStyle="1" w:styleId="30">
    <w:name w:val="页眉 字符"/>
    <w:basedOn w:val="13"/>
    <w:link w:val="8"/>
    <w:qFormat/>
    <w:uiPriority w:val="99"/>
    <w:rPr>
      <w:rFonts w:ascii="Times New Roman" w:hAnsi="Times New Roman" w:eastAsia="宋体"/>
      <w:sz w:val="18"/>
      <w:szCs w:val="18"/>
    </w:rPr>
  </w:style>
  <w:style w:type="character" w:customStyle="1" w:styleId="31">
    <w:name w:val="页脚 字符"/>
    <w:basedOn w:val="13"/>
    <w:link w:val="7"/>
    <w:uiPriority w:val="99"/>
    <w:rPr>
      <w:rFonts w:ascii="Times New Roman" w:hAnsi="Times New Roman" w:eastAsia="宋体"/>
      <w:sz w:val="18"/>
      <w:szCs w:val="18"/>
    </w:rPr>
  </w:style>
  <w:style w:type="paragraph" w:customStyle="1" w:styleId="32">
    <w:name w:val="Revision"/>
    <w:hidden/>
    <w:semiHidden/>
    <w:uiPriority w:val="99"/>
    <w:rPr>
      <w:rFonts w:ascii="Times New Roman" w:hAnsi="Times New Roman" w:eastAsia="宋体" w:cstheme="minorBidi"/>
      <w:kern w:val="2"/>
      <w:sz w:val="24"/>
      <w:szCs w:val="22"/>
      <w:lang w:val="en-US" w:eastAsia="zh-CN" w:bidi="ar-SA"/>
      <w14:ligatures w14:val="standardContextual"/>
    </w:rPr>
  </w:style>
  <w:style w:type="character" w:customStyle="1" w:styleId="33">
    <w:name w:val="批注文字 字符"/>
    <w:basedOn w:val="13"/>
    <w:link w:val="6"/>
    <w:qFormat/>
    <w:uiPriority w:val="99"/>
    <w:rPr>
      <w:rFonts w:ascii="Times New Roman" w:hAnsi="Times New Roman" w:eastAsia="宋体"/>
      <w:sz w:val="24"/>
    </w:rPr>
  </w:style>
  <w:style w:type="character" w:customStyle="1" w:styleId="34">
    <w:name w:val="批注主题 字符"/>
    <w:basedOn w:val="33"/>
    <w:link w:val="10"/>
    <w:semiHidden/>
    <w:qFormat/>
    <w:uiPriority w:val="99"/>
    <w:rPr>
      <w:rFonts w:ascii="Times New Roman" w:hAnsi="Times New Roman" w:eastAsia="宋体"/>
      <w:b/>
      <w:bCs/>
      <w:sz w:val="24"/>
    </w:rPr>
  </w:style>
  <w:style w:type="paragraph" w:styleId="35">
    <w:name w:val="No Spacing"/>
    <w:qFormat/>
    <w:uiPriority w:val="1"/>
    <w:pPr>
      <w:widowControl w:val="0"/>
      <w:jc w:val="both"/>
    </w:pPr>
    <w:rPr>
      <w:rFonts w:ascii="Times New Roman" w:hAnsi="Times New Roman" w:eastAsia="宋体" w:cstheme="minorBidi"/>
      <w:kern w:val="2"/>
      <w:sz w:val="24"/>
      <w:szCs w:val="22"/>
      <w:lang w:val="en-US" w:eastAsia="zh-CN" w:bidi="ar-SA"/>
      <w14:ligatures w14:val="standardContextual"/>
    </w:rPr>
  </w:style>
  <w:style w:type="table" w:customStyle="1" w:styleId="36">
    <w:name w:val="网格型1"/>
    <w:basedOn w:val="11"/>
    <w:qFormat/>
    <w:uiPriority w:val="39"/>
    <w:rPr>
      <w:sz w:val="22"/>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7">
    <w:name w:val="Author Names"/>
    <w:basedOn w:val="1"/>
    <w:next w:val="38"/>
    <w:qFormat/>
    <w:uiPriority w:val="0"/>
    <w:pPr>
      <w:widowControl/>
      <w:jc w:val="center"/>
    </w:pPr>
    <w:rPr>
      <w:rFonts w:cs="Times New Roman" w:eastAsiaTheme="minorEastAsia"/>
      <w:kern w:val="0"/>
      <w:sz w:val="21"/>
      <w:szCs w:val="20"/>
      <w:lang w:eastAsia="en-US"/>
      <w14:ligatures w14:val="none"/>
    </w:rPr>
  </w:style>
  <w:style w:type="paragraph" w:customStyle="1" w:styleId="38">
    <w:name w:val="Author Affiliations"/>
    <w:basedOn w:val="1"/>
    <w:next w:val="37"/>
    <w:qFormat/>
    <w:uiPriority w:val="0"/>
    <w:pPr>
      <w:widowControl/>
      <w:spacing w:after="240"/>
      <w:jc w:val="center"/>
    </w:pPr>
    <w:rPr>
      <w:rFonts w:cs="Times New Roman" w:eastAsiaTheme="minorEastAsia"/>
      <w:i/>
      <w:kern w:val="0"/>
      <w:sz w:val="21"/>
      <w:szCs w:val="20"/>
      <w:lang w:eastAsia="en-US"/>
      <w14:ligatures w14:val="none"/>
    </w:rPr>
  </w:style>
  <w:style w:type="character" w:customStyle="1" w:styleId="39">
    <w:name w:val="Unresolved Mention"/>
    <w:basedOn w:val="13"/>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tiff"/><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numbering" Target="numbering.xml"/><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D:\APP%20files\Word\Template\&#23454;&#39564;&#25253;&#21578;&#27169;&#26495;.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98A705-B27C-433E-A164-91FF5EE3A0AE}">
  <ds:schemaRefs/>
</ds:datastoreItem>
</file>

<file path=docProps/app.xml><?xml version="1.0" encoding="utf-8"?>
<Properties xmlns="http://schemas.openxmlformats.org/officeDocument/2006/extended-properties" xmlns:vt="http://schemas.openxmlformats.org/officeDocument/2006/docPropsVTypes">
  <Template>实验报告模板.dotx</Template>
  <Pages>10</Pages>
  <Words>439</Words>
  <Characters>2800</Characters>
  <Lines>51</Lines>
  <Paragraphs>14</Paragraphs>
  <TotalTime>5</TotalTime>
  <ScaleCrop>false</ScaleCrop>
  <LinksUpToDate>false</LinksUpToDate>
  <CharactersWithSpaces>3208</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2026-01-21T06:21:00Z</dcterms:created>
  <dc:creator>张劲椷</dc:creator>
  <cp:lastModifiedBy>WPS_1601511432</cp:lastModifiedBy>
  <dcterms:modified xsi:type="dcterms:W3CDTF">2026-07-03T01:05:57Z</dcterms:modified>
  <cp:revision>34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eyJoZGlkIjoiM2VmNjg5MTQ3ZjQ0NGZhYTkyYmExNTQ1NmJiMjU1YjMiLCJ1c2VySWQiOiIxMTI2MjcwNzM5In0=</vt:lpwstr>
  </property>
  <property fmtid="{D5CDD505-2E9C-101B-9397-08002B2CF9AE}" pid="3" name="KSOProductBuildVer">
    <vt:lpwstr>2052-12.1.0.23542</vt:lpwstr>
  </property>
  <property fmtid="{D5CDD505-2E9C-101B-9397-08002B2CF9AE}" pid="4" name="ICV">
    <vt:lpwstr>7324B2CD7C75426CAF838FDFADCAC0D4_12</vt:lpwstr>
  </property>
</Properties>
</file>