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B653" w14:textId="7669CFFA" w:rsidR="001D51C3" w:rsidRPr="007F4A7F" w:rsidRDefault="007754D7" w:rsidP="007F4A7F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7F4A7F">
        <w:rPr>
          <w:rFonts w:ascii="Times New Roman" w:hAnsi="Times New Roman" w:cs="Times New Roman"/>
          <w:b/>
          <w:bCs/>
          <w:sz w:val="20"/>
          <w:szCs w:val="20"/>
        </w:rPr>
        <w:t>Supplementary Table S1</w:t>
      </w:r>
      <w:r w:rsidR="007F4A7F" w:rsidRPr="007F4A7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7F4A7F">
        <w:rPr>
          <w:rFonts w:ascii="Times New Roman" w:hAnsi="Times New Roman" w:cs="Times New Roman"/>
          <w:b/>
          <w:bCs/>
          <w:sz w:val="20"/>
          <w:szCs w:val="20"/>
        </w:rPr>
        <w:t xml:space="preserve"> Analysis of differences in facial venous drainage patterns between male and female groups</w:t>
      </w:r>
    </w:p>
    <w:tbl>
      <w:tblPr>
        <w:tblW w:w="0" w:type="auto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80"/>
        <w:gridCol w:w="900"/>
        <w:gridCol w:w="4080"/>
        <w:gridCol w:w="1080"/>
        <w:gridCol w:w="1080"/>
        <w:gridCol w:w="1080"/>
        <w:gridCol w:w="1080"/>
      </w:tblGrid>
      <w:tr w:rsidR="002926C4" w:rsidRPr="007754D7" w14:paraId="3906774F" w14:textId="77777777" w:rsidTr="002926C4">
        <w:trPr>
          <w:trHeight w:val="280"/>
        </w:trPr>
        <w:tc>
          <w:tcPr>
            <w:tcW w:w="5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F76CC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333333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333333"/>
                <w:kern w:val="0"/>
                <w:sz w:val="20"/>
                <w:szCs w:val="20"/>
              </w:rPr>
              <w:t>Gender * Facial venous return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FF92F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75DA8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0F136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29621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2926C4" w:rsidRPr="007754D7" w14:paraId="2C79635E" w14:textId="77777777" w:rsidTr="002926C4">
        <w:trPr>
          <w:trHeight w:val="260"/>
        </w:trPr>
        <w:tc>
          <w:tcPr>
            <w:tcW w:w="1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BED30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crosstab</w:t>
            </w: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877D1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989D4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9826C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D658A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D4629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2926C4" w:rsidRPr="007754D7" w14:paraId="062691EF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5EA2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40426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011E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C8F0F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Facial venous return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CAD70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Total</w:t>
            </w:r>
          </w:p>
        </w:tc>
      </w:tr>
      <w:tr w:rsidR="002926C4" w:rsidRPr="007754D7" w14:paraId="03E7C1E2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9350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34E22E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5C9DE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E043E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I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59A03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II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2369E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III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5F07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2926C4" w:rsidRPr="007754D7" w14:paraId="7C276CC5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9FB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Gender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E0F0C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Female</w:t>
            </w: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3FCB9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Count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33C58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ECE7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3848C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0B61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68</w:t>
            </w:r>
          </w:p>
        </w:tc>
      </w:tr>
      <w:tr w:rsidR="002926C4" w:rsidRPr="007754D7" w14:paraId="4C924655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4B389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84CE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A6A3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COUNTEX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8CFD0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38.3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93B9F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22.1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1338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7.6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2AA0C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68</w:t>
            </w:r>
          </w:p>
        </w:tc>
      </w:tr>
      <w:tr w:rsidR="002926C4" w:rsidRPr="007754D7" w14:paraId="00BE97E2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0F8A8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00D5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C80F3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Percentage of gender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BA28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38.20%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7BE8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50.00%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45F6A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11.80%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D255A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100.00%</w:t>
            </w:r>
          </w:p>
        </w:tc>
      </w:tr>
      <w:tr w:rsidR="002926C4" w:rsidRPr="007754D7" w14:paraId="39D97BFD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576B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749FA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DF3D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The percentage of facial venous return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F820E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22.40%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CD007E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50.70%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8BE76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34.80%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F82CB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33.00%</w:t>
            </w:r>
          </w:p>
        </w:tc>
      </w:tr>
      <w:tr w:rsidR="002926C4" w:rsidRPr="007754D7" w14:paraId="38C8358F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6755F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19CE5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CDFCB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A percentage of the total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2707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12.60%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0AF70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16.50%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7366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3.90%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FCC29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33.00%</w:t>
            </w:r>
          </w:p>
        </w:tc>
      </w:tr>
      <w:tr w:rsidR="002926C4" w:rsidRPr="007754D7" w14:paraId="6AC18A6D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B81AB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A6B56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Male</w:t>
            </w: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4C9F0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Count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3D43B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19F51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9D5FF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35CF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138</w:t>
            </w:r>
          </w:p>
        </w:tc>
      </w:tr>
      <w:tr w:rsidR="002926C4" w:rsidRPr="007754D7" w14:paraId="02FB35E5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861A0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5EB6C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5863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COUNTEX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9FEAA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77.7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B72B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44.9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C775F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15.4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C6DC0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138</w:t>
            </w:r>
          </w:p>
        </w:tc>
      </w:tr>
      <w:tr w:rsidR="002926C4" w:rsidRPr="007754D7" w14:paraId="20D9AF06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F4F2E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D925F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51E40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Percentage of gender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671F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65.20%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FD099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23.90%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267A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10.90%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05FD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100.00%</w:t>
            </w:r>
          </w:p>
        </w:tc>
      </w:tr>
      <w:tr w:rsidR="002926C4" w:rsidRPr="007754D7" w14:paraId="2C07AF43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C2CA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9FAB5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3A4C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The percentage of facial venous return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55AE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77.60%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C5BDB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49.30%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CAC88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65.20%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3E4A6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67.00%</w:t>
            </w:r>
          </w:p>
        </w:tc>
      </w:tr>
      <w:tr w:rsidR="002926C4" w:rsidRPr="007754D7" w14:paraId="400BD142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B7A0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52C78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7CDD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A percentage of the total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06734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43.70%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41546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16.00%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10109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7.30%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1919B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67.00%</w:t>
            </w:r>
          </w:p>
        </w:tc>
      </w:tr>
      <w:tr w:rsidR="002926C4" w:rsidRPr="007754D7" w14:paraId="44E8B5BF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7A4AC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Total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53034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70CF1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Count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8290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BDE13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3263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ED9DC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206</w:t>
            </w:r>
          </w:p>
        </w:tc>
      </w:tr>
      <w:tr w:rsidR="002926C4" w:rsidRPr="007754D7" w14:paraId="7B7E618C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13EB9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00CFC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EE7DB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COUNTEX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17AE6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4A830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52316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FE12E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206</w:t>
            </w:r>
          </w:p>
        </w:tc>
      </w:tr>
      <w:tr w:rsidR="002926C4" w:rsidRPr="007754D7" w14:paraId="4D03B468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12EC5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C1F99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4F6DE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Percentage of gender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F64A9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56.30%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58235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32.50%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10ACA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11.20%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7B18F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100.00%</w:t>
            </w:r>
          </w:p>
        </w:tc>
      </w:tr>
      <w:tr w:rsidR="002926C4" w:rsidRPr="007754D7" w14:paraId="3C329626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CE47B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60F56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7291D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The percentage of facial venous return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11354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100.00%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F5689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100.00%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7712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100.00%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CC58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100.00%</w:t>
            </w:r>
          </w:p>
        </w:tc>
      </w:tr>
      <w:tr w:rsidR="002926C4" w:rsidRPr="007754D7" w14:paraId="5B9F88EB" w14:textId="77777777" w:rsidTr="002926C4">
        <w:trPr>
          <w:trHeight w:val="260"/>
        </w:trPr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6FBEE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BC848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F3E82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A percentage of the total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DDE9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56.30%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106C4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32.50%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D8B16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11.20%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D8477" w14:textId="77777777" w:rsidR="002926C4" w:rsidRPr="007754D7" w:rsidRDefault="002926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100.00%</w:t>
            </w:r>
          </w:p>
        </w:tc>
      </w:tr>
    </w:tbl>
    <w:p w14:paraId="0883FB48" w14:textId="4F9EBAB2" w:rsidR="002926C4" w:rsidRDefault="002926C4" w:rsidP="002B0AC2">
      <w:pPr>
        <w:rPr>
          <w:sz w:val="10"/>
          <w:szCs w:val="11"/>
        </w:rPr>
      </w:pPr>
    </w:p>
    <w:p w14:paraId="443CE4D7" w14:textId="77777777" w:rsidR="007754D7" w:rsidRDefault="007754D7" w:rsidP="002B0AC2">
      <w:pPr>
        <w:rPr>
          <w:sz w:val="10"/>
          <w:szCs w:val="11"/>
        </w:rPr>
      </w:pPr>
    </w:p>
    <w:p w14:paraId="4CA14476" w14:textId="77777777" w:rsidR="007754D7" w:rsidRDefault="007754D7" w:rsidP="002B0AC2">
      <w:pPr>
        <w:rPr>
          <w:sz w:val="10"/>
          <w:szCs w:val="11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3"/>
        <w:gridCol w:w="1277"/>
        <w:gridCol w:w="1435"/>
        <w:gridCol w:w="3515"/>
      </w:tblGrid>
      <w:tr w:rsidR="007754D7" w:rsidRPr="007754D7" w14:paraId="39C255BA" w14:textId="77777777" w:rsidTr="007F4A7F">
        <w:trPr>
          <w:trHeight w:val="235"/>
        </w:trPr>
        <w:tc>
          <w:tcPr>
            <w:tcW w:w="3690" w:type="dxa"/>
            <w:gridSpan w:val="2"/>
          </w:tcPr>
          <w:p w14:paraId="12E7527A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B863BB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0"/>
                <w:szCs w:val="20"/>
              </w:rPr>
              <w:lastRenderedPageBreak/>
              <w:t>Chi</w:t>
            </w: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-square test</w:t>
            </w:r>
          </w:p>
        </w:tc>
        <w:tc>
          <w:tcPr>
            <w:tcW w:w="1435" w:type="dxa"/>
          </w:tcPr>
          <w:p w14:paraId="5ACCA0CF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等线" w:eastAsia="等线" w:hAnsi="Times New Roman" w:cs="等线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14" w:type="dxa"/>
          </w:tcPr>
          <w:p w14:paraId="7741FE36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等线" w:eastAsia="等线" w:hAnsi="Times New Roman" w:cs="等线"/>
                <w:color w:val="000000"/>
                <w:kern w:val="0"/>
                <w:sz w:val="20"/>
                <w:szCs w:val="20"/>
              </w:rPr>
            </w:pPr>
          </w:p>
        </w:tc>
      </w:tr>
      <w:tr w:rsidR="007754D7" w:rsidRPr="007754D7" w14:paraId="256BA5E5" w14:textId="77777777" w:rsidTr="007F4A7F">
        <w:trPr>
          <w:trHeight w:val="706"/>
        </w:trPr>
        <w:tc>
          <w:tcPr>
            <w:tcW w:w="2413" w:type="dxa"/>
          </w:tcPr>
          <w:p w14:paraId="6F5FA100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77" w:type="dxa"/>
          </w:tcPr>
          <w:p w14:paraId="42B07470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Value</w:t>
            </w:r>
          </w:p>
        </w:tc>
        <w:tc>
          <w:tcPr>
            <w:tcW w:w="1435" w:type="dxa"/>
          </w:tcPr>
          <w:p w14:paraId="066FB4B3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DOF</w:t>
            </w:r>
          </w:p>
        </w:tc>
        <w:tc>
          <w:tcPr>
            <w:tcW w:w="3514" w:type="dxa"/>
          </w:tcPr>
          <w:p w14:paraId="0673D980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Progressive significance (two-sided)</w:t>
            </w:r>
          </w:p>
        </w:tc>
      </w:tr>
      <w:tr w:rsidR="007754D7" w:rsidRPr="007754D7" w14:paraId="794C5BC7" w14:textId="77777777" w:rsidTr="007F4A7F">
        <w:trPr>
          <w:trHeight w:val="470"/>
        </w:trPr>
        <w:tc>
          <w:tcPr>
            <w:tcW w:w="2413" w:type="dxa"/>
          </w:tcPr>
          <w:p w14:paraId="2DC803FB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Pearson </w:t>
            </w:r>
            <w:proofErr w:type="spellStart"/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Kafan</w:t>
            </w:r>
            <w:proofErr w:type="spellEnd"/>
          </w:p>
        </w:tc>
        <w:tc>
          <w:tcPr>
            <w:tcW w:w="1277" w:type="dxa"/>
          </w:tcPr>
          <w:p w14:paraId="6D4D7A17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15.454a</w:t>
            </w:r>
          </w:p>
        </w:tc>
        <w:tc>
          <w:tcPr>
            <w:tcW w:w="1435" w:type="dxa"/>
          </w:tcPr>
          <w:p w14:paraId="5051B040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514" w:type="dxa"/>
          </w:tcPr>
          <w:p w14:paraId="68E376AB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0</w:t>
            </w:r>
          </w:p>
        </w:tc>
      </w:tr>
      <w:tr w:rsidR="007754D7" w:rsidRPr="007754D7" w14:paraId="6A397C64" w14:textId="77777777" w:rsidTr="007F4A7F">
        <w:trPr>
          <w:trHeight w:val="470"/>
        </w:trPr>
        <w:tc>
          <w:tcPr>
            <w:tcW w:w="2413" w:type="dxa"/>
          </w:tcPr>
          <w:p w14:paraId="0169E373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likelihood ratio</w:t>
            </w:r>
          </w:p>
        </w:tc>
        <w:tc>
          <w:tcPr>
            <w:tcW w:w="1277" w:type="dxa"/>
          </w:tcPr>
          <w:p w14:paraId="56475385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15.277</w:t>
            </w:r>
          </w:p>
        </w:tc>
        <w:tc>
          <w:tcPr>
            <w:tcW w:w="1435" w:type="dxa"/>
          </w:tcPr>
          <w:p w14:paraId="095BFD9F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514" w:type="dxa"/>
          </w:tcPr>
          <w:p w14:paraId="291D75B5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0</w:t>
            </w:r>
          </w:p>
        </w:tc>
      </w:tr>
      <w:tr w:rsidR="007754D7" w:rsidRPr="007754D7" w14:paraId="1F80597B" w14:textId="77777777" w:rsidTr="007F4A7F">
        <w:trPr>
          <w:trHeight w:val="470"/>
        </w:trPr>
        <w:tc>
          <w:tcPr>
            <w:tcW w:w="2413" w:type="dxa"/>
          </w:tcPr>
          <w:p w14:paraId="3A65E7CA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linear association</w:t>
            </w:r>
          </w:p>
        </w:tc>
        <w:tc>
          <w:tcPr>
            <w:tcW w:w="1277" w:type="dxa"/>
          </w:tcPr>
          <w:p w14:paraId="7279F397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7.481</w:t>
            </w:r>
          </w:p>
        </w:tc>
        <w:tc>
          <w:tcPr>
            <w:tcW w:w="1435" w:type="dxa"/>
          </w:tcPr>
          <w:p w14:paraId="4B82E56F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14" w:type="dxa"/>
          </w:tcPr>
          <w:p w14:paraId="77A8BDA5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0.006</w:t>
            </w:r>
          </w:p>
        </w:tc>
      </w:tr>
      <w:tr w:rsidR="007754D7" w:rsidRPr="007754D7" w14:paraId="1CA81333" w14:textId="77777777" w:rsidTr="007F4A7F">
        <w:trPr>
          <w:trHeight w:val="470"/>
        </w:trPr>
        <w:tc>
          <w:tcPr>
            <w:tcW w:w="2413" w:type="dxa"/>
          </w:tcPr>
          <w:p w14:paraId="19F584CD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Number of valid cases</w:t>
            </w:r>
          </w:p>
        </w:tc>
        <w:tc>
          <w:tcPr>
            <w:tcW w:w="1277" w:type="dxa"/>
          </w:tcPr>
          <w:p w14:paraId="7AF45A07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206</w:t>
            </w:r>
          </w:p>
        </w:tc>
        <w:tc>
          <w:tcPr>
            <w:tcW w:w="1435" w:type="dxa"/>
          </w:tcPr>
          <w:p w14:paraId="0B2EA92B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14" w:type="dxa"/>
          </w:tcPr>
          <w:p w14:paraId="181C9C62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7754D7" w:rsidRPr="007754D7" w14:paraId="3194FA60" w14:textId="77777777" w:rsidTr="007F4A7F">
        <w:trPr>
          <w:trHeight w:val="235"/>
        </w:trPr>
        <w:tc>
          <w:tcPr>
            <w:tcW w:w="8640" w:type="dxa"/>
            <w:gridSpan w:val="4"/>
          </w:tcPr>
          <w:p w14:paraId="76F55CD2" w14:textId="77777777" w:rsidR="007754D7" w:rsidRPr="007754D7" w:rsidRDefault="007754D7" w:rsidP="007F4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7754D7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The expected count of 0 cells (0.0%) is less than 5. The minimum expected count is 7.59.</w:t>
            </w:r>
          </w:p>
        </w:tc>
      </w:tr>
    </w:tbl>
    <w:p w14:paraId="09F77EF0" w14:textId="6B5642FD" w:rsidR="007754D7" w:rsidRPr="007754D7" w:rsidRDefault="007F4A7F" w:rsidP="002B0AC2">
      <w:pPr>
        <w:rPr>
          <w:sz w:val="10"/>
          <w:szCs w:val="11"/>
        </w:rPr>
      </w:pPr>
      <w:r>
        <w:rPr>
          <w:sz w:val="10"/>
          <w:szCs w:val="11"/>
        </w:rPr>
        <w:br w:type="textWrapping" w:clear="all"/>
      </w:r>
    </w:p>
    <w:sectPr w:rsidR="007754D7" w:rsidRPr="007754D7" w:rsidSect="002926C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2165A" w14:textId="77777777" w:rsidR="00727C37" w:rsidRDefault="00727C37" w:rsidP="00B863BB">
      <w:pPr>
        <w:spacing w:after="0" w:line="240" w:lineRule="auto"/>
      </w:pPr>
      <w:r>
        <w:separator/>
      </w:r>
    </w:p>
  </w:endnote>
  <w:endnote w:type="continuationSeparator" w:id="0">
    <w:p w14:paraId="70CE91B0" w14:textId="77777777" w:rsidR="00727C37" w:rsidRDefault="00727C37" w:rsidP="00B86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522BD" w14:textId="77777777" w:rsidR="00727C37" w:rsidRDefault="00727C37" w:rsidP="00B863BB">
      <w:pPr>
        <w:spacing w:after="0" w:line="240" w:lineRule="auto"/>
      </w:pPr>
      <w:r>
        <w:separator/>
      </w:r>
    </w:p>
  </w:footnote>
  <w:footnote w:type="continuationSeparator" w:id="0">
    <w:p w14:paraId="30D1DAA9" w14:textId="77777777" w:rsidR="00727C37" w:rsidRDefault="00727C37" w:rsidP="00B863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8A6"/>
    <w:rsid w:val="00003EE9"/>
    <w:rsid w:val="000237F9"/>
    <w:rsid w:val="00024462"/>
    <w:rsid w:val="00025741"/>
    <w:rsid w:val="0004187F"/>
    <w:rsid w:val="00052622"/>
    <w:rsid w:val="00081016"/>
    <w:rsid w:val="0008255F"/>
    <w:rsid w:val="00091EE8"/>
    <w:rsid w:val="000D2001"/>
    <w:rsid w:val="000F3724"/>
    <w:rsid w:val="00105F33"/>
    <w:rsid w:val="0011440A"/>
    <w:rsid w:val="001417B3"/>
    <w:rsid w:val="00141934"/>
    <w:rsid w:val="00142C14"/>
    <w:rsid w:val="00175928"/>
    <w:rsid w:val="001949E4"/>
    <w:rsid w:val="001B07B1"/>
    <w:rsid w:val="001B19AF"/>
    <w:rsid w:val="001B7279"/>
    <w:rsid w:val="001C6F23"/>
    <w:rsid w:val="001C747C"/>
    <w:rsid w:val="001D51C3"/>
    <w:rsid w:val="001F2F36"/>
    <w:rsid w:val="00266F34"/>
    <w:rsid w:val="002926C4"/>
    <w:rsid w:val="002A1721"/>
    <w:rsid w:val="002B0AC2"/>
    <w:rsid w:val="002C2C5B"/>
    <w:rsid w:val="002D2143"/>
    <w:rsid w:val="002E0779"/>
    <w:rsid w:val="003322C0"/>
    <w:rsid w:val="0034456A"/>
    <w:rsid w:val="00351C66"/>
    <w:rsid w:val="0035653C"/>
    <w:rsid w:val="003666F1"/>
    <w:rsid w:val="003B0668"/>
    <w:rsid w:val="00491A2F"/>
    <w:rsid w:val="004A48B1"/>
    <w:rsid w:val="0055008B"/>
    <w:rsid w:val="00550FED"/>
    <w:rsid w:val="005B0B4D"/>
    <w:rsid w:val="005B1CC7"/>
    <w:rsid w:val="005E14ED"/>
    <w:rsid w:val="00625530"/>
    <w:rsid w:val="006614B1"/>
    <w:rsid w:val="006B76CC"/>
    <w:rsid w:val="006D55A6"/>
    <w:rsid w:val="006D669C"/>
    <w:rsid w:val="006E2494"/>
    <w:rsid w:val="006E6E9D"/>
    <w:rsid w:val="006F1442"/>
    <w:rsid w:val="006F2FBA"/>
    <w:rsid w:val="00727C37"/>
    <w:rsid w:val="007754D7"/>
    <w:rsid w:val="007B3857"/>
    <w:rsid w:val="007E7CC5"/>
    <w:rsid w:val="007F4A7F"/>
    <w:rsid w:val="007F77DA"/>
    <w:rsid w:val="00804A37"/>
    <w:rsid w:val="008077AE"/>
    <w:rsid w:val="00827C3A"/>
    <w:rsid w:val="00843A50"/>
    <w:rsid w:val="008820D9"/>
    <w:rsid w:val="008C01F7"/>
    <w:rsid w:val="008D6299"/>
    <w:rsid w:val="009179E8"/>
    <w:rsid w:val="00987076"/>
    <w:rsid w:val="009C0B76"/>
    <w:rsid w:val="009D08A6"/>
    <w:rsid w:val="009D1378"/>
    <w:rsid w:val="009D370E"/>
    <w:rsid w:val="009D4B3F"/>
    <w:rsid w:val="009E33E0"/>
    <w:rsid w:val="009F7F95"/>
    <w:rsid w:val="00A30CD0"/>
    <w:rsid w:val="00A330D3"/>
    <w:rsid w:val="00B052EF"/>
    <w:rsid w:val="00B44FBD"/>
    <w:rsid w:val="00B45CB6"/>
    <w:rsid w:val="00B863BB"/>
    <w:rsid w:val="00BA36ED"/>
    <w:rsid w:val="00BA5EEB"/>
    <w:rsid w:val="00BE5479"/>
    <w:rsid w:val="00C02642"/>
    <w:rsid w:val="00C34696"/>
    <w:rsid w:val="00C37E3C"/>
    <w:rsid w:val="00C4155D"/>
    <w:rsid w:val="00C57C2D"/>
    <w:rsid w:val="00C76907"/>
    <w:rsid w:val="00C93ACD"/>
    <w:rsid w:val="00C94081"/>
    <w:rsid w:val="00CA1DDA"/>
    <w:rsid w:val="00CB4C60"/>
    <w:rsid w:val="00CE7B21"/>
    <w:rsid w:val="00D32039"/>
    <w:rsid w:val="00D74D80"/>
    <w:rsid w:val="00DC5D3F"/>
    <w:rsid w:val="00DC618F"/>
    <w:rsid w:val="00DD29BA"/>
    <w:rsid w:val="00E10EB5"/>
    <w:rsid w:val="00E25CB2"/>
    <w:rsid w:val="00E47F7A"/>
    <w:rsid w:val="00E66812"/>
    <w:rsid w:val="00F560E9"/>
    <w:rsid w:val="00F6216F"/>
    <w:rsid w:val="00F97848"/>
    <w:rsid w:val="00FE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2499EB"/>
  <w15:chartTrackingRefBased/>
  <w15:docId w15:val="{95C00F9B-D60B-9C4C-A147-FEB7F0B08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1440A"/>
    <w:pPr>
      <w:keepNext/>
      <w:keepLines/>
      <w:spacing w:before="340" w:after="330" w:line="578" w:lineRule="auto"/>
      <w:jc w:val="both"/>
      <w:outlineLvl w:val="0"/>
    </w:pPr>
    <w:rPr>
      <w:rFonts w:eastAsia="黑体" w:cs="Times New Roman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08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08A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08A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08A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08A6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08A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08A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08A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1440A"/>
    <w:rPr>
      <w:rFonts w:eastAsia="黑体" w:cs="Times New Roman"/>
      <w:b/>
      <w:bCs/>
      <w:kern w:val="44"/>
      <w:sz w:val="28"/>
      <w:szCs w:val="44"/>
    </w:rPr>
  </w:style>
  <w:style w:type="paragraph" w:styleId="a3">
    <w:name w:val="Title"/>
    <w:basedOn w:val="a"/>
    <w:next w:val="a"/>
    <w:link w:val="a4"/>
    <w:autoRedefine/>
    <w:uiPriority w:val="10"/>
    <w:qFormat/>
    <w:rsid w:val="0004187F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04187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Subtitle"/>
    <w:aliases w:val="一级黑四"/>
    <w:basedOn w:val="a"/>
    <w:next w:val="a"/>
    <w:link w:val="a6"/>
    <w:autoRedefine/>
    <w:uiPriority w:val="11"/>
    <w:qFormat/>
    <w:rsid w:val="0004187F"/>
    <w:pPr>
      <w:spacing w:before="240" w:after="60" w:line="312" w:lineRule="auto"/>
      <w:outlineLvl w:val="1"/>
    </w:pPr>
    <w:rPr>
      <w:rFonts w:eastAsia="黑体"/>
      <w:bCs/>
      <w:kern w:val="28"/>
      <w:sz w:val="28"/>
      <w:szCs w:val="32"/>
    </w:rPr>
  </w:style>
  <w:style w:type="character" w:customStyle="1" w:styleId="a6">
    <w:name w:val="副标题 字符"/>
    <w:aliases w:val="一级黑四 字符"/>
    <w:basedOn w:val="a0"/>
    <w:link w:val="a5"/>
    <w:uiPriority w:val="11"/>
    <w:rsid w:val="0004187F"/>
    <w:rPr>
      <w:rFonts w:eastAsia="黑体"/>
      <w:bCs/>
      <w:kern w:val="28"/>
      <w:sz w:val="28"/>
      <w:szCs w:val="32"/>
    </w:rPr>
  </w:style>
  <w:style w:type="character" w:customStyle="1" w:styleId="20">
    <w:name w:val="标题 2 字符"/>
    <w:basedOn w:val="a0"/>
    <w:link w:val="2"/>
    <w:uiPriority w:val="9"/>
    <w:semiHidden/>
    <w:rsid w:val="009D08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D08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D08A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D08A6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D08A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D08A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D08A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D08A6"/>
    <w:rPr>
      <w:rFonts w:eastAsiaTheme="majorEastAsia" w:cstheme="majorBidi"/>
      <w:color w:val="595959" w:themeColor="text1" w:themeTint="A6"/>
    </w:rPr>
  </w:style>
  <w:style w:type="paragraph" w:styleId="a7">
    <w:name w:val="Quote"/>
    <w:basedOn w:val="a"/>
    <w:next w:val="a"/>
    <w:link w:val="a8"/>
    <w:uiPriority w:val="29"/>
    <w:qFormat/>
    <w:rsid w:val="009D08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D08A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D08A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D08A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D08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D08A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D08A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863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863B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863BB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863B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2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Yangyang Ji</dc:creator>
  <cp:keywords/>
  <dc:description/>
  <cp:lastModifiedBy>editor</cp:lastModifiedBy>
  <cp:revision>4</cp:revision>
  <dcterms:created xsi:type="dcterms:W3CDTF">2025-11-19T05:22:00Z</dcterms:created>
  <dcterms:modified xsi:type="dcterms:W3CDTF">2025-12-09T01:19:00Z</dcterms:modified>
</cp:coreProperties>
</file>