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0D020" w14:textId="77777777" w:rsidR="00B56308" w:rsidRDefault="00970088">
      <w:pPr>
        <w:spacing w:line="240" w:lineRule="auto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 xml:space="preserve">Supplementary </w:t>
      </w:r>
      <w:r>
        <w:rPr>
          <w:rFonts w:ascii="Arial" w:hAnsi="Arial" w:cs="Arial" w:hint="eastAsia"/>
          <w:b/>
          <w:bCs/>
          <w:kern w:val="0"/>
          <w:sz w:val="20"/>
          <w:szCs w:val="20"/>
        </w:rPr>
        <w:t>figures of</w:t>
      </w:r>
    </w:p>
    <w:p w14:paraId="6B7880B8" w14:textId="3A26B719" w:rsidR="00B56308" w:rsidRPr="00A84397" w:rsidRDefault="00970088" w:rsidP="00A84397">
      <w:pPr>
        <w:spacing w:line="480" w:lineRule="auto"/>
        <w:jc w:val="center"/>
        <w:rPr>
          <w:rFonts w:eastAsia="宋体" w:hint="eastAsia"/>
          <w:b/>
          <w:bCs/>
          <w:sz w:val="28"/>
          <w:szCs w:val="28"/>
        </w:rPr>
      </w:pPr>
      <w:r>
        <w:rPr>
          <w:rFonts w:ascii="Arial" w:eastAsia="宋体" w:hAnsi="Arial" w:cs="Arial"/>
          <w:b/>
          <w:bCs/>
          <w:sz w:val="24"/>
        </w:rPr>
        <w:t>Mediation Pathways from Lifestyle to Hearing Impairment: The Role of Inflammatory and Metabolic Biomarkers in a Prospective Cohort Study</w:t>
      </w:r>
      <w:r>
        <w:rPr>
          <w:rFonts w:ascii="Arial" w:eastAsia="微软雅黑" w:hAnsi="Arial" w:cs="Arial"/>
          <w:szCs w:val="22"/>
        </w:rPr>
        <w:t xml:space="preserve"> </w:t>
      </w:r>
      <w:r>
        <w:rPr>
          <w:rFonts w:ascii="Arial" w:hAnsi="Arial" w:cs="Arial" w:hint="eastAsia"/>
          <w:kern w:val="0"/>
          <w:sz w:val="20"/>
          <w:szCs w:val="20"/>
        </w:rPr>
        <w:t>(</w:t>
      </w:r>
      <w:proofErr w:type="spellStart"/>
      <w:r>
        <w:rPr>
          <w:rFonts w:ascii="Arial" w:eastAsia="微软雅黑" w:hAnsi="Arial" w:cs="Arial" w:hint="eastAsia"/>
          <w:sz w:val="20"/>
          <w:szCs w:val="20"/>
        </w:rPr>
        <w:t>Runhua</w:t>
      </w:r>
      <w:proofErr w:type="spellEnd"/>
      <w:r>
        <w:rPr>
          <w:rFonts w:ascii="Arial" w:eastAsia="微软雅黑" w:hAnsi="Arial" w:cs="Arial" w:hint="eastAsia"/>
          <w:sz w:val="20"/>
          <w:szCs w:val="20"/>
        </w:rPr>
        <w:t xml:space="preserve"> Li</w:t>
      </w:r>
      <w:r>
        <w:rPr>
          <w:rFonts w:ascii="Arial" w:eastAsia="微软雅黑" w:hAnsi="Arial" w:cs="Arial"/>
          <w:sz w:val="20"/>
          <w:szCs w:val="20"/>
        </w:rPr>
        <w:t xml:space="preserve"> et al.</w:t>
      </w:r>
      <w:r>
        <w:rPr>
          <w:rFonts w:ascii="Arial" w:hAnsi="Arial" w:cs="Arial" w:hint="eastAsia"/>
          <w:kern w:val="0"/>
          <w:sz w:val="20"/>
          <w:szCs w:val="20"/>
        </w:rPr>
        <w:t>)</w:t>
      </w:r>
    </w:p>
    <w:p w14:paraId="27400CBF" w14:textId="71B4F03E" w:rsidR="00B223FE" w:rsidRDefault="00B223FE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1"/>
          <w:szCs w:val="21"/>
        </w:rPr>
      </w:pPr>
      <w:r>
        <w:rPr>
          <w:rFonts w:ascii="Arial" w:hAnsi="Arial" w:cs="Arial"/>
          <w:b/>
          <w:bCs/>
          <w:noProof/>
          <w:color w:val="000000" w:themeColor="text1"/>
          <w:sz w:val="21"/>
          <w:szCs w:val="21"/>
          <w14:ligatures w14:val="none"/>
        </w:rPr>
        <w:drawing>
          <wp:inline distT="0" distB="0" distL="0" distR="0" wp14:anchorId="45717901" wp14:editId="0626FD24">
            <wp:extent cx="5274310" cy="3647440"/>
            <wp:effectExtent l="0" t="0" r="2540" b="0"/>
            <wp:docPr id="189550638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506381" name="图片 189550638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4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EFD19" w14:textId="0D7D9EC1" w:rsidR="00B56308" w:rsidRDefault="0097008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1"/>
          <w:szCs w:val="21"/>
        </w:rPr>
      </w:pPr>
      <w:r>
        <w:rPr>
          <w:rFonts w:ascii="Arial" w:hAnsi="Arial" w:cs="Arial"/>
          <w:b/>
          <w:bCs/>
          <w:color w:val="000000" w:themeColor="text1"/>
          <w:sz w:val="21"/>
          <w:szCs w:val="21"/>
        </w:rPr>
        <w:t>Figure</w:t>
      </w:r>
      <w:r>
        <w:rPr>
          <w:rFonts w:ascii="Arial" w:hAnsi="Arial" w:cs="Arial" w:hint="eastAsia"/>
          <w:b/>
          <w:bCs/>
          <w:color w:val="000000" w:themeColor="text1"/>
          <w:sz w:val="21"/>
          <w:szCs w:val="21"/>
        </w:rPr>
        <w:t xml:space="preserve"> S</w:t>
      </w:r>
      <w:r>
        <w:rPr>
          <w:rFonts w:ascii="Arial" w:hAnsi="Arial" w:cs="Arial"/>
          <w:b/>
          <w:bCs/>
          <w:color w:val="000000" w:themeColor="text1"/>
          <w:sz w:val="21"/>
          <w:szCs w:val="21"/>
        </w:rPr>
        <w:t>1. Associations between lifestyle score and the risk of incident hearing impairment by restricted cubic spline regression (</w:t>
      </w:r>
      <w:r w:rsidRPr="006757F6">
        <w:rPr>
          <w:rFonts w:ascii="Arial" w:hAnsi="Arial" w:cs="Arial"/>
          <w:b/>
          <w:bCs/>
          <w:i/>
          <w:iCs/>
          <w:color w:val="000000" w:themeColor="text1"/>
          <w:sz w:val="21"/>
          <w:szCs w:val="21"/>
        </w:rPr>
        <w:t>N</w:t>
      </w:r>
      <w:r w:rsidR="00CD49A8">
        <w:rPr>
          <w:rFonts w:ascii="Arial" w:hAnsi="Arial" w:cs="Arial"/>
          <w:b/>
          <w:bCs/>
          <w:color w:val="000000" w:themeColor="text1"/>
          <w:sz w:val="21"/>
          <w:szCs w:val="21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1"/>
          <w:szCs w:val="21"/>
        </w:rPr>
        <w:t>=</w:t>
      </w:r>
      <w:r w:rsidR="00CD49A8">
        <w:rPr>
          <w:rFonts w:ascii="Arial" w:hAnsi="Arial" w:cs="Arial"/>
          <w:b/>
          <w:bCs/>
          <w:color w:val="000000" w:themeColor="text1"/>
          <w:sz w:val="21"/>
          <w:szCs w:val="21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1"/>
          <w:szCs w:val="21"/>
        </w:rPr>
        <w:t>441,844).</w:t>
      </w:r>
    </w:p>
    <w:p w14:paraId="53704B13" w14:textId="77777777" w:rsidR="00B56308" w:rsidRDefault="00970088">
      <w:pPr>
        <w:spacing w:after="0" w:line="240" w:lineRule="auto"/>
        <w:rPr>
          <w:rFonts w:ascii="Arial" w:hAnsi="Arial" w:cs="Arial"/>
          <w:b/>
          <w:i/>
          <w:iCs/>
          <w:sz w:val="16"/>
          <w:szCs w:val="16"/>
        </w:rPr>
      </w:pPr>
      <w:r>
        <w:rPr>
          <w:rFonts w:ascii="Arial" w:eastAsia="等线" w:hAnsi="Arial" w:cs="Arial"/>
          <w:i/>
          <w:iCs/>
          <w:color w:val="000000"/>
          <w:kern w:val="0"/>
          <w:sz w:val="16"/>
          <w:szCs w:val="16"/>
        </w:rPr>
        <w:t>Curves were delineated by restricted cubic splines with 3 knots at 10</w:t>
      </w:r>
      <w:r>
        <w:rPr>
          <w:rFonts w:ascii="Arial" w:eastAsia="等线" w:hAnsi="Arial" w:cs="Arial"/>
          <w:i/>
          <w:iCs/>
          <w:color w:val="000000"/>
          <w:kern w:val="0"/>
          <w:sz w:val="16"/>
          <w:szCs w:val="16"/>
          <w:vertAlign w:val="superscript"/>
        </w:rPr>
        <w:t>th</w:t>
      </w:r>
      <w:r>
        <w:rPr>
          <w:rFonts w:ascii="Arial" w:eastAsia="等线" w:hAnsi="Arial" w:cs="Arial"/>
          <w:i/>
          <w:iCs/>
          <w:color w:val="000000"/>
          <w:kern w:val="0"/>
          <w:sz w:val="16"/>
          <w:szCs w:val="16"/>
        </w:rPr>
        <w:t>, 50</w:t>
      </w:r>
      <w:r>
        <w:rPr>
          <w:rFonts w:ascii="Arial" w:eastAsia="等线" w:hAnsi="Arial" w:cs="Arial"/>
          <w:i/>
          <w:iCs/>
          <w:color w:val="000000"/>
          <w:kern w:val="0"/>
          <w:sz w:val="16"/>
          <w:szCs w:val="16"/>
          <w:vertAlign w:val="superscript"/>
        </w:rPr>
        <w:t>th</w:t>
      </w:r>
      <w:r>
        <w:rPr>
          <w:rFonts w:ascii="Arial" w:eastAsia="等线" w:hAnsi="Arial" w:cs="Arial"/>
          <w:i/>
          <w:iCs/>
          <w:color w:val="000000"/>
          <w:kern w:val="0"/>
          <w:sz w:val="16"/>
          <w:szCs w:val="16"/>
        </w:rPr>
        <w:t xml:space="preserve"> and 90</w:t>
      </w:r>
      <w:r>
        <w:rPr>
          <w:rFonts w:ascii="Arial" w:eastAsia="等线" w:hAnsi="Arial" w:cs="Arial"/>
          <w:i/>
          <w:iCs/>
          <w:color w:val="000000"/>
          <w:kern w:val="0"/>
          <w:sz w:val="16"/>
          <w:szCs w:val="16"/>
          <w:vertAlign w:val="superscript"/>
        </w:rPr>
        <w:t>th</w:t>
      </w:r>
      <w:r>
        <w:rPr>
          <w:rFonts w:ascii="Arial" w:eastAsia="等线" w:hAnsi="Arial" w:cs="Arial"/>
          <w:i/>
          <w:iCs/>
          <w:color w:val="000000"/>
          <w:kern w:val="0"/>
          <w:sz w:val="16"/>
          <w:szCs w:val="16"/>
        </w:rPr>
        <w:t xml:space="preserve"> percentiles.</w:t>
      </w:r>
    </w:p>
    <w:p w14:paraId="15FCEB13" w14:textId="77777777" w:rsidR="00B56308" w:rsidRDefault="00970088">
      <w:pPr>
        <w:spacing w:after="0" w:line="240" w:lineRule="auto"/>
        <w:rPr>
          <w:rFonts w:ascii="Arial" w:eastAsia="等线" w:hAnsi="Arial" w:cs="Arial"/>
          <w:i/>
          <w:iCs/>
          <w:color w:val="000000"/>
          <w:kern w:val="0"/>
          <w:sz w:val="16"/>
          <w:szCs w:val="16"/>
          <w14:ligatures w14:val="none"/>
        </w:rPr>
      </w:pPr>
      <w:r>
        <w:rPr>
          <w:rFonts w:ascii="Arial" w:eastAsia="等线" w:hAnsi="Arial" w:cs="Arial"/>
          <w:i/>
          <w:iCs/>
          <w:color w:val="000000"/>
          <w:kern w:val="0"/>
          <w:sz w:val="16"/>
          <w:szCs w:val="16"/>
          <w14:ligatures w14:val="none"/>
        </w:rPr>
        <w:t>Abbreviations: CI, confidence interval; HR, hazards ratio.</w:t>
      </w:r>
    </w:p>
    <w:p w14:paraId="22D30335" w14:textId="77777777" w:rsidR="00B56308" w:rsidRDefault="00970088">
      <w:pPr>
        <w:spacing w:line="276" w:lineRule="auto"/>
        <w:jc w:val="both"/>
        <w:rPr>
          <w:rFonts w:ascii="Arial" w:eastAsia="等线" w:hAnsi="Arial" w:cs="Arial"/>
          <w:i/>
          <w:iCs/>
          <w:color w:val="000000"/>
          <w:kern w:val="0"/>
          <w:sz w:val="16"/>
          <w:szCs w:val="16"/>
          <w14:ligatures w14:val="none"/>
        </w:rPr>
      </w:pPr>
      <w:r>
        <w:rPr>
          <w:rFonts w:ascii="Arial" w:eastAsia="等线" w:hAnsi="Arial" w:cs="Arial" w:hint="eastAsia"/>
          <w:i/>
          <w:iCs/>
          <w:color w:val="000000"/>
          <w:kern w:val="0"/>
          <w:sz w:val="16"/>
          <w:szCs w:val="16"/>
          <w14:ligatures w14:val="none"/>
        </w:rPr>
        <w:t>Model was a</w:t>
      </w:r>
      <w:r>
        <w:rPr>
          <w:rFonts w:ascii="Arial" w:eastAsia="等线" w:hAnsi="Arial" w:cs="Arial"/>
          <w:i/>
          <w:iCs/>
          <w:color w:val="000000"/>
          <w:kern w:val="0"/>
          <w:sz w:val="16"/>
          <w:szCs w:val="16"/>
          <w14:ligatures w14:val="none"/>
        </w:rPr>
        <w:t>djusted for age, sex, ethnicity,</w:t>
      </w:r>
      <w:r>
        <w:rPr>
          <w:rFonts w:ascii="Arial" w:eastAsia="等线" w:hAnsi="Arial" w:cs="Arial" w:hint="eastAsia"/>
          <w:i/>
          <w:iCs/>
          <w:color w:val="000000"/>
          <w:kern w:val="0"/>
          <w:sz w:val="16"/>
          <w:szCs w:val="16"/>
          <w14:ligatures w14:val="none"/>
        </w:rPr>
        <w:t xml:space="preserve"> </w:t>
      </w:r>
      <w:r>
        <w:rPr>
          <w:rFonts w:ascii="Arial" w:eastAsia="等线" w:hAnsi="Arial" w:cs="Arial"/>
          <w:i/>
          <w:iCs/>
          <w:color w:val="000000"/>
          <w:kern w:val="0"/>
          <w:sz w:val="16"/>
          <w:szCs w:val="16"/>
          <w14:ligatures w14:val="none"/>
        </w:rPr>
        <w:t>qualifications, average total household income before tax</w:t>
      </w:r>
      <w:r>
        <w:rPr>
          <w:rFonts w:ascii="Arial" w:eastAsia="等线" w:hAnsi="Arial" w:cs="Arial" w:hint="eastAsia"/>
          <w:i/>
          <w:iCs/>
          <w:color w:val="000000"/>
          <w:kern w:val="0"/>
          <w:sz w:val="16"/>
          <w:szCs w:val="16"/>
          <w14:ligatures w14:val="none"/>
        </w:rPr>
        <w:t xml:space="preserve">, </w:t>
      </w:r>
      <w:r>
        <w:rPr>
          <w:rFonts w:ascii="Arial" w:eastAsia="等线" w:hAnsi="Arial" w:cs="Arial"/>
          <w:i/>
          <w:iCs/>
          <w:color w:val="000000"/>
          <w:kern w:val="0"/>
          <w:sz w:val="16"/>
          <w:szCs w:val="16"/>
          <w14:ligatures w14:val="none"/>
        </w:rPr>
        <w:t>hypertension, type 2 diabetes mellitus, hypercholesterolemia,</w:t>
      </w:r>
      <w:r>
        <w:rPr>
          <w:rFonts w:ascii="Arial" w:eastAsia="等线" w:hAnsi="Arial" w:cs="Arial" w:hint="eastAsia"/>
          <w:i/>
          <w:iCs/>
          <w:color w:val="000000"/>
          <w:kern w:val="0"/>
          <w:sz w:val="16"/>
          <w:szCs w:val="16"/>
          <w14:ligatures w14:val="none"/>
        </w:rPr>
        <w:t xml:space="preserve"> </w:t>
      </w:r>
      <w:r>
        <w:rPr>
          <w:rFonts w:ascii="Arial" w:eastAsia="等线" w:hAnsi="Arial" w:cs="Arial"/>
          <w:i/>
          <w:iCs/>
          <w:color w:val="000000"/>
          <w:kern w:val="0"/>
          <w:sz w:val="16"/>
          <w:szCs w:val="16"/>
          <w14:ligatures w14:val="none"/>
        </w:rPr>
        <w:t>use of ototoxic drugs,</w:t>
      </w:r>
      <w:r>
        <w:rPr>
          <w:rFonts w:ascii="Arial" w:eastAsia="等线" w:hAnsi="Arial" w:cs="Arial" w:hint="eastAsia"/>
          <w:i/>
          <w:iCs/>
          <w:color w:val="000000"/>
          <w:kern w:val="0"/>
          <w:sz w:val="16"/>
          <w:szCs w:val="16"/>
          <w14:ligatures w14:val="none"/>
        </w:rPr>
        <w:t xml:space="preserve"> </w:t>
      </w:r>
      <w:r>
        <w:rPr>
          <w:rFonts w:ascii="Arial" w:eastAsia="等线" w:hAnsi="Arial" w:cs="Arial"/>
          <w:i/>
          <w:iCs/>
          <w:color w:val="000000"/>
          <w:kern w:val="0"/>
          <w:sz w:val="16"/>
          <w:szCs w:val="16"/>
          <w14:ligatures w14:val="none"/>
        </w:rPr>
        <w:t>noisy work place and loud music exposure frequency.</w:t>
      </w:r>
    </w:p>
    <w:p w14:paraId="142ED0CA" w14:textId="77777777" w:rsidR="00B56308" w:rsidRDefault="00B56308"/>
    <w:p w14:paraId="630C8243" w14:textId="77777777" w:rsidR="00B56308" w:rsidRDefault="00B56308"/>
    <w:p w14:paraId="71EE3CF9" w14:textId="77777777" w:rsidR="00B56308" w:rsidRDefault="00B56308"/>
    <w:p w14:paraId="5BA6073A" w14:textId="77777777" w:rsidR="00B56308" w:rsidRDefault="00B56308"/>
    <w:p w14:paraId="0B703622" w14:textId="77777777" w:rsidR="00B56308" w:rsidRDefault="00B56308"/>
    <w:p w14:paraId="56A1064B" w14:textId="7F241163" w:rsidR="00FD1F6A" w:rsidRDefault="00FD1F6A">
      <w:pPr>
        <w:spacing w:line="240" w:lineRule="auto"/>
        <w:rPr>
          <w:rFonts w:hint="eastAsia"/>
        </w:rPr>
      </w:pPr>
    </w:p>
    <w:p w14:paraId="2B6DCBBF" w14:textId="3C8C2DA0" w:rsidR="00A84397" w:rsidRDefault="00A84397">
      <w:pPr>
        <w:spacing w:line="240" w:lineRule="auto"/>
        <w:rPr>
          <w:rFonts w:hint="eastAsia"/>
        </w:rPr>
      </w:pPr>
      <w:r>
        <w:rPr>
          <w:rFonts w:hint="eastAsia"/>
          <w:noProof/>
          <w14:ligatures w14:val="none"/>
        </w:rPr>
        <w:lastRenderedPageBreak/>
        <w:drawing>
          <wp:inline distT="0" distB="0" distL="0" distR="0" wp14:anchorId="68BF2060" wp14:editId="78520F5B">
            <wp:extent cx="5023485" cy="8863330"/>
            <wp:effectExtent l="0" t="0" r="571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234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68E9F" w14:textId="1FCEE7F7" w:rsidR="00B56308" w:rsidRPr="00A27BC0" w:rsidRDefault="0097008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1"/>
          <w:szCs w:val="21"/>
        </w:rPr>
      </w:pPr>
      <w:r w:rsidRPr="00A27BC0">
        <w:rPr>
          <w:rFonts w:ascii="Arial" w:hAnsi="Arial" w:cs="Arial"/>
          <w:b/>
          <w:bCs/>
          <w:color w:val="000000" w:themeColor="text1"/>
          <w:sz w:val="21"/>
          <w:szCs w:val="21"/>
        </w:rPr>
        <w:lastRenderedPageBreak/>
        <w:t>Figure S2. Kaplan</w:t>
      </w:r>
      <w:r w:rsidRPr="00A27BC0">
        <w:rPr>
          <w:rFonts w:ascii="Cambria Math" w:hAnsi="Cambria Math" w:cs="Cambria Math"/>
          <w:b/>
          <w:bCs/>
          <w:color w:val="000000" w:themeColor="text1"/>
          <w:sz w:val="21"/>
          <w:szCs w:val="21"/>
        </w:rPr>
        <w:t>‐</w:t>
      </w:r>
      <w:r w:rsidRPr="00A27BC0">
        <w:rPr>
          <w:rFonts w:ascii="Arial" w:hAnsi="Arial" w:cs="Arial"/>
          <w:b/>
          <w:bCs/>
          <w:color w:val="000000" w:themeColor="text1"/>
          <w:sz w:val="21"/>
          <w:szCs w:val="21"/>
        </w:rPr>
        <w:t>Meier curves of the cumulative incidence of hearing impairment</w:t>
      </w:r>
      <w:r w:rsidRPr="00A27BC0">
        <w:rPr>
          <w:rFonts w:ascii="Arial" w:hAnsi="Arial" w:cs="Arial" w:hint="eastAsia"/>
          <w:b/>
          <w:bCs/>
          <w:color w:val="000000" w:themeColor="text1"/>
          <w:sz w:val="21"/>
          <w:szCs w:val="21"/>
        </w:rPr>
        <w:t xml:space="preserve"> </w:t>
      </w:r>
      <w:r w:rsidRPr="00A27BC0">
        <w:rPr>
          <w:rFonts w:ascii="Arial" w:hAnsi="Arial" w:cs="Arial"/>
          <w:b/>
          <w:bCs/>
          <w:color w:val="000000" w:themeColor="text1"/>
          <w:sz w:val="21"/>
          <w:szCs w:val="21"/>
        </w:rPr>
        <w:t>(</w:t>
      </w:r>
      <w:r w:rsidRPr="00A27BC0">
        <w:rPr>
          <w:rFonts w:ascii="Arial" w:hAnsi="Arial" w:cs="Arial"/>
          <w:b/>
          <w:bCs/>
          <w:i/>
          <w:iCs/>
          <w:color w:val="000000" w:themeColor="text1"/>
          <w:sz w:val="21"/>
          <w:szCs w:val="21"/>
        </w:rPr>
        <w:t>N</w:t>
      </w:r>
      <w:r w:rsidR="00CD49A8" w:rsidRPr="00A27BC0">
        <w:rPr>
          <w:rFonts w:ascii="Arial" w:hAnsi="Arial" w:cs="Arial"/>
          <w:b/>
          <w:bCs/>
          <w:color w:val="000000" w:themeColor="text1"/>
          <w:sz w:val="21"/>
          <w:szCs w:val="21"/>
        </w:rPr>
        <w:t xml:space="preserve"> </w:t>
      </w:r>
      <w:r w:rsidRPr="00A27BC0">
        <w:rPr>
          <w:rFonts w:ascii="Arial" w:hAnsi="Arial" w:cs="Arial"/>
          <w:b/>
          <w:bCs/>
          <w:color w:val="000000" w:themeColor="text1"/>
          <w:sz w:val="21"/>
          <w:szCs w:val="21"/>
        </w:rPr>
        <w:t>=</w:t>
      </w:r>
      <w:r w:rsidR="00CD49A8" w:rsidRPr="00A27BC0">
        <w:rPr>
          <w:rFonts w:ascii="Arial" w:hAnsi="Arial" w:cs="Arial"/>
          <w:b/>
          <w:bCs/>
          <w:color w:val="000000" w:themeColor="text1"/>
          <w:sz w:val="21"/>
          <w:szCs w:val="21"/>
        </w:rPr>
        <w:t xml:space="preserve"> </w:t>
      </w:r>
      <w:r w:rsidRPr="00A27BC0">
        <w:rPr>
          <w:rFonts w:ascii="Arial" w:hAnsi="Arial" w:cs="Arial" w:hint="eastAsia"/>
          <w:b/>
          <w:bCs/>
          <w:color w:val="000000" w:themeColor="text1"/>
          <w:sz w:val="21"/>
          <w:szCs w:val="21"/>
        </w:rPr>
        <w:t>416,348</w:t>
      </w:r>
      <w:r w:rsidRPr="00A27BC0">
        <w:rPr>
          <w:rFonts w:ascii="Arial" w:hAnsi="Arial" w:cs="Arial"/>
          <w:b/>
          <w:bCs/>
          <w:color w:val="000000" w:themeColor="text1"/>
          <w:sz w:val="21"/>
          <w:szCs w:val="21"/>
        </w:rPr>
        <w:t>).</w:t>
      </w:r>
    </w:p>
    <w:p w14:paraId="03106D7C" w14:textId="36E94676" w:rsidR="00D8591B" w:rsidRPr="00A84397" w:rsidRDefault="00A27BC0" w:rsidP="00A84397">
      <w:pPr>
        <w:spacing w:line="240" w:lineRule="auto"/>
        <w:jc w:val="both"/>
        <w:rPr>
          <w:rFonts w:ascii="Arial" w:hAnsi="Arial" w:cs="Arial" w:hint="eastAsia"/>
          <w:i/>
          <w:iCs/>
          <w:sz w:val="16"/>
          <w:szCs w:val="16"/>
        </w:rPr>
      </w:pPr>
      <w:r w:rsidRPr="00A27BC0">
        <w:rPr>
          <w:rFonts w:ascii="Arial" w:hAnsi="Arial" w:cs="Arial"/>
          <w:i/>
          <w:iCs/>
          <w:sz w:val="16"/>
          <w:szCs w:val="16"/>
        </w:rPr>
        <w:t>(</w:t>
      </w:r>
      <w:r w:rsidR="00970088" w:rsidRPr="00A27BC0">
        <w:rPr>
          <w:rFonts w:ascii="Arial" w:hAnsi="Arial" w:cs="Arial"/>
          <w:i/>
          <w:iCs/>
          <w:sz w:val="16"/>
          <w:szCs w:val="16"/>
        </w:rPr>
        <w:t>a</w:t>
      </w:r>
      <w:r w:rsidRPr="00A27BC0">
        <w:rPr>
          <w:rFonts w:ascii="Arial" w:hAnsi="Arial" w:cs="Arial"/>
          <w:i/>
          <w:iCs/>
          <w:sz w:val="16"/>
          <w:szCs w:val="16"/>
        </w:rPr>
        <w:t>)</w:t>
      </w:r>
      <w:r w:rsidR="00970088" w:rsidRPr="00A27BC0">
        <w:rPr>
          <w:rFonts w:ascii="Arial" w:hAnsi="Arial" w:cs="Arial"/>
          <w:i/>
          <w:iCs/>
          <w:sz w:val="16"/>
          <w:szCs w:val="16"/>
        </w:rPr>
        <w:t xml:space="preserve"> Kaplan</w:t>
      </w:r>
      <w:r w:rsidR="00970088" w:rsidRPr="00A27BC0">
        <w:rPr>
          <w:rFonts w:ascii="Cambria Math" w:hAnsi="Cambria Math" w:cs="Cambria Math"/>
          <w:i/>
          <w:iCs/>
          <w:sz w:val="16"/>
          <w:szCs w:val="16"/>
        </w:rPr>
        <w:t>‐</w:t>
      </w:r>
      <w:r w:rsidR="00970088" w:rsidRPr="00A27BC0">
        <w:rPr>
          <w:rFonts w:ascii="Arial" w:hAnsi="Arial" w:cs="Arial"/>
          <w:i/>
          <w:iCs/>
          <w:sz w:val="16"/>
          <w:szCs w:val="16"/>
        </w:rPr>
        <w:t xml:space="preserve">Meier curve of the cumulative incidence of hearing impairment caused by Inflammatory score. </w:t>
      </w:r>
      <w:r w:rsidRPr="00A27BC0">
        <w:rPr>
          <w:rFonts w:ascii="Arial" w:hAnsi="Arial" w:cs="Arial"/>
          <w:i/>
          <w:iCs/>
          <w:sz w:val="16"/>
          <w:szCs w:val="16"/>
        </w:rPr>
        <w:t>(</w:t>
      </w:r>
      <w:r w:rsidR="00970088" w:rsidRPr="00A27BC0">
        <w:rPr>
          <w:rFonts w:ascii="Arial" w:hAnsi="Arial" w:cs="Arial"/>
          <w:i/>
          <w:iCs/>
          <w:sz w:val="16"/>
          <w:szCs w:val="16"/>
        </w:rPr>
        <w:t>b</w:t>
      </w:r>
      <w:r w:rsidRPr="00A27BC0">
        <w:rPr>
          <w:rFonts w:ascii="Arial" w:hAnsi="Arial" w:cs="Arial"/>
          <w:i/>
          <w:iCs/>
          <w:sz w:val="16"/>
          <w:szCs w:val="16"/>
        </w:rPr>
        <w:t>)</w:t>
      </w:r>
      <w:r w:rsidR="00970088" w:rsidRPr="00A27BC0">
        <w:rPr>
          <w:rFonts w:ascii="Arial" w:hAnsi="Arial" w:cs="Arial"/>
          <w:i/>
          <w:iCs/>
          <w:sz w:val="16"/>
          <w:szCs w:val="16"/>
        </w:rPr>
        <w:t xml:space="preserve"> Kaplan</w:t>
      </w:r>
      <w:r w:rsidR="00970088" w:rsidRPr="00A27BC0">
        <w:rPr>
          <w:rFonts w:ascii="Cambria Math" w:hAnsi="Cambria Math" w:cs="Cambria Math"/>
          <w:i/>
          <w:iCs/>
          <w:sz w:val="16"/>
          <w:szCs w:val="16"/>
        </w:rPr>
        <w:t>‐</w:t>
      </w:r>
      <w:r w:rsidR="00970088" w:rsidRPr="00A27BC0">
        <w:rPr>
          <w:rFonts w:ascii="Arial" w:hAnsi="Arial" w:cs="Arial"/>
          <w:i/>
          <w:iCs/>
          <w:sz w:val="16"/>
          <w:szCs w:val="16"/>
        </w:rPr>
        <w:t>Meier cur</w:t>
      </w:r>
      <w:r w:rsidR="00970088">
        <w:rPr>
          <w:rFonts w:ascii="Arial" w:hAnsi="Arial" w:cs="Arial"/>
          <w:i/>
          <w:iCs/>
          <w:sz w:val="16"/>
          <w:szCs w:val="16"/>
        </w:rPr>
        <w:t>ve of the cumulative incidence of hearing impairment caused by METS-IR.</w:t>
      </w:r>
    </w:p>
    <w:p w14:paraId="6E3EBE17" w14:textId="0534B041" w:rsidR="00A84397" w:rsidRDefault="00A84397">
      <w:pPr>
        <w:spacing w:line="276" w:lineRule="auto"/>
        <w:rPr>
          <w:rFonts w:eastAsia="宋体" w:hint="eastAsia"/>
          <w:b/>
          <w:bCs/>
        </w:rPr>
      </w:pPr>
      <w:r>
        <w:rPr>
          <w:rFonts w:eastAsia="宋体" w:hint="eastAsia"/>
          <w:b/>
          <w:bCs/>
          <w:noProof/>
          <w14:ligatures w14:val="none"/>
        </w:rPr>
        <w:drawing>
          <wp:inline distT="0" distB="0" distL="0" distR="0" wp14:anchorId="515A5BFE" wp14:editId="7BD49E61">
            <wp:extent cx="5274310" cy="4964430"/>
            <wp:effectExtent l="0" t="0" r="254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6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EF873" w14:textId="0336F605" w:rsidR="00B56308" w:rsidRDefault="00970088">
      <w:pPr>
        <w:spacing w:after="0" w:line="276" w:lineRule="auto"/>
        <w:rPr>
          <w:rFonts w:ascii="Arial" w:eastAsia="宋体" w:hAnsi="Arial" w:cs="Arial"/>
          <w:b/>
          <w:bCs/>
        </w:rPr>
      </w:pPr>
      <w:bookmarkStart w:id="0" w:name="OLE_LINK36"/>
      <w:r>
        <w:rPr>
          <w:rFonts w:ascii="Arial" w:eastAsia="宋体" w:hAnsi="Arial" w:cs="Arial"/>
          <w:b/>
          <w:bCs/>
        </w:rPr>
        <w:t>Fig</w:t>
      </w:r>
      <w:r>
        <w:rPr>
          <w:rFonts w:ascii="Arial" w:eastAsia="宋体" w:hAnsi="Arial" w:cs="Arial" w:hint="eastAsia"/>
          <w:b/>
          <w:bCs/>
        </w:rPr>
        <w:t>ure</w:t>
      </w:r>
      <w:r>
        <w:rPr>
          <w:rFonts w:ascii="Arial" w:eastAsia="宋体" w:hAnsi="Arial" w:cs="Arial"/>
          <w:b/>
          <w:bCs/>
        </w:rPr>
        <w:t xml:space="preserve"> S3</w:t>
      </w:r>
      <w:r>
        <w:rPr>
          <w:rFonts w:ascii="Arial" w:eastAsia="宋体" w:hAnsi="Arial" w:cs="Arial" w:hint="eastAsia"/>
          <w:b/>
          <w:bCs/>
        </w:rPr>
        <w:t>.</w:t>
      </w:r>
      <w:r>
        <w:rPr>
          <w:rFonts w:ascii="Arial" w:eastAsia="宋体" w:hAnsi="Arial" w:cs="Arial"/>
          <w:b/>
          <w:bCs/>
        </w:rPr>
        <w:t xml:space="preserve"> </w:t>
      </w:r>
      <w:bookmarkStart w:id="1" w:name="OLE_LINK32"/>
      <w:r>
        <w:rPr>
          <w:rFonts w:ascii="Arial" w:eastAsia="宋体" w:hAnsi="Arial" w:cs="Arial"/>
          <w:b/>
          <w:bCs/>
        </w:rPr>
        <w:t>Sensitivity analyses of</w:t>
      </w:r>
      <w:r>
        <w:rPr>
          <w:rFonts w:ascii="Arial" w:eastAsia="宋体" w:hAnsi="Arial" w:cs="Arial" w:hint="eastAsia"/>
          <w:b/>
          <w:bCs/>
        </w:rPr>
        <w:t xml:space="preserve"> </w:t>
      </w:r>
      <w:bookmarkEnd w:id="1"/>
      <w:r>
        <w:rPr>
          <w:rFonts w:ascii="Arial" w:eastAsia="宋体" w:hAnsi="Arial" w:cs="Arial" w:hint="eastAsia"/>
          <w:b/>
          <w:bCs/>
        </w:rPr>
        <w:t>m</w:t>
      </w:r>
      <w:r>
        <w:rPr>
          <w:rFonts w:ascii="Arial" w:eastAsia="宋体" w:hAnsi="Arial" w:cs="Arial"/>
          <w:b/>
          <w:bCs/>
        </w:rPr>
        <w:t>ediating role of biomarkers in the associations of lifestyle score with hearing impairment</w:t>
      </w:r>
      <w:r>
        <w:rPr>
          <w:rFonts w:ascii="Arial" w:eastAsia="宋体" w:hAnsi="Arial" w:cs="Arial" w:hint="eastAsia"/>
          <w:b/>
          <w:bCs/>
        </w:rPr>
        <w:t xml:space="preserve"> </w:t>
      </w:r>
      <w:r>
        <w:rPr>
          <w:rFonts w:ascii="Arial" w:eastAsia="宋体" w:hAnsi="Arial" w:cs="Arial"/>
          <w:b/>
          <w:bCs/>
        </w:rPr>
        <w:t>after excluding participants with baseline diabetes or hyperlipidemia</w:t>
      </w:r>
      <w:r>
        <w:rPr>
          <w:rFonts w:ascii="Arial" w:eastAsia="宋体" w:hAnsi="Arial" w:cs="Arial" w:hint="eastAsia"/>
          <w:b/>
          <w:bCs/>
        </w:rPr>
        <w:t xml:space="preserve"> (</w:t>
      </w:r>
      <w:r w:rsidRPr="006757F6">
        <w:rPr>
          <w:rFonts w:ascii="Arial" w:eastAsia="宋体" w:hAnsi="Arial" w:cs="Arial"/>
          <w:b/>
          <w:bCs/>
          <w:i/>
          <w:iCs/>
        </w:rPr>
        <w:t>N</w:t>
      </w:r>
      <w:r w:rsidR="00176389">
        <w:rPr>
          <w:rFonts w:ascii="Arial" w:eastAsia="宋体" w:hAnsi="Arial" w:cs="Arial"/>
          <w:b/>
          <w:bCs/>
        </w:rPr>
        <w:t xml:space="preserve"> </w:t>
      </w:r>
      <w:r>
        <w:rPr>
          <w:rFonts w:ascii="Arial" w:eastAsia="宋体" w:hAnsi="Arial" w:cs="Arial" w:hint="eastAsia"/>
          <w:b/>
          <w:bCs/>
        </w:rPr>
        <w:t>=</w:t>
      </w:r>
      <w:r w:rsidR="00176389">
        <w:rPr>
          <w:rFonts w:ascii="Arial" w:eastAsia="宋体" w:hAnsi="Arial" w:cs="Arial"/>
          <w:b/>
          <w:bCs/>
        </w:rPr>
        <w:t xml:space="preserve"> </w:t>
      </w:r>
      <w:r>
        <w:rPr>
          <w:rFonts w:ascii="Arial" w:eastAsia="宋体" w:hAnsi="Arial" w:cs="Arial" w:hint="eastAsia"/>
          <w:b/>
          <w:bCs/>
        </w:rPr>
        <w:t>196,761).</w:t>
      </w:r>
    </w:p>
    <w:bookmarkEnd w:id="0"/>
    <w:p w14:paraId="3CAE1185" w14:textId="77777777" w:rsidR="00B56308" w:rsidRDefault="00970088">
      <w:pPr>
        <w:spacing w:after="0" w:line="276" w:lineRule="auto"/>
        <w:jc w:val="both"/>
        <w:rPr>
          <w:rFonts w:ascii="Arial" w:eastAsia="宋体" w:hAnsi="Arial" w:cs="Arial"/>
          <w:i/>
          <w:iCs/>
          <w:color w:val="000000" w:themeColor="text1"/>
          <w:sz w:val="16"/>
          <w:szCs w:val="16"/>
        </w:rPr>
      </w:pPr>
      <w:r>
        <w:rPr>
          <w:rFonts w:ascii="Arial" w:eastAsia="宋体" w:hAnsi="Arial" w:cs="Arial"/>
          <w:i/>
          <w:iCs/>
          <w:color w:val="000000" w:themeColor="text1"/>
          <w:sz w:val="16"/>
          <w:szCs w:val="16"/>
        </w:rPr>
        <w:t xml:space="preserve">Note: β, original regression coefficient; Prop, the proportion of mediation effect; IE, indirect effects; DE, direct effect; </w:t>
      </w:r>
      <w:r>
        <w:rPr>
          <w:rFonts w:ascii="Arial" w:hAnsi="Arial" w:cs="Arial"/>
          <w:i/>
          <w:iCs/>
          <w:sz w:val="16"/>
          <w:szCs w:val="16"/>
        </w:rPr>
        <w:t xml:space="preserve">WBC, white blood cell count; </w:t>
      </w:r>
      <w:proofErr w:type="spellStart"/>
      <w:r>
        <w:rPr>
          <w:rFonts w:ascii="Arial" w:hAnsi="Arial" w:cs="Arial"/>
          <w:i/>
          <w:iCs/>
          <w:sz w:val="16"/>
          <w:szCs w:val="16"/>
        </w:rPr>
        <w:t>hs</w:t>
      </w:r>
      <w:proofErr w:type="spellEnd"/>
      <w:r>
        <w:rPr>
          <w:rFonts w:ascii="Arial" w:hAnsi="Arial" w:cs="Arial"/>
          <w:i/>
          <w:iCs/>
          <w:sz w:val="16"/>
          <w:szCs w:val="16"/>
        </w:rPr>
        <w:t>-CRP, high-sensitivity C-reactive protein; HDL-c, high-density lipoprotein cholesterol; TG, triglycerides; GLU, glucose; BMI, body mass index.</w:t>
      </w:r>
      <w:r>
        <w:rPr>
          <w:rFonts w:ascii="Arial" w:eastAsia="宋体" w:hAnsi="Arial" w:cs="Arial"/>
          <w:i/>
          <w:iCs/>
          <w:color w:val="000000" w:themeColor="text1"/>
          <w:sz w:val="16"/>
          <w:szCs w:val="16"/>
        </w:rPr>
        <w:t xml:space="preserve"> </w:t>
      </w:r>
    </w:p>
    <w:p w14:paraId="7CE2E890" w14:textId="77777777" w:rsidR="00B56308" w:rsidRDefault="00970088">
      <w:pPr>
        <w:spacing w:after="0" w:line="276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Inflammatory markers: Mediation models were adjusted for age, sex, ethnicity, qualifications, average total household income before tax, hypertension, type 2 diabetes mellitus, hypercholesterolemia, use of ototoxic drugs, noisy workplace, and loud music exposure frequency.</w:t>
      </w:r>
    </w:p>
    <w:p w14:paraId="2800E6EE" w14:textId="77777777" w:rsidR="00B56308" w:rsidRDefault="00970088">
      <w:pPr>
        <w:spacing w:after="0" w:line="276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Metabolic markers: Mediation models were adjusted for age, sex, ethnicity, qualifications, average total household income before tax, hypertension, use of ototoxic drugs, noisy workplace, and loud music exposure frequency.</w:t>
      </w:r>
    </w:p>
    <w:p w14:paraId="0851980D" w14:textId="6EB69107" w:rsidR="00D8591B" w:rsidRDefault="00D8591B">
      <w:pPr>
        <w:spacing w:line="240" w:lineRule="auto"/>
        <w:jc w:val="both"/>
        <w:rPr>
          <w:rFonts w:ascii="Arial" w:hAnsi="Arial" w:cs="Arial" w:hint="eastAsia"/>
          <w:i/>
          <w:iCs/>
          <w:sz w:val="16"/>
          <w:szCs w:val="16"/>
        </w:rPr>
      </w:pPr>
    </w:p>
    <w:p w14:paraId="47AC056B" w14:textId="3F23FC97" w:rsidR="00A84397" w:rsidRDefault="00A84397">
      <w:pPr>
        <w:spacing w:line="240" w:lineRule="auto"/>
        <w:jc w:val="both"/>
        <w:rPr>
          <w:rFonts w:ascii="Arial" w:hAnsi="Arial" w:cs="Arial" w:hint="eastAsia"/>
          <w:i/>
          <w:iCs/>
          <w:sz w:val="16"/>
          <w:szCs w:val="16"/>
        </w:rPr>
      </w:pPr>
      <w:r>
        <w:rPr>
          <w:rFonts w:ascii="Arial" w:hAnsi="Arial" w:cs="Arial" w:hint="eastAsia"/>
          <w:i/>
          <w:iCs/>
          <w:noProof/>
          <w:sz w:val="16"/>
          <w:szCs w:val="16"/>
          <w14:ligatures w14:val="none"/>
        </w:rPr>
        <w:lastRenderedPageBreak/>
        <w:drawing>
          <wp:inline distT="0" distB="0" distL="0" distR="0" wp14:anchorId="629E0CE9" wp14:editId="3D6F37A5">
            <wp:extent cx="5023485" cy="8863330"/>
            <wp:effectExtent l="0" t="0" r="571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234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8AC7E" w14:textId="073AD64B" w:rsidR="00B56308" w:rsidRDefault="00970088">
      <w:pPr>
        <w:spacing w:line="276" w:lineRule="auto"/>
        <w:rPr>
          <w:rFonts w:ascii="Arial" w:eastAsia="宋体" w:hAnsi="Arial" w:cs="Arial"/>
          <w:b/>
          <w:bCs/>
        </w:rPr>
      </w:pPr>
      <w:bookmarkStart w:id="2" w:name="OLE_LINK35"/>
      <w:r w:rsidRPr="00C143BC">
        <w:rPr>
          <w:rFonts w:ascii="Arial" w:eastAsia="宋体" w:hAnsi="Arial" w:cs="Arial"/>
          <w:b/>
          <w:bCs/>
        </w:rPr>
        <w:lastRenderedPageBreak/>
        <w:t>Figure S4.</w:t>
      </w:r>
      <w:r w:rsidRPr="00C143BC">
        <w:t xml:space="preserve"> </w:t>
      </w:r>
      <w:r w:rsidRPr="00C143BC">
        <w:rPr>
          <w:rFonts w:ascii="Arial" w:eastAsia="宋体" w:hAnsi="Arial" w:cs="Arial"/>
          <w:b/>
          <w:bCs/>
          <w:sz w:val="20"/>
          <w:szCs w:val="20"/>
        </w:rPr>
        <w:t>S</w:t>
      </w:r>
      <w:r>
        <w:rPr>
          <w:rFonts w:ascii="Arial" w:eastAsia="宋体" w:hAnsi="Arial" w:cs="Arial"/>
          <w:b/>
          <w:bCs/>
          <w:sz w:val="20"/>
          <w:szCs w:val="20"/>
        </w:rPr>
        <w:t>ensitivity analyses of the mediating role of biomarkers in the associations between lifestyle and hearing impairment, using biomarker measurements from the first follow</w:t>
      </w:r>
      <w:r>
        <w:rPr>
          <w:rFonts w:ascii="Arial" w:eastAsia="宋体" w:hAnsi="Arial" w:cs="Arial"/>
          <w:b/>
          <w:bCs/>
          <w:sz w:val="20"/>
          <w:szCs w:val="20"/>
        </w:rPr>
        <w:noBreakHyphen/>
        <w:t>up assessment (2012–2013)</w:t>
      </w:r>
      <w:r>
        <w:rPr>
          <w:rFonts w:ascii="Arial" w:eastAsia="宋体" w:hAnsi="Arial" w:cs="Arial" w:hint="eastAsia"/>
          <w:b/>
          <w:bCs/>
          <w:sz w:val="20"/>
          <w:szCs w:val="20"/>
        </w:rPr>
        <w:t xml:space="preserve"> (</w:t>
      </w:r>
      <w:r w:rsidRPr="006757F6">
        <w:rPr>
          <w:rFonts w:ascii="Arial" w:eastAsia="宋体" w:hAnsi="Arial" w:cs="Arial"/>
          <w:b/>
          <w:bCs/>
          <w:i/>
          <w:iCs/>
          <w:sz w:val="20"/>
          <w:szCs w:val="20"/>
        </w:rPr>
        <w:t>N</w:t>
      </w:r>
      <w:r w:rsidR="00176389">
        <w:rPr>
          <w:rFonts w:ascii="Arial" w:eastAsia="宋体" w:hAnsi="Arial" w:cs="Arial"/>
          <w:b/>
          <w:bCs/>
          <w:sz w:val="20"/>
          <w:szCs w:val="20"/>
        </w:rPr>
        <w:t xml:space="preserve"> </w:t>
      </w:r>
      <w:r>
        <w:rPr>
          <w:rFonts w:ascii="Arial" w:eastAsia="宋体" w:hAnsi="Arial" w:cs="Arial" w:hint="eastAsia"/>
          <w:b/>
          <w:bCs/>
          <w:sz w:val="20"/>
          <w:szCs w:val="20"/>
        </w:rPr>
        <w:t>=</w:t>
      </w:r>
      <w:r w:rsidR="00176389">
        <w:rPr>
          <w:rFonts w:ascii="Arial" w:eastAsia="宋体" w:hAnsi="Arial" w:cs="Arial"/>
          <w:b/>
          <w:bCs/>
          <w:sz w:val="20"/>
          <w:szCs w:val="20"/>
        </w:rPr>
        <w:t xml:space="preserve"> </w:t>
      </w:r>
      <w:r>
        <w:rPr>
          <w:rFonts w:ascii="Arial" w:eastAsia="宋体" w:hAnsi="Arial" w:cs="Arial" w:hint="eastAsia"/>
          <w:b/>
          <w:bCs/>
          <w:sz w:val="20"/>
          <w:szCs w:val="20"/>
        </w:rPr>
        <w:t>11,770).</w:t>
      </w:r>
    </w:p>
    <w:bookmarkEnd w:id="2"/>
    <w:p w14:paraId="03BE44BB" w14:textId="77777777" w:rsidR="00B56308" w:rsidRDefault="00970088">
      <w:pPr>
        <w:spacing w:after="0" w:line="276" w:lineRule="auto"/>
        <w:jc w:val="both"/>
        <w:rPr>
          <w:rFonts w:ascii="Arial" w:eastAsia="宋体" w:hAnsi="Arial" w:cs="Arial"/>
          <w:i/>
          <w:iCs/>
          <w:color w:val="000000" w:themeColor="text1"/>
          <w:sz w:val="16"/>
          <w:szCs w:val="16"/>
        </w:rPr>
      </w:pPr>
      <w:r>
        <w:rPr>
          <w:rFonts w:ascii="Arial" w:eastAsia="宋体" w:hAnsi="Arial" w:cs="Arial"/>
          <w:i/>
          <w:iCs/>
          <w:color w:val="000000" w:themeColor="text1"/>
          <w:sz w:val="16"/>
          <w:szCs w:val="16"/>
        </w:rPr>
        <w:t xml:space="preserve">Note: β, original regression coefficient; Prop, the proportion of mediation effect; IE, indirect effects; DE, direct effect; </w:t>
      </w:r>
      <w:r>
        <w:rPr>
          <w:rFonts w:ascii="Arial" w:hAnsi="Arial" w:cs="Arial"/>
          <w:i/>
          <w:iCs/>
          <w:sz w:val="16"/>
          <w:szCs w:val="16"/>
        </w:rPr>
        <w:t xml:space="preserve">WBC, white blood cell count; </w:t>
      </w:r>
      <w:proofErr w:type="spellStart"/>
      <w:r>
        <w:rPr>
          <w:rFonts w:ascii="Arial" w:hAnsi="Arial" w:cs="Arial"/>
          <w:i/>
          <w:iCs/>
          <w:sz w:val="16"/>
          <w:szCs w:val="16"/>
        </w:rPr>
        <w:t>hs</w:t>
      </w:r>
      <w:proofErr w:type="spellEnd"/>
      <w:r>
        <w:rPr>
          <w:rFonts w:ascii="Arial" w:hAnsi="Arial" w:cs="Arial"/>
          <w:i/>
          <w:iCs/>
          <w:sz w:val="16"/>
          <w:szCs w:val="16"/>
        </w:rPr>
        <w:t>-CRP, high-sensitivity C-reactive protein; HDL-c, high-density lipoprotein cholesterol; TG, triglycerides; GLU, glucose; BMI, body mass index.</w:t>
      </w:r>
      <w:r>
        <w:rPr>
          <w:rFonts w:ascii="Arial" w:eastAsia="宋体" w:hAnsi="Arial" w:cs="Arial"/>
          <w:i/>
          <w:iCs/>
          <w:color w:val="000000" w:themeColor="text1"/>
          <w:sz w:val="16"/>
          <w:szCs w:val="16"/>
        </w:rPr>
        <w:t xml:space="preserve"> </w:t>
      </w:r>
    </w:p>
    <w:p w14:paraId="355F5D3A" w14:textId="0F67D5D9" w:rsidR="00B56308" w:rsidRDefault="00970088">
      <w:pPr>
        <w:spacing w:after="0" w:line="276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eastAsia="宋体" w:hAnsi="Arial" w:cs="Arial"/>
          <w:i/>
          <w:iCs/>
          <w:color w:val="000000" w:themeColor="text1"/>
          <w:sz w:val="16"/>
          <w:szCs w:val="16"/>
        </w:rPr>
        <w:t>The branch width in the Sankey diagram represents the absolute value of the indirect effect (|β</w:t>
      </w:r>
      <w:r>
        <w:rPr>
          <w:rFonts w:ascii="Arial" w:eastAsia="宋体" w:hAnsi="Arial" w:cs="Arial"/>
          <w:i/>
          <w:iCs/>
          <w:color w:val="000000" w:themeColor="text1"/>
          <w:sz w:val="16"/>
          <w:szCs w:val="16"/>
          <w:vertAlign w:val="subscript"/>
        </w:rPr>
        <w:t>IE</w:t>
      </w:r>
      <w:r>
        <w:rPr>
          <w:rFonts w:ascii="Arial" w:eastAsia="宋体" w:hAnsi="Arial" w:cs="Arial"/>
          <w:i/>
          <w:iCs/>
          <w:color w:val="000000" w:themeColor="text1"/>
          <w:sz w:val="16"/>
          <w:szCs w:val="16"/>
        </w:rPr>
        <w:t>|). The pathway between a lifestyle factor and a biomarker is considered to show a significant mediation effect (FDR</w:t>
      </w:r>
      <w:r>
        <w:rPr>
          <w:rFonts w:ascii="Arial" w:eastAsia="宋体" w:hAnsi="Arial" w:cs="Arial"/>
          <w:i/>
          <w:iCs/>
          <w:color w:val="000000" w:themeColor="text1"/>
          <w:sz w:val="16"/>
          <w:szCs w:val="16"/>
        </w:rPr>
        <w:noBreakHyphen/>
        <w:t>adjusted P &lt; 0.05) only if both the lifestyle factor and the biomarker are marked wi</w:t>
      </w:r>
      <w:r w:rsidRPr="00C143BC">
        <w:rPr>
          <w:rFonts w:ascii="Arial" w:eastAsia="宋体" w:hAnsi="Arial" w:cs="Arial"/>
          <w:i/>
          <w:iCs/>
          <w:color w:val="000000" w:themeColor="text1"/>
          <w:sz w:val="16"/>
          <w:szCs w:val="16"/>
        </w:rPr>
        <w:t>th “</w:t>
      </w:r>
      <w:r w:rsidRPr="00C143BC">
        <w:rPr>
          <w:rFonts w:ascii="Times New Roman" w:eastAsia="宋体" w:hAnsi="Times New Roman" w:cs="Times New Roman"/>
          <w:i/>
          <w:iCs/>
          <w:color w:val="000000" w:themeColor="text1"/>
          <w:sz w:val="16"/>
          <w:szCs w:val="16"/>
        </w:rPr>
        <w:t>*</w:t>
      </w:r>
      <w:r w:rsidRPr="00C143BC">
        <w:rPr>
          <w:rFonts w:ascii="Arial" w:eastAsia="宋体" w:hAnsi="Arial" w:cs="Arial"/>
          <w:i/>
          <w:iCs/>
          <w:color w:val="000000" w:themeColor="text1"/>
          <w:sz w:val="16"/>
          <w:szCs w:val="16"/>
        </w:rPr>
        <w:t>”.</w:t>
      </w:r>
    </w:p>
    <w:p w14:paraId="268842C1" w14:textId="77777777" w:rsidR="00B56308" w:rsidRDefault="00970088">
      <w:pPr>
        <w:spacing w:after="0" w:line="276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Inflammatory markers: Mediation models were adjusted for age, sex, ethnicity, qualifications, average total household income before tax, hypertension, type 2 diabetes mellitus, hypercholesterolemia, use of ototoxic drugs, noisy workplace, and loud music exposure frequency.</w:t>
      </w:r>
    </w:p>
    <w:p w14:paraId="5475A0EE" w14:textId="77777777" w:rsidR="00B56308" w:rsidRDefault="00970088">
      <w:pPr>
        <w:spacing w:after="0" w:line="276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Metabolic markers: Mediation models were adjusted for age, sex, ethnicity, qualifications, average total household income before tax, hypertension, use of ototoxic drugs, noisy workplace, and loud music exposure frequency.</w:t>
      </w:r>
    </w:p>
    <w:sectPr w:rsidR="00B563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2933B" w14:textId="77777777" w:rsidR="00A940C9" w:rsidRDefault="00A940C9">
      <w:pPr>
        <w:spacing w:line="240" w:lineRule="auto"/>
      </w:pPr>
      <w:r>
        <w:separator/>
      </w:r>
    </w:p>
  </w:endnote>
  <w:endnote w:type="continuationSeparator" w:id="0">
    <w:p w14:paraId="3E50ABE3" w14:textId="77777777" w:rsidR="00A940C9" w:rsidRDefault="00A940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D1B81" w14:textId="77777777" w:rsidR="00A940C9" w:rsidRDefault="00A940C9">
      <w:pPr>
        <w:spacing w:after="0"/>
      </w:pPr>
      <w:r>
        <w:separator/>
      </w:r>
    </w:p>
  </w:footnote>
  <w:footnote w:type="continuationSeparator" w:id="0">
    <w:p w14:paraId="39AE1983" w14:textId="77777777" w:rsidR="00A940C9" w:rsidRDefault="00A940C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94942"/>
    <w:multiLevelType w:val="hybridMultilevel"/>
    <w:tmpl w:val="A5BA49D0"/>
    <w:lvl w:ilvl="0" w:tplc="DF0209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9BF"/>
    <w:rsid w:val="00005C9B"/>
    <w:rsid w:val="00081966"/>
    <w:rsid w:val="001069BF"/>
    <w:rsid w:val="00111486"/>
    <w:rsid w:val="001564DE"/>
    <w:rsid w:val="00176389"/>
    <w:rsid w:val="002A02A3"/>
    <w:rsid w:val="00395EF5"/>
    <w:rsid w:val="00405186"/>
    <w:rsid w:val="004274B8"/>
    <w:rsid w:val="00502B1E"/>
    <w:rsid w:val="00522D4E"/>
    <w:rsid w:val="005841C7"/>
    <w:rsid w:val="00602303"/>
    <w:rsid w:val="006757F6"/>
    <w:rsid w:val="0069114D"/>
    <w:rsid w:val="006A21CB"/>
    <w:rsid w:val="006C4602"/>
    <w:rsid w:val="0071108F"/>
    <w:rsid w:val="00723371"/>
    <w:rsid w:val="007A1EE2"/>
    <w:rsid w:val="007A2DAA"/>
    <w:rsid w:val="008122AF"/>
    <w:rsid w:val="00934165"/>
    <w:rsid w:val="00970088"/>
    <w:rsid w:val="009A7B34"/>
    <w:rsid w:val="009D661C"/>
    <w:rsid w:val="00A27BC0"/>
    <w:rsid w:val="00A84397"/>
    <w:rsid w:val="00A940C9"/>
    <w:rsid w:val="00B223FE"/>
    <w:rsid w:val="00B56308"/>
    <w:rsid w:val="00C143BC"/>
    <w:rsid w:val="00CC406A"/>
    <w:rsid w:val="00CD49A8"/>
    <w:rsid w:val="00D8591B"/>
    <w:rsid w:val="00DF3448"/>
    <w:rsid w:val="00E461C5"/>
    <w:rsid w:val="00E91F59"/>
    <w:rsid w:val="00FD1F6A"/>
    <w:rsid w:val="00FE116A"/>
    <w:rsid w:val="00FE3644"/>
    <w:rsid w:val="3767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104A260"/>
  <w14:defaultImageDpi w14:val="330"/>
  <w15:docId w15:val="{20B79CBE-EE0E-426F-A4E5-69FA05DA8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 w:line="278" w:lineRule="auto"/>
    </w:pPr>
    <w:rPr>
      <w:kern w:val="2"/>
      <w:sz w:val="22"/>
      <w:szCs w:val="24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"/>
    <w:next w:val="a"/>
    <w:link w:val="ac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qFormat/>
    <w:rPr>
      <w:i/>
      <w:iCs/>
      <w:color w:val="404040" w:themeColor="text1" w:themeTint="BF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">
    <w:name w:val="明显引用 字符"/>
    <w:basedOn w:val="a0"/>
    <w:link w:val="ae"/>
    <w:uiPriority w:val="30"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character" w:styleId="af0">
    <w:name w:val="annotation reference"/>
    <w:basedOn w:val="a0"/>
    <w:uiPriority w:val="99"/>
    <w:semiHidden/>
    <w:unhideWhenUsed/>
    <w:rsid w:val="00CD49A8"/>
    <w:rPr>
      <w:sz w:val="21"/>
      <w:szCs w:val="21"/>
    </w:rPr>
  </w:style>
  <w:style w:type="paragraph" w:styleId="af1">
    <w:name w:val="annotation text"/>
    <w:basedOn w:val="a"/>
    <w:link w:val="af2"/>
    <w:uiPriority w:val="99"/>
    <w:unhideWhenUsed/>
    <w:rsid w:val="00CD49A8"/>
  </w:style>
  <w:style w:type="character" w:customStyle="1" w:styleId="af2">
    <w:name w:val="批注文字 字符"/>
    <w:basedOn w:val="a0"/>
    <w:link w:val="af1"/>
    <w:uiPriority w:val="99"/>
    <w:rsid w:val="00CD49A8"/>
    <w:rPr>
      <w:kern w:val="2"/>
      <w:sz w:val="22"/>
      <w:szCs w:val="24"/>
      <w14:ligatures w14:val="standardContextual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D49A8"/>
    <w:rPr>
      <w:b/>
      <w:bCs/>
    </w:rPr>
  </w:style>
  <w:style w:type="character" w:customStyle="1" w:styleId="af4">
    <w:name w:val="批注主题 字符"/>
    <w:basedOn w:val="af2"/>
    <w:link w:val="af3"/>
    <w:uiPriority w:val="99"/>
    <w:semiHidden/>
    <w:rsid w:val="00CD49A8"/>
    <w:rPr>
      <w:b/>
      <w:bCs/>
      <w:kern w:val="2"/>
      <w:sz w:val="22"/>
      <w:szCs w:val="24"/>
      <w14:ligatures w14:val="standardContextual"/>
    </w:rPr>
  </w:style>
  <w:style w:type="paragraph" w:customStyle="1" w:styleId="EndNoteBibliography">
    <w:name w:val="EndNote Bibliography"/>
    <w:basedOn w:val="a"/>
    <w:link w:val="EndNoteBibliography0"/>
    <w:rsid w:val="00CD49A8"/>
    <w:pPr>
      <w:spacing w:line="240" w:lineRule="auto"/>
    </w:pPr>
    <w:rPr>
      <w:rFonts w:ascii="等线" w:eastAsia="等线" w:hAnsi="等线"/>
      <w:noProof/>
    </w:rPr>
  </w:style>
  <w:style w:type="character" w:customStyle="1" w:styleId="EndNoteBibliography0">
    <w:name w:val="EndNote Bibliography 字符"/>
    <w:basedOn w:val="a0"/>
    <w:link w:val="EndNoteBibliography"/>
    <w:rsid w:val="00CD49A8"/>
    <w:rPr>
      <w:rFonts w:ascii="等线" w:eastAsia="等线" w:hAnsi="等线"/>
      <w:noProof/>
      <w:kern w:val="2"/>
      <w:sz w:val="22"/>
      <w:szCs w:val="24"/>
      <w14:ligatures w14:val="standardContextual"/>
    </w:rPr>
  </w:style>
  <w:style w:type="paragraph" w:styleId="af5">
    <w:name w:val="Revision"/>
    <w:hidden/>
    <w:uiPriority w:val="99"/>
    <w:semiHidden/>
    <w:rsid w:val="00D8591B"/>
    <w:rPr>
      <w:kern w:val="2"/>
      <w:sz w:val="2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502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润华 李</dc:creator>
  <cp:lastModifiedBy>Administrator</cp:lastModifiedBy>
  <cp:revision>5</cp:revision>
  <dcterms:created xsi:type="dcterms:W3CDTF">2026-05-18T01:11:00Z</dcterms:created>
  <dcterms:modified xsi:type="dcterms:W3CDTF">2026-05-18T01:15:00Z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eyJoZGlkIjoiZjFmZWIzNDg2MmIzZjExOTIzMmViNTBmYTMwYTk0ZWYiLCJ1c2VySWQiOiI0MDE0MTgzMDMifQ==</vt:lpwstr>
  </property>
  <property fmtid="{D5CDD505-2E9C-101B-9397-08002B2CF9AE}" pid="3" name="KSOProductBuildVer">
    <vt:lpwstr>2052-12.1.0.25865</vt:lpwstr>
  </property>
  <property fmtid="{D5CDD505-2E9C-101B-9397-08002B2CF9AE}" pid="4" name="ICV">
    <vt:lpwstr>DE7014738F004302B76D572CDA6D8884_12</vt:lpwstr>
  </property>
</Properties>
</file>