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9ACBFD">
      <w:pPr>
        <w:spacing w:line="240" w:lineRule="auto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>
        <w:rPr>
          <w:rFonts w:ascii="Arial" w:hAnsi="Arial" w:cs="Arial"/>
          <w:b/>
          <w:bCs/>
          <w:kern w:val="0"/>
          <w:sz w:val="20"/>
          <w:szCs w:val="20"/>
        </w:rPr>
        <w:t xml:space="preserve">Supplementary </w:t>
      </w:r>
      <w:r>
        <w:rPr>
          <w:rFonts w:hint="eastAsia" w:ascii="Arial" w:hAnsi="Arial" w:cs="Arial"/>
          <w:b/>
          <w:bCs/>
          <w:kern w:val="0"/>
          <w:sz w:val="20"/>
          <w:szCs w:val="20"/>
        </w:rPr>
        <w:t>Table</w:t>
      </w:r>
      <w:r>
        <w:rPr>
          <w:rFonts w:ascii="Arial" w:hAnsi="Arial" w:cs="Arial"/>
          <w:b/>
          <w:bCs/>
          <w:kern w:val="0"/>
          <w:sz w:val="20"/>
          <w:szCs w:val="20"/>
        </w:rPr>
        <w:t>s</w:t>
      </w:r>
      <w:r>
        <w:rPr>
          <w:rFonts w:hint="eastAsia" w:ascii="Arial" w:hAnsi="Arial" w:cs="Arial"/>
          <w:b/>
          <w:bCs/>
          <w:kern w:val="0"/>
          <w:sz w:val="20"/>
          <w:szCs w:val="20"/>
        </w:rPr>
        <w:t xml:space="preserve"> of</w:t>
      </w:r>
    </w:p>
    <w:p w14:paraId="5A145529">
      <w:pPr>
        <w:pStyle w:val="5"/>
        <w:widowControl/>
        <w:ind w:left="0" w:firstLine="0" w:firstLineChars="0"/>
        <w:jc w:val="center"/>
        <w:rPr>
          <w:rFonts w:hint="default" w:ascii="Times New Roman" w:hAnsi="Times New Roman" w:eastAsia="黑体" w:cs="Times New Roman"/>
          <w:b/>
          <w:bCs/>
          <w:sz w:val="22"/>
          <w:szCs w:val="22"/>
          <w:lang w:val="en-US"/>
        </w:rPr>
      </w:pPr>
      <w:r>
        <w:rPr>
          <w:rFonts w:hint="default" w:ascii="Times New Roman" w:hAnsi="Times New Roman" w:eastAsia="黑体" w:cs="Times New Roman"/>
          <w:b/>
          <w:bCs/>
          <w:sz w:val="22"/>
          <w:szCs w:val="22"/>
          <w:lang w:val="en-US"/>
        </w:rPr>
        <w:t>Exhaled Nitric Oxide in Obstructive Sleep Apnea: Compartment-Specific Associations and Incremental Predictive Value</w:t>
      </w:r>
    </w:p>
    <w:p w14:paraId="286F14B4">
      <w:pPr>
        <w:pStyle w:val="5"/>
        <w:widowControl/>
        <w:ind w:left="0" w:firstLine="0" w:firstLineChars="0"/>
        <w:jc w:val="center"/>
        <w:rPr>
          <w:rFonts w:hint="default" w:ascii="Times New Roman" w:hAnsi="Times New Roman" w:eastAsia="黑体" w:cs="Times New Roman"/>
          <w:b/>
          <w:bCs/>
          <w:sz w:val="22"/>
          <w:szCs w:val="22"/>
          <w:lang w:val="en-US"/>
        </w:rPr>
      </w:pPr>
      <w:r>
        <w:rPr>
          <w:rFonts w:hint="default" w:ascii="Times New Roman" w:hAnsi="Times New Roman" w:eastAsia="黑体" w:cs="Times New Roman"/>
          <w:b/>
          <w:bCs/>
          <w:sz w:val="22"/>
          <w:szCs w:val="22"/>
          <w:lang w:val="en-US"/>
        </w:rPr>
        <w:t>(Tongshan Qiu et al.)</w:t>
      </w:r>
    </w:p>
    <w:p w14:paraId="4B5F13D5">
      <w:pPr>
        <w:pStyle w:val="5"/>
        <w:widowControl/>
        <w:ind w:left="0" w:firstLine="0" w:firstLineChars="0"/>
        <w:rPr>
          <w:rFonts w:hint="default" w:ascii="Times New Roman" w:hAnsi="Times New Roman" w:eastAsia="黑体" w:cs="Times New Roman"/>
          <w:b/>
          <w:bCs/>
          <w:sz w:val="22"/>
          <w:szCs w:val="22"/>
          <w:lang w:val="en-US"/>
        </w:rPr>
      </w:pPr>
      <w:r>
        <w:rPr>
          <w:rFonts w:hint="default" w:ascii="Times New Roman" w:hAnsi="Times New Roman" w:eastAsia="黑体" w:cs="Times New Roman"/>
          <w:b/>
          <w:bCs/>
          <w:sz w:val="22"/>
          <w:szCs w:val="22"/>
          <w:lang w:val="en-US"/>
        </w:rPr>
        <w:t xml:space="preserve">Table S1. Incremental predictive value </w:t>
      </w:r>
      <w:bookmarkStart w:id="0" w:name="_GoBack"/>
      <w:bookmarkEnd w:id="0"/>
      <w:r>
        <w:rPr>
          <w:rFonts w:hint="default" w:ascii="Times New Roman" w:hAnsi="Times New Roman" w:eastAsia="黑体" w:cs="Times New Roman"/>
          <w:b/>
          <w:bCs/>
          <w:sz w:val="22"/>
          <w:szCs w:val="22"/>
          <w:lang w:val="en-US"/>
        </w:rPr>
        <w:t>of FeNO50 for hypoxemia prediction across seven algorithms</w:t>
      </w:r>
    </w:p>
    <w:tbl>
      <w:tblPr>
        <w:tblStyle w:val="7"/>
        <w:tblW w:w="97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"/>
        <w:gridCol w:w="920"/>
        <w:gridCol w:w="1134"/>
        <w:gridCol w:w="713"/>
        <w:gridCol w:w="1128"/>
        <w:gridCol w:w="991"/>
        <w:gridCol w:w="991"/>
        <w:gridCol w:w="992"/>
        <w:gridCol w:w="1983"/>
      </w:tblGrid>
      <w:tr w14:paraId="77B8A5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</w:trPr>
        <w:tc>
          <w:tcPr>
            <w:tcW w:w="922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63CC16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Model</w:t>
            </w:r>
          </w:p>
        </w:tc>
        <w:tc>
          <w:tcPr>
            <w:tcW w:w="921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1DE6BD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Base ROC-AUC</w:t>
            </w:r>
          </w:p>
        </w:tc>
        <w:tc>
          <w:tcPr>
            <w:tcW w:w="1135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2DBF46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FeNO50-augmented ROC-AUC</w:t>
            </w:r>
          </w:p>
        </w:tc>
        <w:tc>
          <w:tcPr>
            <w:tcW w:w="714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4B710A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ΔAUC (95% CI)</w:t>
            </w:r>
          </w:p>
        </w:tc>
        <w:tc>
          <w:tcPr>
            <w:tcW w:w="1129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14A78E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DeLong P value</w:t>
            </w:r>
          </w:p>
        </w:tc>
        <w:tc>
          <w:tcPr>
            <w:tcW w:w="992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1C29BC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Base Brier score</w:t>
            </w:r>
          </w:p>
        </w:tc>
        <w:tc>
          <w:tcPr>
            <w:tcW w:w="992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2FFE2B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FeNO50-augmented Brier score</w:t>
            </w:r>
          </w:p>
        </w:tc>
        <w:tc>
          <w:tcPr>
            <w:tcW w:w="993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4D627E2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Base specificity at 90% sensitivity</w:t>
            </w:r>
          </w:p>
        </w:tc>
        <w:tc>
          <w:tcPr>
            <w:tcW w:w="1984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40B343F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FeNO50-augmented specificity at 90% sensitivity</w:t>
            </w:r>
          </w:p>
        </w:tc>
      </w:tr>
      <w:tr w14:paraId="2A4AB6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</w:trPr>
        <w:tc>
          <w:tcPr>
            <w:tcW w:w="922" w:type="dxa"/>
            <w:tcBorders>
              <w:top w:val="single" w:color="auto" w:sz="12" w:space="0"/>
              <w:left w:val="nil"/>
              <w:bottom w:val="nil"/>
              <w:right w:val="nil"/>
            </w:tcBorders>
            <w:shd w:val="clear"/>
            <w:vAlign w:val="center"/>
          </w:tcPr>
          <w:p w14:paraId="18D1EB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Logistic regression</w:t>
            </w:r>
          </w:p>
        </w:tc>
        <w:tc>
          <w:tcPr>
            <w:tcW w:w="921" w:type="dxa"/>
            <w:tcBorders>
              <w:top w:val="single" w:color="auto" w:sz="12" w:space="0"/>
              <w:left w:val="nil"/>
              <w:bottom w:val="nil"/>
              <w:right w:val="nil"/>
            </w:tcBorders>
            <w:shd w:val="clear"/>
            <w:vAlign w:val="center"/>
          </w:tcPr>
          <w:p w14:paraId="0FC04A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0.826</w:t>
            </w:r>
          </w:p>
        </w:tc>
        <w:tc>
          <w:tcPr>
            <w:tcW w:w="1135" w:type="dxa"/>
            <w:tcBorders>
              <w:top w:val="single" w:color="auto" w:sz="12" w:space="0"/>
              <w:left w:val="nil"/>
              <w:bottom w:val="nil"/>
              <w:right w:val="nil"/>
            </w:tcBorders>
            <w:shd w:val="clear"/>
            <w:vAlign w:val="center"/>
          </w:tcPr>
          <w:p w14:paraId="2E2D24F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0.821</w:t>
            </w:r>
          </w:p>
        </w:tc>
        <w:tc>
          <w:tcPr>
            <w:tcW w:w="714" w:type="dxa"/>
            <w:tcBorders>
              <w:top w:val="single" w:color="auto" w:sz="12" w:space="0"/>
              <w:left w:val="nil"/>
              <w:bottom w:val="nil"/>
              <w:right w:val="nil"/>
            </w:tcBorders>
            <w:shd w:val="clear"/>
            <w:vAlign w:val="center"/>
          </w:tcPr>
          <w:p w14:paraId="12A657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−0.005 (−0.012 to 0.002)</w:t>
            </w:r>
          </w:p>
        </w:tc>
        <w:tc>
          <w:tcPr>
            <w:tcW w:w="1129" w:type="dxa"/>
            <w:tcBorders>
              <w:top w:val="single" w:color="auto" w:sz="12" w:space="0"/>
              <w:left w:val="nil"/>
              <w:bottom w:val="nil"/>
              <w:right w:val="nil"/>
            </w:tcBorders>
            <w:shd w:val="clear"/>
            <w:vAlign w:val="center"/>
          </w:tcPr>
          <w:p w14:paraId="5617251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0.185</w:t>
            </w:r>
          </w:p>
        </w:tc>
        <w:tc>
          <w:tcPr>
            <w:tcW w:w="992" w:type="dxa"/>
            <w:tcBorders>
              <w:top w:val="single" w:color="auto" w:sz="12" w:space="0"/>
              <w:left w:val="nil"/>
              <w:bottom w:val="nil"/>
              <w:right w:val="nil"/>
            </w:tcBorders>
            <w:shd w:val="clear"/>
            <w:vAlign w:val="center"/>
          </w:tcPr>
          <w:p w14:paraId="31A9CEC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0.175</w:t>
            </w:r>
          </w:p>
        </w:tc>
        <w:tc>
          <w:tcPr>
            <w:tcW w:w="992" w:type="dxa"/>
            <w:tcBorders>
              <w:top w:val="single" w:color="auto" w:sz="12" w:space="0"/>
              <w:left w:val="nil"/>
              <w:bottom w:val="nil"/>
              <w:right w:val="nil"/>
            </w:tcBorders>
            <w:shd w:val="clear"/>
            <w:vAlign w:val="center"/>
          </w:tcPr>
          <w:p w14:paraId="435B6D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0.176</w:t>
            </w:r>
          </w:p>
        </w:tc>
        <w:tc>
          <w:tcPr>
            <w:tcW w:w="993" w:type="dxa"/>
            <w:tcBorders>
              <w:top w:val="single" w:color="auto" w:sz="12" w:space="0"/>
              <w:left w:val="nil"/>
              <w:bottom w:val="nil"/>
              <w:right w:val="nil"/>
            </w:tcBorders>
            <w:shd w:val="clear"/>
            <w:vAlign w:val="center"/>
          </w:tcPr>
          <w:p w14:paraId="320BFE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0.479</w:t>
            </w:r>
          </w:p>
        </w:tc>
        <w:tc>
          <w:tcPr>
            <w:tcW w:w="1984" w:type="dxa"/>
            <w:tcBorders>
              <w:top w:val="single" w:color="auto" w:sz="12" w:space="0"/>
              <w:left w:val="nil"/>
              <w:bottom w:val="nil"/>
              <w:right w:val="nil"/>
            </w:tcBorders>
            <w:shd w:val="clear"/>
            <w:vAlign w:val="center"/>
          </w:tcPr>
          <w:p w14:paraId="69A6FB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0.479</w:t>
            </w:r>
          </w:p>
        </w:tc>
      </w:tr>
      <w:tr w14:paraId="3EBCB6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</w:trPr>
        <w:tc>
          <w:tcPr>
            <w:tcW w:w="922" w:type="dxa"/>
            <w:shd w:val="clear"/>
            <w:vAlign w:val="center"/>
          </w:tcPr>
          <w:p w14:paraId="1AC6DF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Random forest</w:t>
            </w:r>
          </w:p>
        </w:tc>
        <w:tc>
          <w:tcPr>
            <w:tcW w:w="921" w:type="dxa"/>
            <w:shd w:val="clear"/>
            <w:vAlign w:val="center"/>
          </w:tcPr>
          <w:p w14:paraId="21180B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0.822</w:t>
            </w:r>
          </w:p>
        </w:tc>
        <w:tc>
          <w:tcPr>
            <w:tcW w:w="1135" w:type="dxa"/>
            <w:shd w:val="clear"/>
            <w:vAlign w:val="center"/>
          </w:tcPr>
          <w:p w14:paraId="451EB1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0.819</w:t>
            </w:r>
          </w:p>
        </w:tc>
        <w:tc>
          <w:tcPr>
            <w:tcW w:w="714" w:type="dxa"/>
            <w:shd w:val="clear"/>
            <w:vAlign w:val="center"/>
          </w:tcPr>
          <w:p w14:paraId="04B0CC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−0.003 (−0.014 to 0.008)</w:t>
            </w:r>
          </w:p>
        </w:tc>
        <w:tc>
          <w:tcPr>
            <w:tcW w:w="1129" w:type="dxa"/>
            <w:shd w:val="clear"/>
            <w:vAlign w:val="center"/>
          </w:tcPr>
          <w:p w14:paraId="1BE8B27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0.590</w:t>
            </w:r>
          </w:p>
        </w:tc>
        <w:tc>
          <w:tcPr>
            <w:tcW w:w="992" w:type="dxa"/>
            <w:shd w:val="clear"/>
            <w:vAlign w:val="center"/>
          </w:tcPr>
          <w:p w14:paraId="2FD226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0.151</w:t>
            </w:r>
          </w:p>
        </w:tc>
        <w:tc>
          <w:tcPr>
            <w:tcW w:w="992" w:type="dxa"/>
            <w:shd w:val="clear"/>
            <w:vAlign w:val="center"/>
          </w:tcPr>
          <w:p w14:paraId="74E088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0.144</w:t>
            </w:r>
          </w:p>
        </w:tc>
        <w:tc>
          <w:tcPr>
            <w:tcW w:w="993" w:type="dxa"/>
            <w:shd w:val="clear"/>
            <w:vAlign w:val="center"/>
          </w:tcPr>
          <w:p w14:paraId="341A8DA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0.489</w:t>
            </w:r>
          </w:p>
        </w:tc>
        <w:tc>
          <w:tcPr>
            <w:tcW w:w="1984" w:type="dxa"/>
            <w:shd w:val="clear"/>
            <w:vAlign w:val="center"/>
          </w:tcPr>
          <w:p w14:paraId="0A42C3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0.511</w:t>
            </w:r>
          </w:p>
        </w:tc>
      </w:tr>
      <w:tr w14:paraId="6F8C4A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</w:trPr>
        <w:tc>
          <w:tcPr>
            <w:tcW w:w="922" w:type="dxa"/>
            <w:shd w:val="clear"/>
            <w:vAlign w:val="center"/>
          </w:tcPr>
          <w:p w14:paraId="525B5FC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Balanced random forest</w:t>
            </w:r>
          </w:p>
        </w:tc>
        <w:tc>
          <w:tcPr>
            <w:tcW w:w="921" w:type="dxa"/>
            <w:shd w:val="clear"/>
            <w:vAlign w:val="center"/>
          </w:tcPr>
          <w:p w14:paraId="22E91C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0.822</w:t>
            </w:r>
          </w:p>
        </w:tc>
        <w:tc>
          <w:tcPr>
            <w:tcW w:w="1135" w:type="dxa"/>
            <w:shd w:val="clear"/>
            <w:vAlign w:val="center"/>
          </w:tcPr>
          <w:p w14:paraId="35505F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0.824</w:t>
            </w:r>
          </w:p>
        </w:tc>
        <w:tc>
          <w:tcPr>
            <w:tcW w:w="714" w:type="dxa"/>
            <w:shd w:val="clear"/>
            <w:vAlign w:val="center"/>
          </w:tcPr>
          <w:p w14:paraId="1BBF2A7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0.002 (−0.005 to 0.009)</w:t>
            </w:r>
          </w:p>
        </w:tc>
        <w:tc>
          <w:tcPr>
            <w:tcW w:w="1129" w:type="dxa"/>
            <w:shd w:val="clear"/>
            <w:vAlign w:val="center"/>
          </w:tcPr>
          <w:p w14:paraId="21DF68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0.524</w:t>
            </w:r>
          </w:p>
        </w:tc>
        <w:tc>
          <w:tcPr>
            <w:tcW w:w="992" w:type="dxa"/>
            <w:shd w:val="clear"/>
            <w:vAlign w:val="center"/>
          </w:tcPr>
          <w:p w14:paraId="407C20C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0.162</w:t>
            </w:r>
          </w:p>
        </w:tc>
        <w:tc>
          <w:tcPr>
            <w:tcW w:w="992" w:type="dxa"/>
            <w:shd w:val="clear"/>
            <w:vAlign w:val="center"/>
          </w:tcPr>
          <w:p w14:paraId="747EE6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0.159</w:t>
            </w:r>
          </w:p>
        </w:tc>
        <w:tc>
          <w:tcPr>
            <w:tcW w:w="993" w:type="dxa"/>
            <w:shd w:val="clear"/>
            <w:vAlign w:val="center"/>
          </w:tcPr>
          <w:p w14:paraId="3DD04ED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0.458</w:t>
            </w:r>
          </w:p>
        </w:tc>
        <w:tc>
          <w:tcPr>
            <w:tcW w:w="1984" w:type="dxa"/>
            <w:shd w:val="clear"/>
            <w:vAlign w:val="center"/>
          </w:tcPr>
          <w:p w14:paraId="4CA2BB1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0.500</w:t>
            </w:r>
          </w:p>
        </w:tc>
      </w:tr>
      <w:tr w14:paraId="41567D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</w:trPr>
        <w:tc>
          <w:tcPr>
            <w:tcW w:w="922" w:type="dxa"/>
            <w:shd w:val="clear"/>
            <w:vAlign w:val="center"/>
          </w:tcPr>
          <w:p w14:paraId="200EB4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XGBoost</w:t>
            </w:r>
          </w:p>
        </w:tc>
        <w:tc>
          <w:tcPr>
            <w:tcW w:w="921" w:type="dxa"/>
            <w:shd w:val="clear"/>
            <w:vAlign w:val="center"/>
          </w:tcPr>
          <w:p w14:paraId="4C9DE4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0.822</w:t>
            </w:r>
          </w:p>
        </w:tc>
        <w:tc>
          <w:tcPr>
            <w:tcW w:w="1135" w:type="dxa"/>
            <w:shd w:val="clear"/>
            <w:vAlign w:val="center"/>
          </w:tcPr>
          <w:p w14:paraId="2C1912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0.814</w:t>
            </w:r>
          </w:p>
        </w:tc>
        <w:tc>
          <w:tcPr>
            <w:tcW w:w="714" w:type="dxa"/>
            <w:shd w:val="clear"/>
            <w:vAlign w:val="center"/>
          </w:tcPr>
          <w:p w14:paraId="556FCE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−0.008 (−0.018 to 0.001)</w:t>
            </w:r>
          </w:p>
        </w:tc>
        <w:tc>
          <w:tcPr>
            <w:tcW w:w="1129" w:type="dxa"/>
            <w:shd w:val="clear"/>
            <w:vAlign w:val="center"/>
          </w:tcPr>
          <w:p w14:paraId="35EE11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0.094</w:t>
            </w:r>
          </w:p>
        </w:tc>
        <w:tc>
          <w:tcPr>
            <w:tcW w:w="992" w:type="dxa"/>
            <w:shd w:val="clear"/>
            <w:vAlign w:val="center"/>
          </w:tcPr>
          <w:p w14:paraId="0859C0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0.125</w:t>
            </w:r>
          </w:p>
        </w:tc>
        <w:tc>
          <w:tcPr>
            <w:tcW w:w="992" w:type="dxa"/>
            <w:shd w:val="clear"/>
            <w:vAlign w:val="center"/>
          </w:tcPr>
          <w:p w14:paraId="7EA6849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0.126</w:t>
            </w:r>
          </w:p>
        </w:tc>
        <w:tc>
          <w:tcPr>
            <w:tcW w:w="993" w:type="dxa"/>
            <w:shd w:val="clear"/>
            <w:vAlign w:val="center"/>
          </w:tcPr>
          <w:p w14:paraId="21527D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0.489</w:t>
            </w:r>
          </w:p>
        </w:tc>
        <w:tc>
          <w:tcPr>
            <w:tcW w:w="1984" w:type="dxa"/>
            <w:shd w:val="clear"/>
            <w:vAlign w:val="center"/>
          </w:tcPr>
          <w:p w14:paraId="6AE404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0.468</w:t>
            </w:r>
          </w:p>
        </w:tc>
      </w:tr>
      <w:tr w14:paraId="5A8C5E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</w:trPr>
        <w:tc>
          <w:tcPr>
            <w:tcW w:w="922" w:type="dxa"/>
            <w:shd w:val="clear"/>
            <w:vAlign w:val="center"/>
          </w:tcPr>
          <w:p w14:paraId="2E8FF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LightGBM</w:t>
            </w:r>
          </w:p>
        </w:tc>
        <w:tc>
          <w:tcPr>
            <w:tcW w:w="921" w:type="dxa"/>
            <w:shd w:val="clear"/>
            <w:vAlign w:val="center"/>
          </w:tcPr>
          <w:p w14:paraId="05E344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0.814</w:t>
            </w:r>
          </w:p>
        </w:tc>
        <w:tc>
          <w:tcPr>
            <w:tcW w:w="1135" w:type="dxa"/>
            <w:shd w:val="clear"/>
            <w:vAlign w:val="center"/>
          </w:tcPr>
          <w:p w14:paraId="4C6A8E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0.805</w:t>
            </w:r>
          </w:p>
        </w:tc>
        <w:tc>
          <w:tcPr>
            <w:tcW w:w="714" w:type="dxa"/>
            <w:shd w:val="clear"/>
            <w:vAlign w:val="center"/>
          </w:tcPr>
          <w:p w14:paraId="6DEB50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−0.009 (−0.021 to 0.003)</w:t>
            </w:r>
          </w:p>
        </w:tc>
        <w:tc>
          <w:tcPr>
            <w:tcW w:w="1129" w:type="dxa"/>
            <w:shd w:val="clear"/>
            <w:vAlign w:val="center"/>
          </w:tcPr>
          <w:p w14:paraId="5F61A1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0.114</w:t>
            </w:r>
          </w:p>
        </w:tc>
        <w:tc>
          <w:tcPr>
            <w:tcW w:w="992" w:type="dxa"/>
            <w:shd w:val="clear"/>
            <w:vAlign w:val="center"/>
          </w:tcPr>
          <w:p w14:paraId="1FD3D1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0.160</w:t>
            </w:r>
          </w:p>
        </w:tc>
        <w:tc>
          <w:tcPr>
            <w:tcW w:w="992" w:type="dxa"/>
            <w:shd w:val="clear"/>
            <w:vAlign w:val="center"/>
          </w:tcPr>
          <w:p w14:paraId="01A1D74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0.163</w:t>
            </w:r>
          </w:p>
        </w:tc>
        <w:tc>
          <w:tcPr>
            <w:tcW w:w="993" w:type="dxa"/>
            <w:shd w:val="clear"/>
            <w:vAlign w:val="center"/>
          </w:tcPr>
          <w:p w14:paraId="7685FF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0.458</w:t>
            </w:r>
          </w:p>
        </w:tc>
        <w:tc>
          <w:tcPr>
            <w:tcW w:w="1984" w:type="dxa"/>
            <w:shd w:val="clear"/>
            <w:vAlign w:val="center"/>
          </w:tcPr>
          <w:p w14:paraId="07BEB17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0.447</w:t>
            </w:r>
          </w:p>
        </w:tc>
      </w:tr>
      <w:tr w14:paraId="4C127E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</w:trPr>
        <w:tc>
          <w:tcPr>
            <w:tcW w:w="922" w:type="dxa"/>
            <w:shd w:val="clear"/>
            <w:vAlign w:val="center"/>
          </w:tcPr>
          <w:p w14:paraId="558F24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Histogram-based gradient boosting</w:t>
            </w:r>
          </w:p>
        </w:tc>
        <w:tc>
          <w:tcPr>
            <w:tcW w:w="921" w:type="dxa"/>
            <w:shd w:val="clear"/>
            <w:vAlign w:val="center"/>
          </w:tcPr>
          <w:p w14:paraId="42D7CE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0.804</w:t>
            </w:r>
          </w:p>
        </w:tc>
        <w:tc>
          <w:tcPr>
            <w:tcW w:w="1135" w:type="dxa"/>
            <w:shd w:val="clear"/>
            <w:vAlign w:val="center"/>
          </w:tcPr>
          <w:p w14:paraId="6D029C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0.800</w:t>
            </w:r>
          </w:p>
        </w:tc>
        <w:tc>
          <w:tcPr>
            <w:tcW w:w="714" w:type="dxa"/>
            <w:shd w:val="clear"/>
            <w:vAlign w:val="center"/>
          </w:tcPr>
          <w:p w14:paraId="5E77D3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−0.004 (−0.017 to 0.008)</w:t>
            </w:r>
          </w:p>
        </w:tc>
        <w:tc>
          <w:tcPr>
            <w:tcW w:w="1129" w:type="dxa"/>
            <w:shd w:val="clear"/>
            <w:vAlign w:val="center"/>
          </w:tcPr>
          <w:p w14:paraId="727CE9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0.471</w:t>
            </w:r>
          </w:p>
        </w:tc>
        <w:tc>
          <w:tcPr>
            <w:tcW w:w="992" w:type="dxa"/>
            <w:shd w:val="clear"/>
            <w:vAlign w:val="center"/>
          </w:tcPr>
          <w:p w14:paraId="3A42B5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0.159</w:t>
            </w:r>
          </w:p>
        </w:tc>
        <w:tc>
          <w:tcPr>
            <w:tcW w:w="992" w:type="dxa"/>
            <w:shd w:val="clear"/>
            <w:vAlign w:val="center"/>
          </w:tcPr>
          <w:p w14:paraId="2AA915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0.157</w:t>
            </w:r>
          </w:p>
        </w:tc>
        <w:tc>
          <w:tcPr>
            <w:tcW w:w="993" w:type="dxa"/>
            <w:shd w:val="clear"/>
            <w:vAlign w:val="center"/>
          </w:tcPr>
          <w:p w14:paraId="4E8B68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0.416</w:t>
            </w:r>
          </w:p>
        </w:tc>
        <w:tc>
          <w:tcPr>
            <w:tcW w:w="1984" w:type="dxa"/>
            <w:shd w:val="clear"/>
            <w:vAlign w:val="center"/>
          </w:tcPr>
          <w:p w14:paraId="114F70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0.468</w:t>
            </w:r>
          </w:p>
        </w:tc>
      </w:tr>
      <w:tr w14:paraId="5DE62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</w:trPr>
        <w:tc>
          <w:tcPr>
            <w:tcW w:w="922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24CAAC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Stacking</w:t>
            </w:r>
          </w:p>
        </w:tc>
        <w:tc>
          <w:tcPr>
            <w:tcW w:w="921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5794F6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0.782</w:t>
            </w:r>
          </w:p>
        </w:tc>
        <w:tc>
          <w:tcPr>
            <w:tcW w:w="1135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448260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0.784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1BE701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0.002 (−0.008 to 0.013)</w:t>
            </w:r>
          </w:p>
        </w:tc>
        <w:tc>
          <w:tcPr>
            <w:tcW w:w="1129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40A591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0.660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7592A2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0.210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445F5F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0.212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5270E4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0.316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12" w:space="0"/>
              <w:right w:val="nil"/>
            </w:tcBorders>
            <w:shd w:val="clear"/>
            <w:vAlign w:val="center"/>
          </w:tcPr>
          <w:p w14:paraId="243EB23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黑体" w:cs="Times New Roman"/>
                <w:kern w:val="2"/>
                <w:sz w:val="21"/>
                <w:szCs w:val="21"/>
                <w:bdr w:val="none" w:color="auto" w:sz="0" w:space="0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bdr w:val="none" w:color="auto" w:sz="0" w:space="0"/>
                <w:lang w:val="en-US" w:eastAsia="zh-CN" w:bidi="ar"/>
              </w:rPr>
              <w:t>0.337</w:t>
            </w:r>
          </w:p>
        </w:tc>
      </w:tr>
    </w:tbl>
    <w:p w14:paraId="0BE955E4">
      <w:pPr>
        <w:pStyle w:val="5"/>
        <w:widowControl/>
        <w:ind w:left="0" w:firstLine="0" w:firstLineChars="0"/>
        <w:rPr>
          <w:rFonts w:hint="default" w:ascii="Times New Roman" w:hAnsi="Times New Roman" w:eastAsia="黑体" w:cs="Times New Roman"/>
          <w:szCs w:val="21"/>
          <w:lang w:val="en-US"/>
        </w:rPr>
      </w:pPr>
    </w:p>
    <w:p w14:paraId="01974245">
      <w:pPr>
        <w:pStyle w:val="2"/>
        <w:widowControl/>
        <w:spacing w:before="0" w:beforeAutospacing="0" w:after="0" w:afterAutospacing="0" w:line="480" w:lineRule="auto"/>
        <w:ind w:left="0" w:right="0"/>
        <w:rPr>
          <w:rFonts w:hint="default" w:ascii="Times New Roman" w:hAnsi="Times New Roman" w:cs="Times New Roman"/>
          <w:lang w:val="en-US" w:eastAsia="zh-CN"/>
        </w:rPr>
      </w:pPr>
    </w:p>
    <w:p w14:paraId="0AF89D9D"/>
    <w:sectPr>
      <w:pgSz w:w="12240" w:h="15840"/>
      <w:pgMar w:top="1440" w:right="1440" w:bottom="1440" w:left="1440" w:header="720" w:footer="720" w:gutter="0"/>
      <w:paperSrc/>
      <w:lnNumType w:countBy="1" w:restart="continuous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 Math">
    <w:panose1 w:val="02040503050406030204"/>
    <w:charset w:val="00"/>
    <w:family w:val="auto"/>
    <w:pitch w:val="variable"/>
    <w:sig w:usb0="E00006FF" w:usb1="420024FF" w:usb2="02000000" w:usb3="00000000" w:csb0="2000019F" w:csb1="00000000"/>
  </w:font>
  <w:font w:name="Cambria">
    <w:panose1 w:val="02040503050406030204"/>
    <w:charset w:val="86"/>
    <w:family w:val="auto"/>
    <w:pitch w:val="variable"/>
    <w:sig w:usb0="E00006FF" w:usb1="420024FF" w:usb2="02000000" w:usb3="00000000" w:csb0="2000019F" w:csb1="00000000"/>
  </w:font>
  <w:font w:name="@宋体"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@黑体">
    <w:panose1 w:val="02010609060101010101"/>
    <w:charset w:val="86"/>
    <w:family w:val="auto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352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mbria" w:hAnsi="Cambria" w:eastAsia="Cambria" w:cs="Cambria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200" w:afterAutospacing="0"/>
      <w:ind w:left="0" w:right="0"/>
    </w:pPr>
    <w:rPr>
      <w:rFonts w:hint="eastAsia" w:ascii="Cambria" w:hAnsi="Cambria" w:eastAsia="Cambria" w:cs="Cambria"/>
      <w:sz w:val="24"/>
      <w:szCs w:val="24"/>
      <w:lang w:eastAsia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6"/>
    <w:uiPriority w:val="0"/>
    <w:pPr>
      <w:keepNext w:val="0"/>
      <w:keepLines w:val="0"/>
      <w:widowControl/>
      <w:suppressLineNumbers w:val="0"/>
      <w:spacing w:before="180" w:beforeAutospacing="0" w:after="180" w:afterAutospacing="0"/>
      <w:ind w:left="0" w:right="0"/>
      <w:jc w:val="left"/>
    </w:pPr>
    <w:rPr>
      <w:rFonts w:hint="eastAsia" w:ascii="Cambria" w:hAnsi="Cambria" w:eastAsia="宋体" w:cs="Times New Roman"/>
      <w:kern w:val="0"/>
      <w:sz w:val="24"/>
      <w:szCs w:val="24"/>
      <w:lang w:val="en-US" w:eastAsia="zh-CN" w:bidi="ar"/>
    </w:rPr>
  </w:style>
  <w:style w:type="paragraph" w:customStyle="1" w:styleId="5">
    <w:name w:val="msolistparagraph"/>
    <w:basedOn w:val="1"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eastAsia" w:ascii="Cambria" w:hAnsi="Cambria" w:eastAsia="宋体" w:cs="Times New Roman"/>
      <w:kern w:val="2"/>
      <w:sz w:val="21"/>
      <w:szCs w:val="22"/>
      <w:lang w:val="en-US" w:eastAsia="zh-CN" w:bidi="ar"/>
    </w:rPr>
  </w:style>
  <w:style w:type="character" w:customStyle="1" w:styleId="6">
    <w:name w:val="正文文本 字符"/>
    <w:basedOn w:val="4"/>
    <w:link w:val="2"/>
    <w:uiPriority w:val="0"/>
  </w:style>
  <w:style w:type="table" w:customStyle="1" w:styleId="7">
    <w:name w:val="样式1"/>
    <w:basedOn w:val="3"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eastAsia" w:ascii="Cambria" w:hAnsi="Cambria" w:eastAsia="Cambria" w:cs="Cambria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nil"/>
          <w:bottom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2026-10-14T01:52:29Z</dcterms:created>
  <dc:creator>Administrator</dc:creator>
  <cp:lastModifiedBy>Administrator</cp:lastModifiedBy>
  <dcterms:modified xsi:type="dcterms:W3CDTF">2026-10-14T01:54:36Z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eyJoZGlkIjoiZjFhNGYzMGUyYWZiYTVkODgzNzIwZDU2MWQzN2E1NzUiLCJ1c2VySWQiOiIxNzgxNTM1OTMzIn0=</vt:lpwstr>
  </property>
  <property fmtid="{D5CDD505-2E9C-101B-9397-08002B2CF9AE}" pid="4" name="ICV">
    <vt:lpwstr>BB5F4E7A35AD4F5BAA7BFB51086A2692_12</vt:lpwstr>
  </property>
</Properties>
</file>