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9ACBFD">
      <w:pPr>
        <w:spacing w:line="240" w:lineRule="auto"/>
        <w:jc w:val="center"/>
        <w:rPr>
          <w:rFonts w:ascii="Arial" w:hAnsi="Arial" w:cs="Arial"/>
          <w:b/>
          <w:bCs/>
          <w:kern w:val="0"/>
          <w:sz w:val="20"/>
          <w:szCs w:val="20"/>
        </w:rPr>
      </w:pPr>
      <w:r>
        <w:rPr>
          <w:rFonts w:ascii="Arial" w:hAnsi="Arial" w:cs="Arial"/>
          <w:b/>
          <w:bCs/>
          <w:kern w:val="0"/>
          <w:sz w:val="20"/>
          <w:szCs w:val="20"/>
        </w:rPr>
        <w:t xml:space="preserve">Supplementary </w:t>
      </w:r>
      <w:r>
        <w:rPr>
          <w:rFonts w:hint="eastAsia" w:ascii="Arial" w:hAnsi="Arial" w:cs="Arial"/>
          <w:b/>
          <w:bCs/>
          <w:kern w:val="0"/>
          <w:sz w:val="20"/>
          <w:szCs w:val="20"/>
        </w:rPr>
        <w:t>figures of</w:t>
      </w:r>
    </w:p>
    <w:p w14:paraId="5A145529">
      <w:pPr>
        <w:pStyle w:val="5"/>
        <w:widowControl/>
        <w:ind w:left="0" w:firstLine="0" w:firstLineChars="0"/>
        <w:jc w:val="center"/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>Exhaled Nitric Oxide in Obstructive Sleep Apnea: Compartment-Specific Associations and Incremental Predictive Value</w:t>
      </w:r>
    </w:p>
    <w:p w14:paraId="286F14B4">
      <w:pPr>
        <w:pStyle w:val="5"/>
        <w:widowControl/>
        <w:ind w:left="0" w:firstLine="0" w:firstLineChars="0"/>
        <w:jc w:val="center"/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2"/>
          <w:lang w:val="en-US"/>
        </w:rPr>
        <w:t>(Tongshan Qiu et al.)</w:t>
      </w:r>
    </w:p>
    <w:p w14:paraId="42B77A89">
      <w:pPr>
        <w:keepNext w:val="0"/>
        <w:keepLines w:val="0"/>
        <w:widowControl/>
        <w:suppressLineNumbers w:val="0"/>
        <w:spacing w:before="0" w:beforeAutospacing="0" w:after="200" w:afterAutospacing="0" w:line="360" w:lineRule="auto"/>
        <w:ind w:left="0" w:right="0"/>
        <w:jc w:val="left"/>
        <w:rPr>
          <w:rFonts w:hint="default" w:ascii="Times New Roman" w:hAnsi="Times New Roman" w:eastAsia="黑体" w:cs="Times New Roman"/>
          <w:sz w:val="22"/>
          <w:szCs w:val="24"/>
          <w:lang w:val="en-US"/>
        </w:rPr>
      </w:pPr>
    </w:p>
    <w:p w14:paraId="45EC3388">
      <w:pPr>
        <w:keepNext w:val="0"/>
        <w:keepLines w:val="0"/>
        <w:widowControl/>
        <w:suppressLineNumbers w:val="0"/>
        <w:spacing w:before="0" w:beforeAutospacing="0" w:after="200" w:afterAutospacing="0" w:line="360" w:lineRule="auto"/>
        <w:ind w:left="0" w:right="0"/>
        <w:jc w:val="left"/>
        <w:rPr>
          <w:rFonts w:hint="default" w:ascii="Times New Roman" w:hAnsi="Times New Roman" w:eastAsia="黑体" w:cs="Times New Roman"/>
          <w:kern w:val="0"/>
          <w:sz w:val="22"/>
          <w:szCs w:val="24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0"/>
          <w:sz w:val="22"/>
          <w:szCs w:val="24"/>
          <w:lang w:val="en-US" w:eastAsia="zh-CN" w:bidi="ar"/>
        </w:rPr>
        <w:drawing>
          <wp:inline distT="0" distB="0" distL="114300" distR="114300">
            <wp:extent cx="5800725" cy="4276725"/>
            <wp:effectExtent l="0" t="0" r="9525" b="9525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4"/>
                    <a:srcRect r="23651"/>
                    <a:stretch>
                      <a:fillRect/>
                    </a:stretch>
                  </pic:blipFill>
                  <pic:spPr>
                    <a:xfrm>
                      <a:off x="0" y="0"/>
                      <a:ext cx="5800725" cy="427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77759">
      <w:pPr>
        <w:pStyle w:val="2"/>
        <w:keepNext/>
        <w:widowControl/>
        <w:spacing w:before="160" w:beforeAutospacing="0" w:after="80" w:afterAutospacing="0" w:line="480" w:lineRule="auto"/>
        <w:ind w:left="0" w:right="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b/>
          <w:bCs/>
          <w:lang w:val="en-US"/>
        </w:rPr>
        <w:t>Figure S1.</w:t>
      </w:r>
      <w:r>
        <w:rPr>
          <w:lang w:val="en-US"/>
        </w:rPr>
        <w:t xml:space="preserve"> </w:t>
      </w:r>
      <w:r>
        <w:rPr>
          <w:rFonts w:hint="default" w:ascii="Times New Roman" w:hAnsi="Times New Roman" w:cs="Times New Roman"/>
          <w:lang w:val="en-US"/>
        </w:rPr>
        <w:t>Discrimination, calibration, and decision curve analyses of the complete eNO-panel models for OSA prediction. (</w:t>
      </w:r>
      <w:r>
        <w:rPr>
          <w:rFonts w:hint="default" w:ascii="Times New Roman" w:hAnsi="Times New Roman" w:cs="Times New Roman"/>
          <w:lang w:val="en-US" w:eastAsia="zh-CN"/>
        </w:rPr>
        <w:t>a</w:t>
      </w:r>
      <w:r>
        <w:rPr>
          <w:rFonts w:hint="default" w:ascii="Times New Roman" w:hAnsi="Times New Roman" w:cs="Times New Roman"/>
          <w:lang w:val="en-US"/>
        </w:rPr>
        <w:t>) Receiver operating characteristic curves and (</w:t>
      </w:r>
      <w:r>
        <w:rPr>
          <w:rFonts w:hint="default" w:ascii="Times New Roman" w:hAnsi="Times New Roman" w:cs="Times New Roman"/>
          <w:lang w:val="en-US" w:eastAsia="zh-CN"/>
        </w:rPr>
        <w:t>b</w:t>
      </w:r>
      <w:r>
        <w:rPr>
          <w:rFonts w:hint="default" w:ascii="Times New Roman" w:hAnsi="Times New Roman" w:cs="Times New Roman"/>
          <w:lang w:val="en-US"/>
        </w:rPr>
        <w:t>) precision–recall curves across the seven classification algorithms. (</w:t>
      </w:r>
      <w:r>
        <w:rPr>
          <w:rFonts w:hint="default" w:ascii="Times New Roman" w:hAnsi="Times New Roman" w:cs="Times New Roman"/>
          <w:lang w:val="en-US" w:eastAsia="zh-CN"/>
        </w:rPr>
        <w:t>c</w:t>
      </w:r>
      <w:r>
        <w:rPr>
          <w:rFonts w:hint="default" w:ascii="Times New Roman" w:hAnsi="Times New Roman" w:cs="Times New Roman"/>
          <w:lang w:val="en-US"/>
        </w:rPr>
        <w:t>) Calibration curves and (</w:t>
      </w:r>
      <w:r>
        <w:rPr>
          <w:rFonts w:hint="default" w:ascii="Times New Roman" w:hAnsi="Times New Roman" w:cs="Times New Roman"/>
          <w:lang w:val="en-US" w:eastAsia="zh-CN"/>
        </w:rPr>
        <w:t>d</w:t>
      </w:r>
      <w:r>
        <w:rPr>
          <w:rFonts w:hint="default" w:ascii="Times New Roman" w:hAnsi="Times New Roman" w:cs="Times New Roman"/>
          <w:lang w:val="en-US"/>
        </w:rPr>
        <w:t>) decision curves comparing the base and complete eNO-panel models.</w:t>
      </w:r>
    </w:p>
    <w:p w14:paraId="24127771">
      <w:pPr>
        <w:keepNext w:val="0"/>
        <w:keepLines w:val="0"/>
        <w:widowControl/>
        <w:suppressLineNumbers w:val="0"/>
        <w:spacing w:before="0" w:beforeAutospacing="0" w:after="200" w:afterAutospacing="0" w:line="360" w:lineRule="auto"/>
        <w:ind w:left="0" w:right="0"/>
        <w:jc w:val="left"/>
        <w:rPr>
          <w:rFonts w:hint="default" w:ascii="Times New Roman" w:hAnsi="Times New Roman" w:eastAsia="黑体" w:cs="Times New Roman"/>
          <w:kern w:val="0"/>
          <w:sz w:val="22"/>
          <w:szCs w:val="24"/>
          <w:lang w:val="en-US" w:eastAsia="zh-CN" w:bidi="ar"/>
        </w:rPr>
      </w:pPr>
    </w:p>
    <w:p w14:paraId="0297C67E">
      <w:pPr>
        <w:keepNext w:val="0"/>
        <w:keepLines w:val="0"/>
        <w:widowControl/>
        <w:suppressLineNumbers w:val="0"/>
        <w:spacing w:before="0" w:beforeAutospacing="0" w:after="200" w:afterAutospacing="0"/>
        <w:ind w:left="0" w:right="0"/>
        <w:jc w:val="left"/>
        <w:rPr>
          <w:rFonts w:hint="default" w:ascii="Times New Roman" w:hAnsi="Times New Roman" w:eastAsia="黑体" w:cs="Times New Roman"/>
          <w:sz w:val="22"/>
          <w:szCs w:val="24"/>
          <w:lang w:val="en-US"/>
        </w:rPr>
      </w:pPr>
      <w:r>
        <w:rPr>
          <w:rFonts w:hint="default" w:ascii="Times New Roman" w:hAnsi="Times New Roman" w:eastAsia="黑体" w:cs="Times New Roman"/>
          <w:sz w:val="22"/>
          <w:szCs w:val="24"/>
          <w:lang w:val="en-US" w:eastAsia="en-US" w:bidi="ar"/>
        </w:rPr>
        <w:br w:type="page"/>
      </w:r>
    </w:p>
    <w:p w14:paraId="6CE19383">
      <w:pPr>
        <w:pStyle w:val="2"/>
        <w:keepNext/>
        <w:widowControl/>
        <w:spacing w:before="160" w:beforeAutospacing="0" w:after="80" w:afterAutospacing="0" w:line="480" w:lineRule="auto"/>
        <w:ind w:left="0" w:right="0"/>
        <w:rPr>
          <w:rFonts w:hint="default" w:ascii="Times New Roman" w:hAnsi="Times New Roman" w:eastAsia="黑体" w:cs="Times New Roman"/>
          <w:b/>
          <w:bCs/>
          <w:sz w:val="22"/>
          <w:szCs w:val="24"/>
          <w:lang w:val="en-US"/>
        </w:rPr>
      </w:pPr>
      <w:r>
        <w:rPr>
          <w:rFonts w:hint="default" w:ascii="Times New Roman" w:hAnsi="Times New Roman" w:eastAsia="黑体" w:cs="Times New Roman"/>
          <w:b/>
          <w:bCs w:val="0"/>
          <w:sz w:val="22"/>
          <w:szCs w:val="24"/>
          <w:lang w:val="en-US"/>
        </w:rPr>
        <w:drawing>
          <wp:inline distT="0" distB="0" distL="114300" distR="114300">
            <wp:extent cx="5943600" cy="3343275"/>
            <wp:effectExtent l="0" t="0" r="0" b="9525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eastAsia="Times New Roman" w:cs="Times New Roman"/>
          <w:b/>
          <w:bCs/>
          <w:sz w:val="22"/>
          <w:szCs w:val="22"/>
          <w:lang w:val="en-US"/>
        </w:rPr>
        <w:t>Figure S</w:t>
      </w:r>
      <w:r>
        <w:rPr>
          <w:rFonts w:hint="eastAsia" w:ascii="Times New Roman" w:hAnsi="Times New Roman" w:cs="Times New Roman"/>
          <w:b/>
          <w:bCs/>
          <w:sz w:val="22"/>
          <w:szCs w:val="22"/>
          <w:lang w:val="en-US" w:eastAsia="zh-CN"/>
        </w:rPr>
        <w:t>2</w:t>
      </w:r>
      <w:r>
        <w:rPr>
          <w:rFonts w:hint="default" w:ascii="Times New Roman" w:hAnsi="Times New Roman" w:eastAsia="Times New Roman" w:cs="Times New Roman"/>
          <w:b/>
          <w:bCs/>
          <w:sz w:val="22"/>
          <w:szCs w:val="22"/>
          <w:lang w:val="en-US"/>
        </w:rPr>
        <w:t>.</w:t>
      </w:r>
      <w:r>
        <w:rPr>
          <w:rFonts w:hint="default" w:ascii="Times New Roman" w:hAnsi="Times New Roman" w:eastAsia="Times New Roman" w:cs="Times New Roman"/>
          <w:sz w:val="22"/>
          <w:szCs w:val="22"/>
          <w:lang w:val="en-US"/>
        </w:rPr>
        <w:t xml:space="preserve"> Calibration and decision curve analyses for hypoxemia prediction using the base and FeNO50-augmented models. (</w:t>
      </w: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>a</w:t>
      </w:r>
      <w:r>
        <w:rPr>
          <w:rFonts w:hint="default" w:ascii="Times New Roman" w:hAnsi="Times New Roman" w:eastAsia="Times New Roman" w:cs="Times New Roman"/>
          <w:sz w:val="22"/>
          <w:szCs w:val="22"/>
          <w:lang w:val="en-US"/>
        </w:rPr>
        <w:t>) Calibration curves comparing observed and predicted probabilities of hypoxemia. (</w:t>
      </w: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>b</w:t>
      </w:r>
      <w:r>
        <w:rPr>
          <w:rFonts w:hint="default" w:ascii="Times New Roman" w:hAnsi="Times New Roman" w:eastAsia="Times New Roman" w:cs="Times New Roman"/>
          <w:sz w:val="22"/>
          <w:szCs w:val="22"/>
          <w:lang w:val="en-US"/>
        </w:rPr>
        <w:t>) Decision curves comparing net benefit across threshold probabilities.</w:t>
      </w:r>
    </w:p>
    <w:p w14:paraId="65BB55A1">
      <w:pPr>
        <w:keepNext w:val="0"/>
        <w:keepLines w:val="0"/>
        <w:widowControl/>
        <w:suppressLineNumbers w:val="0"/>
        <w:spacing w:before="0" w:beforeAutospacing="0" w:after="200" w:afterAutospacing="0" w:line="360" w:lineRule="auto"/>
        <w:ind w:left="0" w:right="0"/>
        <w:jc w:val="left"/>
        <w:rPr>
          <w:rFonts w:hint="default" w:ascii="Times New Roman" w:hAnsi="Times New Roman" w:eastAsia="黑体" w:cs="Times New Roman"/>
          <w:b/>
          <w:bCs/>
          <w:sz w:val="22"/>
          <w:szCs w:val="24"/>
          <w:lang w:val="en-US"/>
        </w:rPr>
      </w:pPr>
      <w:bookmarkStart w:id="0" w:name="_GoBack"/>
      <w:bookmarkEnd w:id="0"/>
    </w:p>
    <w:p w14:paraId="5834DD21">
      <w:pPr>
        <w:pStyle w:val="2"/>
        <w:keepNext/>
        <w:widowControl/>
        <w:spacing w:before="160" w:beforeAutospacing="0" w:after="80" w:afterAutospacing="0" w:line="480" w:lineRule="auto"/>
        <w:ind w:left="0" w:right="0"/>
        <w:rPr>
          <w:sz w:val="22"/>
          <w:szCs w:val="22"/>
          <w:lang w:val="en-US"/>
        </w:rPr>
      </w:pPr>
      <w:r>
        <w:rPr>
          <w:rFonts w:hint="default" w:ascii="Times New Roman" w:hAnsi="Times New Roman" w:eastAsia="黑体" w:cs="Times New Roman"/>
          <w:b/>
          <w:bCs w:val="0"/>
          <w:kern w:val="0"/>
          <w:sz w:val="22"/>
          <w:szCs w:val="24"/>
          <w:lang w:val="en-US" w:eastAsia="zh-CN" w:bidi="ar"/>
        </w:rPr>
        <w:drawing>
          <wp:inline distT="0" distB="0" distL="114300" distR="114300">
            <wp:extent cx="5819775" cy="4181475"/>
            <wp:effectExtent l="0" t="0" r="9525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rcRect r="21681"/>
                    <a:stretch>
                      <a:fillRect/>
                    </a:stretch>
                  </pic:blipFill>
                  <pic:spPr>
                    <a:xfrm>
                      <a:off x="0" y="0"/>
                      <a:ext cx="5819775" cy="418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  <w:b/>
          <w:bCs/>
          <w:lang w:val="en-US"/>
        </w:rPr>
        <w:t>Figure S</w:t>
      </w:r>
      <w:r>
        <w:rPr>
          <w:rFonts w:hint="eastAsia" w:ascii="Times New Roman" w:hAnsi="Times New Roman" w:cs="Times New Roman"/>
          <w:b/>
          <w:bCs/>
          <w:lang w:val="en-US" w:eastAsia="zh-CN"/>
        </w:rPr>
        <w:t>3</w:t>
      </w:r>
      <w:r>
        <w:rPr>
          <w:rFonts w:hint="default" w:ascii="Times New Roman" w:hAnsi="Times New Roman" w:cs="Times New Roman"/>
          <w:b/>
          <w:bCs/>
          <w:lang w:val="en-US"/>
        </w:rPr>
        <w:t>.</w:t>
      </w:r>
      <w:r>
        <w:rPr>
          <w:rFonts w:hint="default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lang w:val="en-US"/>
        </w:rPr>
        <w:t>Discrimination, calibration, and decision curve analyses of the complete eNO-panel models for hypoxemia prediction. (</w:t>
      </w:r>
      <w:r>
        <w:rPr>
          <w:rFonts w:hint="default" w:ascii="Times New Roman" w:hAnsi="Times New Roman" w:cs="Times New Roman"/>
          <w:lang w:val="en-US" w:eastAsia="zh-CN"/>
        </w:rPr>
        <w:t>a</w:t>
      </w:r>
      <w:r>
        <w:rPr>
          <w:rFonts w:hint="default" w:ascii="Times New Roman" w:hAnsi="Times New Roman" w:cs="Times New Roman"/>
          <w:lang w:val="en-US"/>
        </w:rPr>
        <w:t>) Receiver operating characteristic curves and (</w:t>
      </w:r>
      <w:r>
        <w:rPr>
          <w:rFonts w:hint="default" w:ascii="Times New Roman" w:hAnsi="Times New Roman" w:cs="Times New Roman"/>
          <w:lang w:val="en-US" w:eastAsia="zh-CN"/>
        </w:rPr>
        <w:t>b</w:t>
      </w:r>
      <w:r>
        <w:rPr>
          <w:rFonts w:hint="default" w:ascii="Times New Roman" w:hAnsi="Times New Roman" w:cs="Times New Roman"/>
          <w:lang w:val="en-US"/>
        </w:rPr>
        <w:t>) precision–recall curves across the seven classification algorithms. (</w:t>
      </w:r>
      <w:r>
        <w:rPr>
          <w:rFonts w:hint="default" w:ascii="Times New Roman" w:hAnsi="Times New Roman" w:cs="Times New Roman"/>
          <w:lang w:val="en-US" w:eastAsia="zh-CN"/>
        </w:rPr>
        <w:t>c</w:t>
      </w:r>
      <w:r>
        <w:rPr>
          <w:rFonts w:hint="default" w:ascii="Times New Roman" w:hAnsi="Times New Roman" w:cs="Times New Roman"/>
          <w:lang w:val="en-US"/>
        </w:rPr>
        <w:t>) Calibration curves and (</w:t>
      </w:r>
      <w:r>
        <w:rPr>
          <w:rFonts w:hint="default" w:ascii="Times New Roman" w:hAnsi="Times New Roman" w:cs="Times New Roman"/>
          <w:lang w:val="en-US" w:eastAsia="zh-CN"/>
        </w:rPr>
        <w:t>d</w:t>
      </w:r>
      <w:r>
        <w:rPr>
          <w:rFonts w:hint="default" w:ascii="Times New Roman" w:hAnsi="Times New Roman" w:cs="Times New Roman"/>
          <w:lang w:val="en-US"/>
        </w:rPr>
        <w:t>) decision curves comparing the base and complete eNO-panel models.</w:t>
      </w:r>
    </w:p>
    <w:p w14:paraId="646AFBED">
      <w:pPr>
        <w:keepNext w:val="0"/>
        <w:keepLines w:val="0"/>
        <w:widowControl/>
        <w:suppressLineNumbers w:val="0"/>
        <w:spacing w:before="0" w:beforeAutospacing="0" w:after="200" w:afterAutospacing="0" w:line="360" w:lineRule="auto"/>
        <w:ind w:left="0" w:right="0"/>
        <w:jc w:val="left"/>
        <w:rPr>
          <w:rFonts w:hint="default" w:ascii="Times New Roman" w:hAnsi="Times New Roman" w:eastAsia="黑体" w:cs="Times New Roman"/>
          <w:b/>
          <w:bCs/>
          <w:sz w:val="22"/>
          <w:szCs w:val="24"/>
          <w:lang w:val="en-US" w:eastAsia="zh-CN"/>
        </w:rPr>
      </w:pPr>
    </w:p>
    <w:p w14:paraId="3C932AF8">
      <w:pPr>
        <w:keepNext w:val="0"/>
        <w:keepLines w:val="0"/>
        <w:widowControl/>
        <w:suppressLineNumbers w:val="0"/>
        <w:spacing w:before="0" w:beforeAutospacing="0" w:after="200" w:afterAutospacing="0"/>
        <w:ind w:left="0" w:right="0"/>
        <w:jc w:val="left"/>
        <w:rPr>
          <w:rFonts w:hint="default" w:ascii="Times New Roman" w:hAnsi="Times New Roman" w:eastAsia="黑体" w:cs="Times New Roman"/>
          <w:b/>
          <w:bCs/>
          <w:sz w:val="22"/>
          <w:szCs w:val="24"/>
          <w:lang w:val="en-US" w:eastAsia="zh-CN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4"/>
          <w:lang w:val="en-US" w:eastAsia="en-US" w:bidi="ar"/>
        </w:rPr>
        <w:br w:type="page"/>
      </w:r>
    </w:p>
    <w:p w14:paraId="47C819C6">
      <w:pPr>
        <w:keepNext w:val="0"/>
        <w:keepLines w:val="0"/>
        <w:widowControl/>
        <w:suppressLineNumbers w:val="0"/>
        <w:spacing w:before="0" w:beforeAutospacing="0" w:after="200" w:afterAutospacing="0"/>
        <w:ind w:left="0" w:right="0"/>
        <w:jc w:val="left"/>
        <w:rPr>
          <w:rFonts w:hint="default" w:ascii="Times New Roman" w:hAnsi="Times New Roman" w:eastAsia="黑体" w:cs="Times New Roman"/>
          <w:b/>
          <w:bCs/>
          <w:sz w:val="22"/>
          <w:szCs w:val="24"/>
          <w:lang w:val="en-US"/>
        </w:rPr>
      </w:pPr>
      <w:r>
        <w:rPr>
          <w:rFonts w:hint="default" w:ascii="Times New Roman" w:hAnsi="Times New Roman" w:eastAsia="黑体" w:cs="Times New Roman"/>
          <w:b/>
          <w:bCs/>
          <w:sz w:val="22"/>
          <w:szCs w:val="24"/>
          <w:lang w:val="en-US" w:eastAsia="en-US" w:bidi="ar"/>
        </w:rPr>
        <w:br w:type="page"/>
      </w:r>
    </w:p>
    <w:p w14:paraId="5F7494E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86"/>
    <w:family w:val="auto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C8723E"/>
    <w:rsid w:val="1F444B05"/>
    <w:rsid w:val="752C4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mbria" w:hAnsi="Cambria" w:eastAsia="Cambria" w:cs="Cambria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200" w:afterAutospacing="0"/>
      <w:ind w:left="0" w:right="0"/>
    </w:pPr>
    <w:rPr>
      <w:rFonts w:hint="eastAsia" w:ascii="Cambria" w:hAnsi="Cambria" w:eastAsia="Cambria" w:cs="Cambria"/>
      <w:sz w:val="24"/>
      <w:szCs w:val="24"/>
      <w:lang w:eastAsia="en-US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link w:val="6"/>
    <w:qFormat/>
    <w:uiPriority w:val="0"/>
    <w:pPr>
      <w:keepNext w:val="0"/>
      <w:keepLines w:val="0"/>
      <w:widowControl/>
      <w:suppressLineNumbers w:val="0"/>
      <w:spacing w:before="180" w:beforeAutospacing="0" w:after="180" w:afterAutospacing="0"/>
      <w:ind w:left="0" w:right="0"/>
      <w:jc w:val="left"/>
    </w:pPr>
    <w:rPr>
      <w:rFonts w:hint="eastAsia" w:ascii="Cambria" w:hAnsi="Cambria" w:eastAsia="宋体" w:cs="Times New Roman"/>
      <w:kern w:val="0"/>
      <w:sz w:val="24"/>
      <w:szCs w:val="24"/>
      <w:lang w:val="en-US" w:eastAsia="zh-CN" w:bidi="ar"/>
    </w:rPr>
  </w:style>
  <w:style w:type="paragraph" w:customStyle="1" w:styleId="5">
    <w:name w:val="msolistparagraph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 w:firstLine="420" w:firstLineChars="200"/>
      <w:jc w:val="both"/>
    </w:pPr>
    <w:rPr>
      <w:rFonts w:hint="eastAsia" w:ascii="Cambria" w:hAnsi="Cambria" w:eastAsia="宋体" w:cs="Times New Roman"/>
      <w:kern w:val="2"/>
      <w:sz w:val="21"/>
      <w:szCs w:val="22"/>
      <w:lang w:val="en-US" w:eastAsia="zh-CN" w:bidi="ar"/>
    </w:rPr>
  </w:style>
  <w:style w:type="character" w:customStyle="1" w:styleId="6">
    <w:name w:val="正文文本 字符"/>
    <w:basedOn w:val="4"/>
    <w:link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64</Words>
  <Characters>438</Characters>
  <Lines>0</Lines>
  <Paragraphs>0</Paragraphs>
  <TotalTime>0</TotalTime>
  <ScaleCrop>false</ScaleCrop>
  <LinksUpToDate>false</LinksUpToDate>
  <CharactersWithSpaces>498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2026-10-14T01:54:00Z</dcterms:created>
  <dc:creator>Administrator</dc:creator>
  <cp:lastModifiedBy>qingyun</cp:lastModifiedBy>
  <dcterms:modified xsi:type="dcterms:W3CDTF">2026-11-02T02:18:10Z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eyJoZGlkIjoiMDMzMzlkZDljZDNmMGRkMmEwYzAxOGQ1OGY1NDU3ZWEiLCJ1c2VySWQiOiI3NjQ5MTkzNjcifQ==</vt:lpwstr>
  </property>
  <property fmtid="{D5CDD505-2E9C-101B-9397-08002B2CF9AE}" pid="4" name="ICV">
    <vt:lpwstr>7A4672B9687F4C87849045AE58DB8543_12</vt:lpwstr>
  </property>
</Properties>
</file>