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8CB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/>
          <w:bCs/>
          <w:i w:val="0"/>
          <w:iCs w:val="0"/>
          <w:color w:val="auto"/>
          <w:sz w:val="26"/>
          <w:szCs w:val="26"/>
        </w:rPr>
        <w:t>Supplementary Appendix S2. Ten-Item Checklist with Scoring Rubric</w:t>
      </w:r>
    </w:p>
    <w:tbl>
      <w:tblPr>
        <w:tblStyle w:val="11"/>
        <w:tblpPr w:leftFromText="180" w:rightFromText="180" w:vertAnchor="text" w:horzAnchor="page" w:tblpX="720" w:tblpY="194"/>
        <w:tblOverlap w:val="never"/>
        <w:tblW w:w="144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60"/>
        <w:gridCol w:w="1700"/>
        <w:gridCol w:w="1900"/>
        <w:gridCol w:w="2560"/>
        <w:gridCol w:w="2560"/>
        <w:gridCol w:w="2560"/>
        <w:gridCol w:w="1360"/>
        <w:gridCol w:w="1200"/>
      </w:tblGrid>
      <w:tr w14:paraId="130C6130">
        <w:trPr>
          <w:tblHeader/>
        </w:trPr>
        <w:tc>
          <w:tcPr>
            <w:tcW w:w="560" w:type="dxa"/>
            <w:tcBorders>
              <w:left w:val="nil"/>
              <w:bottom w:val="single" w:color="auto" w:sz="4" w:space="0"/>
              <w:right w:val="nil"/>
              <w:tl2br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2CC4F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No.</w:t>
            </w:r>
          </w:p>
        </w:tc>
        <w:tc>
          <w:tcPr>
            <w:tcW w:w="1700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818F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Domain</w:t>
            </w:r>
          </w:p>
        </w:tc>
        <w:tc>
          <w:tcPr>
            <w:tcW w:w="1900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EE418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560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FAFC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Description</w:t>
            </w:r>
          </w:p>
        </w:tc>
        <w:tc>
          <w:tcPr>
            <w:tcW w:w="2560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D645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Yes (2)</w:t>
            </w:r>
          </w:p>
        </w:tc>
        <w:tc>
          <w:tcPr>
            <w:tcW w:w="2560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C0F0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Partial (1)</w:t>
            </w:r>
          </w:p>
        </w:tc>
        <w:tc>
          <w:tcPr>
            <w:tcW w:w="1360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CB04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No (0)</w:t>
            </w:r>
          </w:p>
        </w:tc>
        <w:tc>
          <w:tcPr>
            <w:tcW w:w="1200" w:type="dxa"/>
            <w:tcBorders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1EDE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/>
                <w:i w:val="0"/>
                <w:iCs w:val="0"/>
                <w:color w:val="000000"/>
                <w:sz w:val="16"/>
                <w:szCs w:val="16"/>
              </w:rPr>
              <w:t>N/A</w:t>
            </w:r>
          </w:p>
        </w:tc>
      </w:tr>
      <w:tr w14:paraId="3F75372E">
        <w:tc>
          <w:tcPr>
            <w:tcW w:w="5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1575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</w:t>
            </w:r>
          </w:p>
        </w:tc>
        <w:tc>
          <w:tcPr>
            <w:tcW w:w="17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86B5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Participants &amp; Sample Size</w:t>
            </w:r>
          </w:p>
        </w:tc>
        <w:tc>
          <w:tcPr>
            <w:tcW w:w="19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74FB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Participant flow and sample-size justification</w:t>
            </w:r>
          </w:p>
        </w:tc>
        <w:tc>
          <w:tcPr>
            <w:tcW w:w="25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4834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the number of participants screened, included, and analyzed at each stage; provides justification for sample size (e.g., a priori power analysis, events-per-variable rule of thumb, or rationale tied to subject-wise cross-validation fea</w:t>
            </w:r>
            <w:bookmarkStart w:id="0" w:name="_GoBack"/>
            <w:bookmarkEnd w:id="0"/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sibility).</w:t>
            </w:r>
          </w:p>
        </w:tc>
        <w:tc>
          <w:tcPr>
            <w:tcW w:w="25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B704D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both participant flow (numbers at each stage) AND a quantitative or qualitative rationale for sample size.</w:t>
            </w:r>
          </w:p>
        </w:tc>
        <w:tc>
          <w:tcPr>
            <w:tcW w:w="25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3B74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participant flow but no rationale for sample size, OR provides rationale without clear flow.</w:t>
            </w:r>
          </w:p>
        </w:tc>
        <w:tc>
          <w:tcPr>
            <w:tcW w:w="13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EA67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Neither flow nor sample-size rationale is reported.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D9E0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Not applicable in standard ML prediction studies; assign 0 if reporting is absent.</w:t>
            </w:r>
          </w:p>
        </w:tc>
      </w:tr>
      <w:tr w14:paraId="33263DEB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37CA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369E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Data Quality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0BE8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Handling of missing data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DAEBC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Describes how missing data (e.g., dropped channels, motion-corrupted trials, withdrawn participants) were identified and handled (e.g., interpolation, exclusion, multiple imputation, channel rejection thresholds).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8CF0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Explicitly states the missing-data mechanism considered AND the handling method applied.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C5D7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Mentions missing data or exclusions but does not fully describe the handling method.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7439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 mention of missing data or how exclusions were handled.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F0F0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Study reports no missing data and explicitly states this (rare in NIRS).</w:t>
            </w:r>
          </w:p>
        </w:tc>
      </w:tr>
      <w:tr w14:paraId="5A27DF95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E79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7BB6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Validation Design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627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Train/validation/test data splitting (subject-wise vs trial-wise)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4B25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Specifies how data were partitioned for model training, hyperparameter selection, and final evaluation. Critically, distinguishes subject-wise (leave-one-subject-out, group k-fold) from trial-wise (random k-fold across all trials) splitting, since trial-wise splitting on within-subject data causes data leakage and inflates performance.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0F8C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Splitting strategy is explicitly described AND uses subject-wise splitting (or justifies trial-wise splitting for between-subject prediction).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9C0BF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Splitting strategy is described but uses trial-wise splitting on within-subject data without justification, OR splitting is described in insufficient detail to determine leakage risk.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FF98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Splitting strategy is not described, or random splitting is used with no specification of unit (subject vs trial).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DA96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Not applicable in standard ML prediction studies; assign 0 if reporting is absent.</w:t>
            </w:r>
          </w:p>
        </w:tc>
      </w:tr>
      <w:tr w14:paraId="0B5917E7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4166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824B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Validation Design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5917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Class balance and chance-level baseline reporting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30C0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the class distribution in the dataset and the chance-level (or majority-class) baseline against which model accuracy is compared. Essential for interpreting accuracy metrics in imbalanced or small-class-count classification problems.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20EC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class distribution AND chance-level baseline (or equivalent), and compares model performance against it.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5CF0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one of the two (class distribution or chance baseline) but not both.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84752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neither class distribution nor chance-level baseline.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6E2D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Study is regression-only (no classification component); item not applicable.</w:t>
            </w:r>
          </w:p>
        </w:tc>
      </w:tr>
      <w:tr w14:paraId="62C15C0A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CA6A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A31DB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Modeling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54C5F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 engineering and dimensionality reduction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992A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Describes how input features were derived from raw NIRS signals (e.g., mean ΔHbO, slope, time-frequency features, end-to-end deep learning) and any dimensionality-reduction or feature-selection step (e.g., PCA, mRMR, recursive feature elimination, no reduction).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FFAD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Both feature derivation AND dimensionality-reduction strategy (including "no reduction performed") are explicitly described.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A74D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Feature derivation is described but dimensionality reduction is not addressed, or vice versa.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70DF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Neither feature derivation nor dimensionality reduction is described.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C5E2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Not applicable in standard ML prediction studies; assign 0 if reporting is absent.</w:t>
            </w:r>
          </w:p>
        </w:tc>
      </w:tr>
      <w:tr w14:paraId="4449291A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284C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6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F531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Modeling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FAE3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Hyperparameter tuning procedure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6BF9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Describes how model hyperparameters (e.g., learning rate, regularization strength, number of layers) were selected. Critical that tuning is performed on a validation partition disjoint from the test set to avoid optimistic bias.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62CE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Tuning procedure is described (e.g., grid search, random search, Bayesian optimization) AND tuning is performed on a partition disjoint from the test set.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1841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Tuning is mentioned but the procedure or partition disjointness is unclear.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808E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Hyperparameter tuning is not described, or default hyperparameters are used without acknowledgment.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6674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Study uses a fixed-architecture model with no tunable hyperparameters and explicitly states this.</w:t>
            </w:r>
          </w:p>
        </w:tc>
      </w:tr>
      <w:tr w14:paraId="2C7B0C83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D182B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7C0B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Model Comparison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A6D8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Presence and choice of comparator or baseline models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5CDE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Includes at least one comparator model (e.g., a simpler classical-ML baseline, a published benchmark, or a chance-level model) against which the proposed model is evaluated. Essential for assessing whether reported performance reflects genuine improvement.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03A9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At least one meaningful comparator model is included AND its choice is justified (e.g., established benchmark, simpler model for parsimony check).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4065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 comparator is included but its choice is not justified, or only a chance-level baseline is reported without a model comparator.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C13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 comparator model is included.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6739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Not applicable in standard ML prediction studies; assign 0 if reporting is absent.</w:t>
            </w:r>
          </w:p>
        </w:tc>
      </w:tr>
      <w:tr w14:paraId="318E3919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13B5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D221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Generalizability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0CE5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External validation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5585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model performance on data not used at any stage of training, validation, or hyperparameter selection — ideally from a different cohort, site, device, or session. External validation is the strongest evidence of generalizability.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E2B5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Performance is evaluated on a fully external dataset (different cohort, site, device, or independently collected session).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219E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Performance is evaluated on a held-out within-cohort test set that was not used for tuning, but no fully external dataset is used.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19A7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 held-out test set is reported, or the test set was used during hyperparameter tuning.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3B44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Not applicable in standard ML prediction studies; assign 0 if reporting is absent.</w:t>
            </w:r>
          </w:p>
        </w:tc>
      </w:tr>
      <w:tr w14:paraId="2A17C55F"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F368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9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343F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Uncertainty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283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Model calibration and uncertainty reporting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A1FA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calibration of predicted probabilities (for classification) or prediction-interval coverage (for regression), and/or quantifies uncertainty in performance estimates (e.g., bootstrap confidence intervals, cross-validation standard deviation across folds).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E558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both a calibration assessment (or justifies its omission) AND an uncertainty quantification on the headline performance metric.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061C3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one of the two (calibration or uncertainty) but not both.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3873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Reports neither calibration nor uncertainty quantification; only point estimates of performance.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5406A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Not applicable in standard ML prediction studies; assign 0 if reporting is absent.</w:t>
            </w:r>
          </w:p>
        </w:tc>
      </w:tr>
      <w:tr w14:paraId="57A1687C">
        <w:tc>
          <w:tcPr>
            <w:tcW w:w="56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3D4CC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9FE1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Interpretability</w:t>
            </w:r>
          </w:p>
        </w:tc>
        <w:tc>
          <w:tcPr>
            <w:tcW w:w="190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3F3D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Interpretability or explainability methods</w:t>
            </w:r>
          </w:p>
        </w:tc>
        <w:tc>
          <w:tcPr>
            <w:tcW w:w="256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7112E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Applies an interpretability or explainable-AI method (e.g., SHAP, LIME, integrated gradients, attention-weight visualization, channel-importance analysis, feature-coefficient inspection) to relate model predictions to physiologically meaningful inputs.</w:t>
            </w:r>
          </w:p>
        </w:tc>
        <w:tc>
          <w:tcPr>
            <w:tcW w:w="256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16507D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An interpretability method is applied AND the resulting insights are linked to physiological interpretation (e.g., channel locations, hemodynamic features).</w:t>
            </w:r>
          </w:p>
        </w:tc>
        <w:tc>
          <w:tcPr>
            <w:tcW w:w="256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2B973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An interpretability method is applied but is not linked to physiological interpretation, OR feature importance is reported only at the algorithm level without anatomical or physiological mapping.</w:t>
            </w:r>
          </w:p>
        </w:tc>
        <w:tc>
          <w:tcPr>
            <w:tcW w:w="136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42AC6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 interpretability or explainability method is applied.</w:t>
            </w:r>
          </w:p>
        </w:tc>
        <w:tc>
          <w:tcPr>
            <w:tcW w:w="1200" w:type="dxa"/>
            <w:tcBorders>
              <w:top w:val="nil"/>
              <w:left w:val="nil"/>
              <w:right w:val="nil"/>
            </w:tcBorders>
            <w:shd w:val="clear" w:color="auto" w:fill="FFFFFF"/>
            <w:tcMar>
              <w:top w:w="30" w:type="dxa"/>
              <w:left w:w="70" w:type="dxa"/>
              <w:bottom w:w="30" w:type="dxa"/>
              <w:right w:w="70" w:type="dxa"/>
            </w:tcMar>
            <w:vAlign w:val="center"/>
          </w:tcPr>
          <w:p w14:paraId="60297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240" w:lineRule="auto"/>
              <w:jc w:val="left"/>
              <w:textAlignment w:val="auto"/>
              <w:rPr>
                <w:rFonts w:hint="default" w:ascii="Times New Roman Regular" w:hAnsi="Times New Roman Regular" w:cs="Times New Roman Regular"/>
                <w:b w:val="0"/>
                <w:color w:val="000000"/>
              </w:rPr>
            </w:pPr>
            <w:r>
              <w:rPr>
                <w:rFonts w:hint="default" w:ascii="Times New Roman Regular" w:hAnsi="Times New Roman Regular" w:eastAsia="Arial" w:cs="Times New Roman Regular"/>
                <w:b w:val="0"/>
                <w:bCs w:val="0"/>
                <w:i w:val="0"/>
                <w:iCs w:val="0"/>
                <w:color w:val="000000"/>
                <w:sz w:val="15"/>
                <w:szCs w:val="15"/>
              </w:rPr>
              <w:t>Not applicable in standard ML prediction studies; assign 0 if reporting is absent.</w:t>
            </w:r>
          </w:p>
        </w:tc>
      </w:tr>
    </w:tbl>
    <w:p w14:paraId="260BC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  <w:r>
        <w:rPr>
          <w:rFonts w:hint="default" w:ascii="Times New Roman Regular" w:hAnsi="Times New Roman Regular" w:eastAsia="Arial" w:cs="Times New Roman Regular"/>
          <w:b w:val="0"/>
          <w:bCs w:val="0"/>
          <w:i w:val="0"/>
          <w:iCs w:val="0"/>
          <w:color w:val="auto"/>
          <w:sz w:val="17"/>
          <w:szCs w:val="17"/>
        </w:rPr>
        <w:t>Reporting-quality checklist used to score included studies. Each item is scored Yes (2), Partial (1), No (0), or N/A.</w:t>
      </w:r>
    </w:p>
    <w:p w14:paraId="3CE14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cs="Times New Roman Regular"/>
          <w:color w:val="auto"/>
        </w:rPr>
      </w:pPr>
    </w:p>
    <w:sectPr>
      <w:pgSz w:w="15840" w:h="12240" w:orient="landscape"/>
      <w:pgMar w:top="720" w:right="720" w:bottom="720" w:left="72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90204"/>
    <w:charset w:val="00"/>
    <w:family w:val="auto"/>
    <w:pitch w:val="default"/>
    <w:sig w:usb0="E0000AFF" w:usb1="00007843" w:usb2="00000001" w:usb3="00000000" w:csb0="400001BF" w:csb1="DFF7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doNotDisplayPageBoundaries w:val="1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5844C323"/>
    <w:rsid w:val="F7F2EB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iPriority="99" w:name="endnote reference"/>
    <w:lsdException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next w:val="1"/>
    <w:qFormat/>
    <w:uiPriority w:val="0"/>
    <w:rPr>
      <w:color w:val="2E74B5"/>
      <w:sz w:val="32"/>
      <w:szCs w:val="32"/>
    </w:rPr>
  </w:style>
  <w:style w:type="paragraph" w:styleId="3">
    <w:name w:val="heading 2"/>
    <w:next w:val="1"/>
    <w:qFormat/>
    <w:uiPriority w:val="0"/>
    <w:rPr>
      <w:color w:val="2E74B5"/>
      <w:sz w:val="26"/>
      <w:szCs w:val="26"/>
    </w:rPr>
  </w:style>
  <w:style w:type="paragraph" w:styleId="4">
    <w:name w:val="heading 3"/>
    <w:next w:val="1"/>
    <w:qFormat/>
    <w:uiPriority w:val="0"/>
    <w:rPr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i/>
      <w:iCs/>
      <w:color w:val="2E74B5"/>
      <w:sz w:val="21"/>
      <w:szCs w:val="22"/>
    </w:rPr>
  </w:style>
  <w:style w:type="paragraph" w:styleId="6">
    <w:name w:val="heading 5"/>
    <w:next w:val="1"/>
    <w:qFormat/>
    <w:uiPriority w:val="0"/>
    <w:rPr>
      <w:color w:val="2E74B5"/>
      <w:sz w:val="21"/>
      <w:szCs w:val="22"/>
    </w:rPr>
  </w:style>
  <w:style w:type="paragraph" w:styleId="7">
    <w:name w:val="heading 6"/>
    <w:next w:val="1"/>
    <w:qFormat/>
    <w:uiPriority w:val="0"/>
    <w:rPr>
      <w:color w:val="1F4D78"/>
      <w:sz w:val="21"/>
      <w:szCs w:val="22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endnote text"/>
    <w:link w:val="18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9">
    <w:name w:val="footnote text"/>
    <w:link w:val="17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10">
    <w:name w:val="Title"/>
    <w:qFormat/>
    <w:uiPriority w:val="0"/>
    <w:rPr>
      <w:sz w:val="56"/>
      <w:szCs w:val="56"/>
    </w:rPr>
  </w:style>
  <w:style w:type="character" w:styleId="13">
    <w:name w:val="endnote reference"/>
    <w:semiHidden/>
    <w:unhideWhenUsed/>
    <w:uiPriority w:val="99"/>
    <w:rPr>
      <w:vertAlign w:val="superscript"/>
    </w:rPr>
  </w:style>
  <w:style w:type="character" w:styleId="14">
    <w:name w:val="Hyperlink"/>
    <w:unhideWhenUsed/>
    <w:uiPriority w:val="99"/>
    <w:rPr>
      <w:color w:val="0563C1"/>
      <w:u w:val="single"/>
    </w:rPr>
  </w:style>
  <w:style w:type="character" w:styleId="15">
    <w:name w:val="footnote reference"/>
    <w:semiHidden/>
    <w:unhideWhenUsed/>
    <w:uiPriority w:val="99"/>
    <w:rPr>
      <w:vertAlign w:val="superscript"/>
    </w:rPr>
  </w:style>
  <w:style w:type="paragraph" w:styleId="16">
    <w:name w:val="List Paragraph"/>
    <w:qFormat/>
    <w:uiPriority w:val="0"/>
    <w:rPr>
      <w:sz w:val="21"/>
      <w:szCs w:val="22"/>
    </w:rPr>
  </w:style>
  <w:style w:type="character" w:customStyle="1" w:styleId="17">
    <w:name w:val="Footnote Text Char"/>
    <w:link w:val="9"/>
    <w:semiHidden/>
    <w:unhideWhenUsed/>
    <w:uiPriority w:val="99"/>
    <w:rPr>
      <w:sz w:val="20"/>
      <w:szCs w:val="20"/>
    </w:rPr>
  </w:style>
  <w:style w:type="character" w:customStyle="1" w:styleId="18">
    <w:name w:val="Endnote Text Char"/>
    <w:link w:val="8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0</TotalTime>
  <ScaleCrop>false</ScaleCrop>
  <LinksUpToDate>false</LinksUpToDate>
  <Application>WPS Office_7.4.1.8983_F1E327BC-269C-435d-A152-05C5408002CA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becb91676</cp:lastModifiedBy>
  <dcterms:modified xsi:type="dcterms:W3CDTF">2026-07-18T07:29:11Z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2052-7.4.1.8983</vt:lpwstr>
  </property>
  <property fmtid="{D5CDD505-2E9C-101B-9397-08002B2CF9AE}" pid="3" name="ICV">
    <vt:lpwstr>E1D807208C5E653F97715B6A1452ECDA_43</vt:lpwstr>
  </property>
</Properties>
</file>