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045E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Arial" w:cs="Times New Roman Regular"/>
          <w:b/>
          <w:bCs/>
          <w:i w:val="0"/>
          <w:iCs w:val="0"/>
          <w:color w:val="auto"/>
          <w:sz w:val="26"/>
          <w:szCs w:val="26"/>
        </w:rPr>
        <w:t>Table S1. Bimodal and Multimodal NIRS Study Inventory</w:t>
      </w:r>
    </w:p>
    <w:p w14:paraId="7D1BF4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Arial" w:cs="Times New Roman Regular"/>
          <w:b w:val="0"/>
          <w:bCs w:val="0"/>
          <w:i w:val="0"/>
          <w:iCs w:val="0"/>
          <w:color w:val="auto"/>
          <w:sz w:val="17"/>
          <w:szCs w:val="17"/>
        </w:rPr>
        <w:t>Configuration, synchronization, fusion architecture, and ablation results for combined-modality NIRS studies.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521"/>
        <w:gridCol w:w="979"/>
        <w:gridCol w:w="1186"/>
        <w:gridCol w:w="2375"/>
        <w:gridCol w:w="2426"/>
        <w:gridCol w:w="2062"/>
        <w:gridCol w:w="2224"/>
        <w:gridCol w:w="2767"/>
      </w:tblGrid>
      <w:tr w14:paraId="10DCFAE8">
        <w:trPr>
          <w:tblHeader/>
        </w:trPr>
        <w:tc>
          <w:tcPr>
            <w:tcW w:w="0" w:type="auto"/>
            <w:tcBorders>
              <w:left w:val="nil"/>
              <w:bottom w:val="single" w:color="auto" w:sz="4" w:space="0"/>
              <w:right w:val="nil"/>
              <w:tl2br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61E57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Study ID</w:t>
            </w:r>
          </w:p>
        </w:tc>
        <w:tc>
          <w:tcPr>
            <w:tcW w:w="0" w:type="auto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72F4D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First Author (Year)</w:t>
            </w:r>
          </w:p>
        </w:tc>
        <w:tc>
          <w:tcPr>
            <w:tcW w:w="0" w:type="auto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2E9E6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Modalities Combined</w:t>
            </w:r>
          </w:p>
        </w:tc>
        <w:tc>
          <w:tcPr>
            <w:tcW w:w="0" w:type="auto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1D81B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NIRS Configuration (channels, anatomical site)</w:t>
            </w:r>
          </w:p>
        </w:tc>
        <w:tc>
          <w:tcPr>
            <w:tcW w:w="0" w:type="auto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16BE9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Companion Modality Configuration</w:t>
            </w:r>
          </w:p>
        </w:tc>
        <w:tc>
          <w:tcPr>
            <w:tcW w:w="0" w:type="auto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7BF6B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Synchronization Method</w:t>
            </w:r>
          </w:p>
        </w:tc>
        <w:tc>
          <w:tcPr>
            <w:tcW w:w="0" w:type="auto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4F205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Fusion Level and Architecture</w:t>
            </w:r>
          </w:p>
        </w:tc>
        <w:tc>
          <w:tcPr>
            <w:tcW w:w="0" w:type="auto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193E2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Ablation Result (multimodal vs unimodal)</w:t>
            </w:r>
          </w:p>
        </w:tc>
      </w:tr>
      <w:tr w14:paraId="63CDA20B"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3D860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S54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DBC31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Zimmermann R (2013)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BC24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fNIRS + biosignals (ECG-derived HR, blood pressure, respiratory flow, skin conductance response)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59DA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8 light paths total (4 per probe at 2.0/2.5/3.5/4.0 cm separations); 2 wavelengths (692/834 nm); contralateral left primary motor cortex (M1, ~C3) and ventral premotor cortex (PMv, ~FC5)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7C162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g.USBamp biosignal amplifier at 600 Hz: bipolar ECG (2 channels), nasal thermistor respiratory flow, finger CNAP continuous blood pressure, finger skin conducta</w:t>
            </w:r>
            <w:bookmarkStart w:id="0" w:name="_GoBack"/>
            <w:bookmarkEnd w:id="0"/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nce response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EC16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Hardware trigger signals from a Simulink-controlled NI USB-6008 DAQ sent to the fNIRS Auxiliary Input Module to mark task onsets/offsets; biosignals acquired through the same Simulink model on the host PC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D1CD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Feature-level fusion within a dual hidden Markov model (HMM) framework; per-class HMMs (rest vs active) trained on multivariate observations combining fNIRS feature signals (linear-combination weights from M1 and PMv) with the four biosignal channels; full covariance Gaussian mixture emissions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8DF7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fNIRS-only mean accuracy 79.4% vs combined fNIRS+biosignals 88.5% (p = 0.02); sensitivity 78.3% to 87.2% (p = 0.008); specificity 80.5% to 89.9% (p = 0.062)</w:t>
            </w:r>
          </w:p>
        </w:tc>
      </w:tr>
      <w:tr w14:paraId="021A028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C2B4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384F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Blokland Y (2014)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A264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fNIRS + EEG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3D28F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2 fNIRS channels (one per hemisphere) using 2 transmitters (764/858 nm) and 1 receiver per channel with 35 mm target and 10 mm reference inter-optode distances for short-channel scalp regression; placed around C3 and C4 over sensorimotor cortex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AF0B5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8-channel passive Porti EEG system (TMSi) at 2048 Hz; electrodes at C3, FC3, C5, CP3, C4, FC4, C6, CP4 (10/20 system) co-located with the fNIRS optodes on a custom integrated cap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F796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Co-located EEG electrodes and fNIRS optodes on a single custom cap; offline alignment of trial-locked 3 s segments using shared task event timing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7972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Decision-level (late) fusion via naive-Bayesian combination of calibrated per-modality logistic-regression classifiers; EEG classifier on alpha/beta power features (0–15 s window) plus three separate fNIRS classifiers (HbO, HHb, combined HbO+HHb) on 3–18 s windows; class probabilities summed in log-odds space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B8AE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Patients with tetraplegia, attempted movement vs rest: EEG 73%, fNIRS 70%, combined 79%; imagined movement: EEG 63%, fNIRS 65%, combined 70%. Healthy controls, actual movement vs rest: EEG 84%, fNIRS 77%, combined 87%; imagined movement: EEG 77%, fNIRS 59%, combined 79%. Combined &gt; EEG-only significant for all conditions except control motor imagery</w:t>
            </w:r>
          </w:p>
        </w:tc>
      </w:tr>
      <w:tr w14:paraId="0A54438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7232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F7B18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Abtahi M (2020)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199DE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fNIRS + EEG + body kinematics (IMU-based motion capture for gross movements + WearUp instrumented glove for fine finger movements)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5311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NIRScout system (NIRx) with 8 sources and 8 detectors yielding 18 channels (2 channels excluded due to source malfunction, 16 used); 2 wavelengths (760/850 nm); 7.81 Hz sampling; placed over motor cortex per international 10-20 system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C0AD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g.USBAMP EEG (g.tec) at 256 Hz with 13 electrodes (FC3, FC4, C1, Cz, C2, C3, C4, CP1, CP2, CP3, CP4, P3, P4); YEI 3-Space non-optical motion capture with 17 IMU sensors at 50 Hz upsampled to 256 Hz (3 sensors used per task); WearUp glove with 2 woven flexible sensors at ~50 Hz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6CBC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Custom Brain-Body Monitoring application programming interface (BBM API) built on Python wrappers (Threespace for IMUs, Lab Streaming Layer for fNIRS via NIRStar) to coordinate start/stop and timestamp streams; EEG synchronized via trigger output from g.tec amplifier; signals resampled and aligned to 256 Hz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7EE2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Feature-level fusion: per-trial 1 s averaged features concatenated across modalities (16 fNIRS HbO channels + 39 EEG band-power features [theta, alpha, beta over 13 channels] + 1 kinematic feature = 56 features) into support vector machine classifiers; 12 SVM kernels (linear, polynomial, radial) compared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B13E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PD vs neurotypical classification with all-activities-fused data: fNIRS-only 81.23%, EEG-only 92.79%, fNIRS+EEG hybrid 92.27%, all-modalities fused 93.40% accuracy; per-activity classification ≥83% accuracy across all 8 motor tasks</w:t>
            </w:r>
          </w:p>
        </w:tc>
      </w:tr>
      <w:tr w14:paraId="09824D6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B73D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6C39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AL-Quraishi MS (2021)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2B90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fNIRS + EEG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F84A9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Hitachi OT-R40 multichannel system; 48 fNIRS channels (4×4 probe over each hemisphere) at 10 Hz; 2 wavelengths (695/830 nm); 3 cm inter-optode distance; bilateral sensorimotor cortex covering primary motor, premotor, and supplementary motor areas around Cz with foot-area representation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1361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BrainMaster Discovery 24E EEG at 256 Hz with 19 electrodes (FCz, FC1–FC4, Cz, C1–C6, CPz, CP1–CP6) over bilateral motor cortex referenced to linked earlobes (A1–A2); 10/10 placement; impedance &lt; 5 kΩ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871C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Custom MATLAB code on the host PC sent simultaneous trigger signals to the EEG system (parallel port) and fNIRS system (serial port) at task start/end markers within each trial; integrated EEG-fNIRS cap (MCScap) co-localized electrodes and optodes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8E3A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Feature-level fusion via channel-pair selection guided by Pearson correlation between alpha-band (8–11 Hz) ERD on EEG and oxy-hemoglobin on fNIRS; concatenated time-domain EEG features (MAV, RMS, waveform length, AR coefficients) with fNIRS statistical features (variance, kurtosis, skewness) on 1 s sliding windows; classified with a support vector machine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B601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Right vs left ankle joint movement classification: fNIRS-alone 85.61%, EEG-alone 89.39%, fNIRS+EEG all channels 92.13%, fNIRS+EEG correlated channels only 93.01% accuracy (p = 0.0018 vs fNIRS, p = 0.0083 vs EEG)</w:t>
            </w:r>
          </w:p>
        </w:tc>
      </w:tr>
      <w:tr w14:paraId="4244C4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03805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F10D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Ortega P (2021)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2774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fNIRS + EEG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AB4E8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NIRScout (NIRx) with 24 channels (12 per hemisphere from 10 sources and 8 detectors) at 12.5 Hz; 2 wavelengths (760/850 nm); ~3 cm inter-optode distance; bilateral sensorimotor cortex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E607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ActiChamp EEG amplifier (BrainProducts) initially at 4 kHz, downsampled to 500 Hz; 24 EEG electrodes co-aligned with the fNIRS layout (one electrode placed between each fNIRS source-detector pair) over bilateral sensorimotor cortex; independent EOG recording for ICA-based ocular artifact removal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57781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Co-located multimodal probe layout with EEG electrodes physically interleaved between fNIRS source-detector pairs on a single cap; downsampled to a common 12.5 Hz grid for the Hilbert-feature input stream and 80 Hz for the raw-EEG input stream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0D4B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Attention-based deep learning fusion: a custom convolutional neural network with residual connections and self-attention layers (cnnatt) takes parallel fNIRS (HbO/HbR) and EEG (Hilbert envelope and instantaneous phase across delta, theta, alpha, beta, low-/mid-/high-gamma) inputs through modality-specific 1D convolutional layers, concatenates them via skip connections and a self-attention mechanism, and outputs continuous bilateral force; LSTM and mixture-density-network variants also evaluated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820F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Continuous bimanual grip force trajectory reconstruction (FVAF[%], left/right hand): linear EEG-only 34.2/33.9, linear fNIRS-only 38.2/42.3, linear multimodal 46.9/49.9, cnnatt multimodal 54.2/55.6, cnnatt-LSTM multimodal 58.6/59.6; force-onset detection accuracy improved from 78.7/79.0% (linear multimodal) to 86.1/86.4% (cnnatt) and 87.0/87.1% (cnnatt-LSTM)</w:t>
            </w:r>
          </w:p>
        </w:tc>
      </w:tr>
      <w:tr w14:paraId="75D0065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0F7B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169A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Jiang Y-C (2022)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E259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fNIRS + EEG (with auxiliary EOG and neck sEMG used only for artifact rejection)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8543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NIRScout continuous-wave system (NIRx) with 12 sources and 12 detectors yielding 37 channels at 5.21 Hz; 2 wavelengths (785/830 nm); ~3 cm inter-optode distance; covering bilateral premotor, primary motor (M1), and primary somatosensory (S1) cortices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21D7C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g.Hlamp EEG amplifier (g.tec) at 1200 Hz with 36 electrodes (10–10 system, F7–F8, FT7–FT8, T7–T8, TP7–TP8 rows) over PMC/M1/S1 referenced at FCz; plus 4 EOG electrodes and 4 neck sEMG electrodes (bilateral trapezius and sternocleidomastoid) on the same g.Hlamp at 1200 Hz for artifact identification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CF87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Psychophysics Toolbox 3 (PTB-3) on a single visual-cue PC controlled task presentation and broadcast event triggers simultaneously to the EEG and fNIRS acquisition systems for hardware-level synchronization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1132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Feature-level fusion using task-related component analysis (TRCA): per-modality TRCA spatial filters trained on each bimanual cyclical task; resulting low-dimensional task-similarity correlation indicators (3 EEG + 3 fNIRS per trial) concatenated and fed to LDA, SVM, and random forest classifiers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E8274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Three-class single-trial classification of bimanual cyclical tasks (in-phase / 90° out-of-phase / anti-phase) with 15 training trials and SVM: EEG-only 74.8%, fNIRS-only 82.2%, fused EEG+fNIRS 90.1% accuracy (one-way ANOVA across modalities p ≤ 0.005)</w:t>
            </w:r>
          </w:p>
        </w:tc>
      </w:tr>
      <w:tr w14:paraId="5C76991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339E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EE83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Syed AU (2023)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8FA8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fNIRS + sEMG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84B2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NIRSport (NIRx) continuous-wave system at 7.81 Hz; 8 sources and 8 detectors yielding 20 channels; 3 cm inter-optode distance; placed on the motor cortex according to the 10–5 international system (between nasion-inion and pre-auricular reference points, Cz center); fOLD-toolbox-guided probe placement at 15% specificity threshold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A1EC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Thalmic Labs Myo armband at 200 Hz: 8 dry sEMG electrodes plus a 9-axis IMU (3-axis gyroscope and accelerometer), worn around the bicep brachii (or residual limb of trans-humeral amputees); range −30 to +70 mV; z-score-based channel selection (48 mV threshold healthy, 16 mV threshold amputees)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348E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Both modalities recorded in parallel during pre-cued tasks following a 30 s baseline, with 10 s task and 20 s rest periods controlled by the same paradigm script; LabVIEW used for sEMG storage and the NIRStar/nirsLAB pipeline for fNIRS, with synchronized session-level start markers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9273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Feature-level fusion in a custom convolutional neural network: 150 ms windows on sEMG (peak, mean, wavelength) and 2 s windows on fNIRS (peak, minimum, mean ΔHbO and ΔHbR) feed three sequential 1-D convolutional blocks (kernel sizes 7, 5, 3; 128/128/64 filters with max-pooling), then global average pooling, two fully connected layers (512, 128) and an 8-way softmax; preprocessed by a product-of-peaks-and-power (PP) transform to stabilize non-stationary inputs; combined with weighted decision logic that switches reliance between modalities when sEMG quality drops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F3264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Eight-class upper-limb intention classification (EE, EF, WS, WP, WE, WF, HO, HC) on 20 healthy and 4 trans-humeral amputee participants: sEMG-only 91.81%, fNIRS-only 93.65%, fused sEMG+fNIRS 98% maximum and 94.5% average accuracy; hybrid scheme yielded ~6% absolute accuracy improvement over the best single modality, with paired t-test p = 0.0001 versus sEMG and fNIRS alone; real-time prosthetic-arm control validated with 0/30 to 1/30 misclassifications per motion in healthy and 0/15 to 1/10 in amputee subjects</w:t>
            </w:r>
          </w:p>
        </w:tc>
      </w:tr>
      <w:tr w14:paraId="315D33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EBC4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8328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Wu F (2025)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4A08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fNIRS + EEG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72DF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NIRSport continuous-wave system (NIRx) at 10.2 Hz; 12 sources and 12 detectors yielding 38 channels; 2 wavelengths (760/850 nm); 3 cm inter-optode distance; covering bilateral premotor cortex, primary motor cortex (M1) and primary somatosensory cortex (S1)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03EF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BrainAmp DC amplifier (Brain Products) at 1000 Hz; 10 EEG electrodes (F3, Fz, F4, FC1, FC2, C3, Cz, C4, CP1, CP2) over PMC/M1/S1 referenced to FCz with ground at Fpz; co-located with fNIRS optodes on a single cap arranged according to 10-20/10-10 systems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D205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Custom Python script dispatched a synchronization trigger to both EEG and fNIRS systems concurrently with the onset of each trial; co-located cap with NIRSite-guided montage to align electrodes and optodes spatially; data downsampled to a common reference for cross-modal feature extraction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21D0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Feature-level fusion using task-related component analysis (TRCA): per-modality TRCA spatial filters trained on each gait task to extract reproducible task-locked components; band-specific (theta/alpha/beta) ERSP and ΔHbO time courses from each 5 s task segment summarized into 20-dimensional feature vectors per modality; concatenated EEG-TRCA + fNIRS-TRCA vectors classified by an XGBoost three-class model under leave-one-subject-out cross-validation; neurovascular coupling additionally quantified by HRF-convolved EEG cross-correlated with HbO over a ±6 s lag window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44C5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Three-class single-trial classification of automated vs discrete gait tasks (continuous walking / isolated gait phase / single-limb stance) on 18 healthy adults: EEG-Avg 49.02%, fNIRS-Avg 47.06%, EEG-Avg+fNIRS-Avg ~58%, EEG-TRCA ~69%, fNIRS-TRCA ~57%, fused EEG-TRCA+fNIRS-TRCA 74.51% accuracy (p = 0.042 vs EEG-Avg, p = 0.038 vs fNIRS-Avg); TRCA significantly increased within-class similarity and between-class discriminability for both modalities (p &lt; 0.05) and revealed task-specific alpha-band coupling (stronger negative coupling in IGPT vs CW, p = 0.046)</w:t>
            </w:r>
          </w:p>
        </w:tc>
      </w:tr>
      <w:tr w14:paraId="12A8ACC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56C60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67DDE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He X (2026)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17BFC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fNIRS + EEG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C689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NirSmart commercial system (China) at 10 Hz; multi-source/detector montage forming a 14×14 reconstructed image after 2D scalp projection; covering bilateral pre-motor and supplementary motor area (BA6), primary motor cortex (BA4), and somatosensory association cortex (BA7); MNI coordinates obtained via Patriot 3D digitizer (Polhemus); HbO/HbR/HbT/HbD parameters computed via the modified Beer–Lambert law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F6A2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g.tec 32-channel EEG system (Austria) at 250 Hz, co-mounted in a custom integrated cap with fNIRS optodes; Cz-centered placement at the intersection of sagittal and coronal planes; bipolar Ag–AgCl EMG electrodes on biceps brachii and triceps brachii sampled at 1000 Hz (NI DAQ-6341) for myoelectric-controlled interface (MCI) cursor control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9FB8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Custom-written program output marker signals to synchronize EEG, EMG and fNIRS streams; LabVIEW handled task presentation, EMG processing and target trajectory generation while a synchronization program time-stamped events for the fNIRS-EEG system; one-second moving window with 0.125 s step on EEG features aligned with delayed fNIRS amplitudes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D4D6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Feature-level (early) weighted integration model: Hilbert-transform-derived time-phase-frequency features (instantaneous amplitude, phase, frequency, power) extracted from EEG, normalized to [−1, 1] and channel-selected via Joint Mutual Information (JMI); per-time-window classification accuracies from an extreme learning machine (ELM) form a dynamic time-weight vector θ that modulates spatially aligned 14×14 fNIRS hemodynamic topographies (delays t = 0–4 s) to produce an fNIRS Guided Attention map (FGAmap); compared against constant-weight, neurovascular-coupling (HRF-convolved correlation) and PSD-band-power baselines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4A33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Within-class similarity for one-dimensional and two-dimensional MCI tracking tasks on 15 healthy participants: dynamic-weighted EEG-fNIRS 0.66 ± 0.17 (1D) and 0.62 ± 0.05 (2D), versus NVC (Beta-HbO) 0.58 ± 0.10 / 0.56 ± 0.08, PSD (beta band, EEG only) 0.38 ± 0.05 / 0.31 ± 0.09, and constant-weight (fNIRS only) 0.50 ± 0.09 / 0.53 ± 0.03; one-way ANOVA confirmed significant superiority of the dynamic weighted model (1D: p = 0.018, F = 8.38; 2D: p = 0.011, F = 10.46); only the dynamic model produced significant 1D-vs-2D differences in cortical activation (t[5,7] = 3.87, t[6,8] = 3.73; both p &lt; 0.05) and in high-activation channel count (t = 4.44, p &lt; 0.01)</w:t>
            </w:r>
          </w:p>
        </w:tc>
      </w:tr>
      <w:tr w14:paraId="5B2AA26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BCF1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1822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Huang J (2026)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7E27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NIRS + sEMG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7B582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60-channel NIRS module integrated within a custom hybrid sEMG-NIRS array (NMEP-HBO SyncACQ System) at 11 Hz; 18 emitter and 20 receiver probes with 30 mm emitter-to-receiver spacing; 21.25 cm × 12.75 cm flexible/elastic rubber probe belt covering lumbar erector spinae from L2 to L5; 2D HbO/HbR feature topographic maps (224 × 224 px) generated by cubic-spline interpolation; preprocessing in Homer3 with 0.01–0.2 Hz band-pass and targeted PCA motion-artifact correction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1F8E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60-channel surface electromyography on the same custom array at 2050 Hz, 24-bit precision, common-mode rejection &gt;95 dB; 6×10 transparent, flexible, stretchable electrode array with 21.2 mm inter-electrode distance; sEMG electrodes interlaced (diamond-and-grid) with NIRS probes for spatial co-localization; reference/ground electrodes on the sacral vertebrae; 10–500 Hz band-pass + 50 Hz notch filtering and ICA-based ECG-artifact removal; MDF and RMS feature topographic maps generated per 1000 ms window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04D0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Hybrid sEMG-NIRS sensor array enables co-located, simultaneous acquisition with sEMG electrodes positioned at the midpoint of each NIRS source-detector pair; transparent stretchable electrodes allow NIRS light to pass through; both modalities recorded by the integrated NMEP-HBO SyncACQ System with shared session timing; 1000 ms windows align the two sampling rates and Borg RPE scores time-locked for label generation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7013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Feature-level fusion via the dual-stream convolutional hybrid attention network (DCHANet): modality-specific streams with three sequential conv blocks (kernels 7/5/3, 32/64/128 channels), a parallel multi-scale conv block (max-pooling for sEMG, average-pooling for NIRS) and a Spatial-Channel Attention Module (SCAM, l = 3 for sEMG, l = 7 for NIRS); 384-channel feature maps from each stream are flattened, position- and modality-embedded, concatenated and passed through a hierarchical Joint Self-Attention Layer (JSAL) followed by sEMG and NIRS Multi-Head Cross-Attention layers, then fully connected (256, 128) and softmax (2 attention heads, L2 = 0.3, ~11.17 M parameters)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6D8E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Lower-back muscle-fatigue classification on 11 healthy male adults (FAT-3 / FAT-15 datasets): subject-wise multimodal DCHANet 97.93% / 91.06% accuracy versus sEMG-only (FAT-3 ~80.86%, FAT-15 ~34.7%; both p &lt; 0.001) and NIRS-only (FAT-3 ~95.86%, p = 0.035; FAT-15 ~89.30%, p = 0.007); cross-subject 96.80% / 88.53% with similar pattern; outperformed HOG-KNN/SVM/RF (FAT-15: +12.81%/+4.64%/+6.17%, all p &lt; 0.001) and Deep Multimodal CNN (+1.9%, p = 0.013); ablation showed feature-level attention fusion superior to baseline (DCANet, −1.88% subject-wise, −2.16% cross-subject) and decision-level fusion (DCANet-DF, −1.12% / −1.23%)</w:t>
            </w:r>
          </w:p>
        </w:tc>
      </w:tr>
      <w:tr w14:paraId="72A16261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BF21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S59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76A9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Lin J (2026)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850CA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EEG + fNIRS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9F4F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Nirsmart system (Danyang Huichuang) at 11 Hz; 17 sources and 16 detectors yielding 43 channels; 2 wavelengths (760/850 nm); 3 cm inter-optode distance; covering prefrontal lobe, motor cortex (sensorimotor cortex, supplementary motor area, premotor cortex) and occipital lobe; depth-weighted minimum norm estimate inverse model on a five-tissue MNI-ICBM152 head with Monte Carlo light-fluence simulation (1e8 photons)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B15C0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Neuroscan SynAmps2 64-channel EEG at 1000 Hz arranged on the international 10-10 system, electrode impedance &lt; 10 kΩ; sLORETA inverse modeling on a multi-layer BEM head model (OpenMEEG) with the same MNI-ICBM152 template and 15 000-vertex cortical mesh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825B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EEG and fNIRS co-acquired with hardware-level synchronization via a trigger box that simultaneously timestamped the start of each trial on both systems; co-mounted sensors on a custom acquisition cap; both source-reconstructed signals projected onto the Brodmann atlas to enable alignment in a unified cortical source space (50 overlapping ROIs)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B5E4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Feature-level fusion via an EEG-fNIRS multilayer brain network: intra-layer edges built from wPLI for EEG and Pearson correlation for fNIRS, binarized at 10–30% edge-density thresholds; inter-layer edges defined by subject-specific neurovascular-coupling strength estimated through least-squares deconvolution of a non-canonical HRF (15 s kernel, λ = 0.1) linking EEG beta-band time-frequency power to fNIRS HbO; multiplex network metrics (multiplex node degree, multirichness coefficient, multiplex clustering coefficient, multiplex participation coefficient) extracted on a 33×33 frontal-parietal sub-network and used as features in random-forest and SVR regression models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D3B4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Subacute hemiplegic stroke recovery study (19 patients: 11 rTMS, 8 sham; 13 healthy controls): rTMS group showed significant improvement in ipsilateral-hemisphere NVC strength (PCC 0.249 → 0.355, p = 0.010) and hemispheric laterality (−0.109 → 0.050, p = 0.024), and significantly higher ΔPCC vs sham (p = 0.020); multilayer multiplex node degree (p = 0.021) and multiplex clustering coefficient improvements were significantly larger than sham (p = 0.006); ΔPCC and ΔMCC correlated with ΔFMA-UE (R = 0.600, p = 0.040; R = 0.618, p = 0.030); multilayer fusion reduced normalized mean absolute error in clinical-score prediction by 20.36% on average versus unimodal EEG and fNIRS baselines under leave-one-out cross-validation</w:t>
            </w:r>
          </w:p>
        </w:tc>
      </w:tr>
    </w:tbl>
    <w:p w14:paraId="545C2E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Arial" w:cs="Times New Roman Regular"/>
          <w:b/>
          <w:bCs/>
          <w:i/>
          <w:iCs/>
          <w:color w:val="auto"/>
          <w:sz w:val="15"/>
          <w:szCs w:val="15"/>
        </w:rPr>
        <w:t xml:space="preserve">Note. </w:t>
      </w:r>
      <w:r>
        <w:rPr>
          <w:rFonts w:hint="default" w:ascii="Times New Roman Regular" w:hAnsi="Times New Roman Regular" w:eastAsia="Arial" w:cs="Times New Roman Regular"/>
          <w:b w:val="0"/>
          <w:bCs w:val="0"/>
          <w:i/>
          <w:iCs/>
          <w:color w:val="auto"/>
          <w:sz w:val="15"/>
          <w:szCs w:val="15"/>
        </w:rPr>
        <w:t>NIRS Configuration captures channel count, source-detector geometry where reported, and anatomical site (e.g., bilateral sensorimotor cortex; lumbar erector spinae). Companion Modality Configuration captures the parallel field for the non-NIRS modality (e.g., 64-ch EEG at 1000 Hz; 60-ch sEMG at 2050 Hz). Fusion Level and Architecture follows the early / feature / decision / attention taxonomy used in Section 3.4.4 and names the concrete fusion architecture where applicable (e.g., feature-level concatenation; decision-level naive-Bayes combination; attention-based cnnatt; multilayer brain network). Ablation Result reports headline performance for the multimodal pipeline versus each unimodal baseline where reported; use NR if not reported. Sample size and population are provided in Table 1 and are not duplicated here. ECG, electrocardiography; EEG, electroencephalography; HRV, heart-rate variability; IMU, inertial measurement unit; LSL, Lab Streaming Layer; NR, not reported; sEMG, surface electromyography. Studies are listed chronologically by publication year.</w:t>
      </w:r>
    </w:p>
    <w:sectPr>
      <w:pgSz w:w="15840" w:h="12240" w:orient="landscape"/>
      <w:pgMar w:top="720" w:right="720" w:bottom="720" w:left="72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90204"/>
    <w:charset w:val="00"/>
    <w:family w:val="auto"/>
    <w:pitch w:val="default"/>
    <w:sig w:usb0="E0000AFF" w:usb1="00007843" w:usb2="00000001" w:usb3="00000000" w:csb0="400001BF" w:csb1="DFF7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doNotDisplayPageBoundaries w:val="1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7A684B7E"/>
    <w:rsid w:val="7BC37A74"/>
    <w:rsid w:val="EBFF1A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iPriority="99" w:name="endnote reference"/>
    <w:lsdException w:uiPriority="99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next w:val="1"/>
    <w:qFormat/>
    <w:uiPriority w:val="0"/>
    <w:rPr>
      <w:color w:val="2E74B5"/>
      <w:sz w:val="32"/>
      <w:szCs w:val="32"/>
    </w:rPr>
  </w:style>
  <w:style w:type="paragraph" w:styleId="3">
    <w:name w:val="heading 2"/>
    <w:next w:val="1"/>
    <w:qFormat/>
    <w:uiPriority w:val="0"/>
    <w:rPr>
      <w:color w:val="2E74B5"/>
      <w:sz w:val="26"/>
      <w:szCs w:val="26"/>
    </w:rPr>
  </w:style>
  <w:style w:type="paragraph" w:styleId="4">
    <w:name w:val="heading 3"/>
    <w:next w:val="1"/>
    <w:qFormat/>
    <w:uiPriority w:val="0"/>
    <w:rPr>
      <w:color w:val="1F4D78"/>
      <w:sz w:val="24"/>
      <w:szCs w:val="24"/>
    </w:rPr>
  </w:style>
  <w:style w:type="paragraph" w:styleId="5">
    <w:name w:val="heading 4"/>
    <w:next w:val="1"/>
    <w:qFormat/>
    <w:uiPriority w:val="0"/>
    <w:rPr>
      <w:i/>
      <w:iCs/>
      <w:color w:val="2E74B5"/>
      <w:sz w:val="21"/>
      <w:szCs w:val="22"/>
    </w:rPr>
  </w:style>
  <w:style w:type="paragraph" w:styleId="6">
    <w:name w:val="heading 5"/>
    <w:next w:val="1"/>
    <w:qFormat/>
    <w:uiPriority w:val="0"/>
    <w:rPr>
      <w:color w:val="2E74B5"/>
      <w:sz w:val="21"/>
      <w:szCs w:val="22"/>
    </w:rPr>
  </w:style>
  <w:style w:type="paragraph" w:styleId="7">
    <w:name w:val="heading 6"/>
    <w:next w:val="1"/>
    <w:qFormat/>
    <w:uiPriority w:val="0"/>
    <w:rPr>
      <w:color w:val="1F4D78"/>
      <w:sz w:val="21"/>
      <w:szCs w:val="22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endnote text"/>
    <w:link w:val="18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9">
    <w:name w:val="footnote text"/>
    <w:link w:val="17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10">
    <w:name w:val="Title"/>
    <w:qFormat/>
    <w:uiPriority w:val="0"/>
    <w:rPr>
      <w:sz w:val="56"/>
      <w:szCs w:val="56"/>
    </w:rPr>
  </w:style>
  <w:style w:type="character" w:styleId="13">
    <w:name w:val="endnote reference"/>
    <w:semiHidden/>
    <w:unhideWhenUsed/>
    <w:uiPriority w:val="99"/>
    <w:rPr>
      <w:vertAlign w:val="superscript"/>
    </w:rPr>
  </w:style>
  <w:style w:type="character" w:styleId="14">
    <w:name w:val="Hyperlink"/>
    <w:unhideWhenUsed/>
    <w:uiPriority w:val="99"/>
    <w:rPr>
      <w:color w:val="0563C1"/>
      <w:u w:val="single"/>
    </w:rPr>
  </w:style>
  <w:style w:type="character" w:styleId="15">
    <w:name w:val="footnote reference"/>
    <w:semiHidden/>
    <w:unhideWhenUsed/>
    <w:uiPriority w:val="99"/>
    <w:rPr>
      <w:vertAlign w:val="superscript"/>
    </w:rPr>
  </w:style>
  <w:style w:type="paragraph" w:styleId="16">
    <w:name w:val="List Paragraph"/>
    <w:qFormat/>
    <w:uiPriority w:val="0"/>
    <w:rPr>
      <w:sz w:val="21"/>
      <w:szCs w:val="22"/>
    </w:rPr>
  </w:style>
  <w:style w:type="character" w:customStyle="1" w:styleId="17">
    <w:name w:val="Footnote Text Char"/>
    <w:link w:val="9"/>
    <w:semiHidden/>
    <w:unhideWhenUsed/>
    <w:uiPriority w:val="99"/>
    <w:rPr>
      <w:sz w:val="20"/>
      <w:szCs w:val="20"/>
    </w:rPr>
  </w:style>
  <w:style w:type="character" w:customStyle="1" w:styleId="18">
    <w:name w:val="Endnote Text Char"/>
    <w:link w:val="8"/>
    <w:semiHidden/>
    <w:unhideWhenUsed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TotalTime>1</TotalTime>
  <ScaleCrop>false</ScaleCrop>
  <LinksUpToDate>false</LinksUpToDate>
  <Application>WPS Office_7.4.1.8983_F1E327BC-269C-435d-A152-05C5408002CA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becb91676</cp:lastModifiedBy>
  <dcterms:modified xsi:type="dcterms:W3CDTF">2026-07-18T07:22:15Z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2052-7.4.1.8983</vt:lpwstr>
  </property>
  <property fmtid="{D5CDD505-2E9C-101B-9397-08002B2CF9AE}" pid="3" name="ICV">
    <vt:lpwstr>07BAB1E16EEF8731F76F5B6A41563EFD_43</vt:lpwstr>
  </property>
</Properties>
</file>