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EFDDD0E">
      <w:pPr>
        <w:keepNext w:val="0"/>
        <w:keepLines w:val="0"/>
        <w:pageBreakBefore w:val="0"/>
        <w:widowControl w:val="0"/>
        <w:kinsoku/>
        <w:wordWrap/>
        <w:overflowPunct/>
        <w:topLinePunct w:val="0"/>
        <w:autoSpaceDE/>
        <w:autoSpaceDN/>
        <w:bidi w:val="0"/>
        <w:adjustRightInd/>
        <w:snapToGrid/>
        <w:textAlignment w:val="auto"/>
        <w:rPr>
          <w:rFonts w:hint="default" w:ascii="Times New Roman Regular" w:hAnsi="Times New Roman Regular" w:cs="Times New Roman Regular"/>
          <w:color w:val="auto"/>
        </w:rPr>
      </w:pPr>
      <w:r>
        <w:rPr>
          <w:rFonts w:hint="default" w:ascii="Times New Roman Regular" w:hAnsi="Times New Roman Regular" w:eastAsia="Arial" w:cs="Times New Roman Regular"/>
          <w:b/>
          <w:bCs/>
          <w:i w:val="0"/>
          <w:iCs w:val="0"/>
          <w:color w:val="auto"/>
          <w:sz w:val="26"/>
          <w:szCs w:val="26"/>
        </w:rPr>
        <w:t>Table S3. PROBAST Risk-of-Bias and Applicability Judgments</w:t>
      </w:r>
    </w:p>
    <w:p w14:paraId="273F9883">
      <w:pPr>
        <w:keepNext w:val="0"/>
        <w:keepLines w:val="0"/>
        <w:pageBreakBefore w:val="0"/>
        <w:widowControl w:val="0"/>
        <w:kinsoku/>
        <w:wordWrap/>
        <w:overflowPunct/>
        <w:topLinePunct w:val="0"/>
        <w:autoSpaceDE/>
        <w:autoSpaceDN/>
        <w:bidi w:val="0"/>
        <w:adjustRightInd/>
        <w:snapToGrid/>
        <w:textAlignment w:val="auto"/>
        <w:rPr>
          <w:rFonts w:hint="default" w:ascii="Times New Roman Regular" w:hAnsi="Times New Roman Regular" w:cs="Times New Roman Regular"/>
          <w:color w:val="auto"/>
        </w:rPr>
      </w:pPr>
      <w:r>
        <w:rPr>
          <w:rFonts w:hint="default" w:ascii="Times New Roman Regular" w:hAnsi="Times New Roman Regular" w:eastAsia="Arial" w:cs="Times New Roman Regular"/>
          <w:b w:val="0"/>
          <w:bCs w:val="0"/>
          <w:i w:val="0"/>
          <w:iCs w:val="0"/>
          <w:color w:val="auto"/>
          <w:sz w:val="17"/>
          <w:szCs w:val="17"/>
        </w:rPr>
        <w:t>Domain-level risk-of-bias and applicability ratings per included study. Full rationale for each judgment follows the summary grid.</w:t>
      </w:r>
    </w:p>
    <w:tbl>
      <w:tblPr>
        <w:tblStyle w:val="11"/>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 w:type="dxa"/>
          <w:bottom w:w="0" w:type="dxa"/>
          <w:right w:w="10" w:type="dxa"/>
        </w:tblCellMar>
      </w:tblPr>
      <w:tblGrid>
        <w:gridCol w:w="1565"/>
        <w:gridCol w:w="667"/>
        <w:gridCol w:w="2196"/>
        <w:gridCol w:w="1043"/>
        <w:gridCol w:w="1043"/>
        <w:gridCol w:w="1043"/>
        <w:gridCol w:w="1049"/>
        <w:gridCol w:w="1043"/>
        <w:gridCol w:w="1043"/>
        <w:gridCol w:w="1049"/>
        <w:gridCol w:w="1388"/>
        <w:gridCol w:w="1388"/>
      </w:tblGrid>
      <w:tr w14:paraId="049FB5AF">
        <w:trPr>
          <w:tblHeader/>
        </w:trPr>
        <w:tc>
          <w:tcPr>
            <w:tcW w:w="1525" w:type="pct"/>
            <w:gridSpan w:val="3"/>
            <w:tcBorders>
              <w:left w:val="nil"/>
              <w:bottom w:val="nil"/>
              <w:right w:val="nil"/>
              <w:tl2br w:val="nil"/>
            </w:tcBorders>
            <w:shd w:val="clear" w:color="auto" w:fill="FFFFFF"/>
            <w:tcMar>
              <w:top w:w="40" w:type="dxa"/>
              <w:left w:w="60" w:type="dxa"/>
              <w:bottom w:w="40" w:type="dxa"/>
              <w:right w:w="60" w:type="dxa"/>
            </w:tcMar>
            <w:vAlign w:val="top"/>
          </w:tcPr>
          <w:p w14:paraId="41B99BBC">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i w:val="0"/>
                <w:iCs w:val="0"/>
                <w:color w:val="000000"/>
                <w:sz w:val="15"/>
                <w:szCs w:val="15"/>
              </w:rPr>
              <w:t>Study identification</w:t>
            </w:r>
          </w:p>
        </w:tc>
        <w:tc>
          <w:tcPr>
            <w:tcW w:w="1438" w:type="pct"/>
            <w:gridSpan w:val="4"/>
            <w:tcBorders>
              <w:left w:val="nil"/>
              <w:bottom w:val="nil"/>
              <w:right w:val="nil"/>
            </w:tcBorders>
            <w:shd w:val="clear" w:color="auto" w:fill="FFFFFF"/>
            <w:tcMar>
              <w:top w:w="40" w:type="dxa"/>
              <w:left w:w="60" w:type="dxa"/>
              <w:bottom w:w="40" w:type="dxa"/>
              <w:right w:w="60" w:type="dxa"/>
            </w:tcMar>
            <w:vAlign w:val="top"/>
          </w:tcPr>
          <w:p w14:paraId="5BE06C84">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i w:val="0"/>
                <w:iCs w:val="0"/>
                <w:color w:val="000000"/>
                <w:sz w:val="15"/>
                <w:szCs w:val="15"/>
              </w:rPr>
              <w:t>Risk of bias</w:t>
            </w:r>
          </w:p>
        </w:tc>
        <w:tc>
          <w:tcPr>
            <w:tcW w:w="1079" w:type="pct"/>
            <w:gridSpan w:val="3"/>
            <w:tcBorders>
              <w:left w:val="nil"/>
              <w:bottom w:val="nil"/>
              <w:right w:val="nil"/>
            </w:tcBorders>
            <w:shd w:val="clear" w:color="auto" w:fill="FFFFFF"/>
            <w:tcMar>
              <w:top w:w="40" w:type="dxa"/>
              <w:left w:w="60" w:type="dxa"/>
              <w:bottom w:w="40" w:type="dxa"/>
              <w:right w:w="60" w:type="dxa"/>
            </w:tcMar>
            <w:vAlign w:val="top"/>
          </w:tcPr>
          <w:p w14:paraId="6EF547FB">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i w:val="0"/>
                <w:iCs w:val="0"/>
                <w:color w:val="000000"/>
                <w:sz w:val="15"/>
                <w:szCs w:val="15"/>
              </w:rPr>
              <w:t>Applicability concern</w:t>
            </w:r>
          </w:p>
        </w:tc>
        <w:tc>
          <w:tcPr>
            <w:tcW w:w="956" w:type="pct"/>
            <w:gridSpan w:val="2"/>
            <w:tcBorders>
              <w:left w:val="nil"/>
              <w:bottom w:val="nil"/>
              <w:right w:val="nil"/>
            </w:tcBorders>
            <w:shd w:val="clear" w:color="auto" w:fill="FFFFFF"/>
            <w:tcMar>
              <w:top w:w="40" w:type="dxa"/>
              <w:left w:w="60" w:type="dxa"/>
              <w:bottom w:w="40" w:type="dxa"/>
              <w:right w:w="60" w:type="dxa"/>
            </w:tcMar>
            <w:vAlign w:val="top"/>
          </w:tcPr>
          <w:p w14:paraId="257990DD">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i w:val="0"/>
                <w:iCs w:val="0"/>
                <w:color w:val="000000"/>
                <w:sz w:val="15"/>
                <w:szCs w:val="15"/>
              </w:rPr>
              <w:t>Overall judgment</w:t>
            </w:r>
          </w:p>
        </w:tc>
      </w:tr>
      <w:tr w14:paraId="047E1385">
        <w:trPr>
          <w:tblHeader/>
        </w:trPr>
        <w:tc>
          <w:tcPr>
            <w:tcW w:w="539" w:type="pct"/>
            <w:tcBorders>
              <w:top w:val="nil"/>
              <w:left w:val="nil"/>
              <w:bottom w:val="single" w:color="auto" w:sz="4" w:space="0"/>
              <w:right w:val="nil"/>
            </w:tcBorders>
            <w:shd w:val="clear" w:color="auto" w:fill="FFFFFF"/>
            <w:tcMar>
              <w:top w:w="40" w:type="dxa"/>
              <w:left w:w="60" w:type="dxa"/>
              <w:bottom w:w="40" w:type="dxa"/>
              <w:right w:w="60" w:type="dxa"/>
            </w:tcMar>
            <w:vAlign w:val="top"/>
          </w:tcPr>
          <w:p w14:paraId="4C47A63E">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i w:val="0"/>
                <w:iCs w:val="0"/>
                <w:color w:val="000000"/>
                <w:sz w:val="15"/>
                <w:szCs w:val="15"/>
              </w:rPr>
              <w:t>First author</w:t>
            </w:r>
          </w:p>
        </w:tc>
        <w:tc>
          <w:tcPr>
            <w:tcW w:w="230" w:type="pct"/>
            <w:tcBorders>
              <w:top w:val="nil"/>
              <w:left w:val="nil"/>
              <w:bottom w:val="single" w:color="auto" w:sz="4" w:space="0"/>
              <w:right w:val="nil"/>
            </w:tcBorders>
            <w:shd w:val="clear" w:color="auto" w:fill="FFFFFF"/>
            <w:tcMar>
              <w:top w:w="40" w:type="dxa"/>
              <w:left w:w="60" w:type="dxa"/>
              <w:bottom w:w="40" w:type="dxa"/>
              <w:right w:w="60" w:type="dxa"/>
            </w:tcMar>
            <w:vAlign w:val="top"/>
          </w:tcPr>
          <w:p w14:paraId="3B13D49F">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i w:val="0"/>
                <w:iCs w:val="0"/>
                <w:color w:val="000000"/>
                <w:sz w:val="15"/>
                <w:szCs w:val="15"/>
              </w:rPr>
              <w:t>Year</w:t>
            </w:r>
          </w:p>
        </w:tc>
        <w:tc>
          <w:tcPr>
            <w:tcW w:w="755" w:type="pct"/>
            <w:tcBorders>
              <w:top w:val="nil"/>
              <w:left w:val="nil"/>
              <w:bottom w:val="single" w:color="auto" w:sz="4" w:space="0"/>
              <w:right w:val="nil"/>
            </w:tcBorders>
            <w:shd w:val="clear" w:color="auto" w:fill="FFFFFF"/>
            <w:tcMar>
              <w:top w:w="40" w:type="dxa"/>
              <w:left w:w="60" w:type="dxa"/>
              <w:bottom w:w="40" w:type="dxa"/>
              <w:right w:w="60" w:type="dxa"/>
            </w:tcMar>
            <w:vAlign w:val="top"/>
          </w:tcPr>
          <w:p w14:paraId="4B226FDA">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i w:val="0"/>
                <w:iCs w:val="0"/>
                <w:color w:val="000000"/>
                <w:sz w:val="15"/>
                <w:szCs w:val="15"/>
              </w:rPr>
              <w:t>Journal</w:t>
            </w:r>
          </w:p>
        </w:tc>
        <w:tc>
          <w:tcPr>
            <w:tcW w:w="359" w:type="pct"/>
            <w:tcBorders>
              <w:top w:val="nil"/>
              <w:left w:val="nil"/>
              <w:bottom w:val="single" w:color="auto" w:sz="4" w:space="0"/>
              <w:right w:val="nil"/>
            </w:tcBorders>
            <w:shd w:val="clear" w:color="auto" w:fill="FFFFFF"/>
            <w:tcMar>
              <w:top w:w="40" w:type="dxa"/>
              <w:left w:w="60" w:type="dxa"/>
              <w:bottom w:w="40" w:type="dxa"/>
              <w:right w:w="60" w:type="dxa"/>
            </w:tcMar>
            <w:vAlign w:val="top"/>
          </w:tcPr>
          <w:p w14:paraId="5D0A2683">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i w:val="0"/>
                <w:iCs w:val="0"/>
                <w:color w:val="000000"/>
                <w:sz w:val="15"/>
                <w:szCs w:val="15"/>
              </w:rPr>
              <w:t>D1 Part.</w:t>
            </w:r>
          </w:p>
        </w:tc>
        <w:tc>
          <w:tcPr>
            <w:tcW w:w="359" w:type="pct"/>
            <w:tcBorders>
              <w:top w:val="nil"/>
              <w:left w:val="nil"/>
              <w:bottom w:val="single" w:color="auto" w:sz="4" w:space="0"/>
              <w:right w:val="nil"/>
            </w:tcBorders>
            <w:shd w:val="clear" w:color="auto" w:fill="FFFFFF"/>
            <w:tcMar>
              <w:top w:w="40" w:type="dxa"/>
              <w:left w:w="60" w:type="dxa"/>
              <w:bottom w:w="40" w:type="dxa"/>
              <w:right w:w="60" w:type="dxa"/>
            </w:tcMar>
            <w:vAlign w:val="top"/>
          </w:tcPr>
          <w:p w14:paraId="75495917">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i w:val="0"/>
                <w:iCs w:val="0"/>
                <w:color w:val="000000"/>
                <w:sz w:val="15"/>
                <w:szCs w:val="15"/>
              </w:rPr>
              <w:t>D2 Pred.</w:t>
            </w:r>
          </w:p>
        </w:tc>
        <w:tc>
          <w:tcPr>
            <w:tcW w:w="359" w:type="pct"/>
            <w:tcBorders>
              <w:top w:val="nil"/>
              <w:left w:val="nil"/>
              <w:bottom w:val="single" w:color="auto" w:sz="4" w:space="0"/>
              <w:right w:val="nil"/>
            </w:tcBorders>
            <w:shd w:val="clear" w:color="auto" w:fill="FFFFFF"/>
            <w:tcMar>
              <w:top w:w="40" w:type="dxa"/>
              <w:left w:w="60" w:type="dxa"/>
              <w:bottom w:w="40" w:type="dxa"/>
              <w:right w:w="60" w:type="dxa"/>
            </w:tcMar>
            <w:vAlign w:val="top"/>
          </w:tcPr>
          <w:p w14:paraId="399FD3C6">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i w:val="0"/>
                <w:iCs w:val="0"/>
                <w:color w:val="000000"/>
                <w:sz w:val="15"/>
                <w:szCs w:val="15"/>
              </w:rPr>
              <w:t>D3 Out.</w:t>
            </w:r>
          </w:p>
        </w:tc>
        <w:tc>
          <w:tcPr>
            <w:tcW w:w="360" w:type="pct"/>
            <w:tcBorders>
              <w:top w:val="nil"/>
              <w:left w:val="nil"/>
              <w:bottom w:val="single" w:color="auto" w:sz="4" w:space="0"/>
              <w:right w:val="nil"/>
            </w:tcBorders>
            <w:shd w:val="clear" w:color="auto" w:fill="FFFFFF"/>
            <w:tcMar>
              <w:top w:w="40" w:type="dxa"/>
              <w:left w:w="60" w:type="dxa"/>
              <w:bottom w:w="40" w:type="dxa"/>
              <w:right w:w="60" w:type="dxa"/>
            </w:tcMar>
            <w:vAlign w:val="top"/>
          </w:tcPr>
          <w:p w14:paraId="27CC5474">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i w:val="0"/>
                <w:iCs w:val="0"/>
                <w:color w:val="000000"/>
                <w:sz w:val="15"/>
                <w:szCs w:val="15"/>
              </w:rPr>
              <w:t>D4 Anal.</w:t>
            </w:r>
          </w:p>
        </w:tc>
        <w:tc>
          <w:tcPr>
            <w:tcW w:w="359" w:type="pct"/>
            <w:tcBorders>
              <w:top w:val="nil"/>
              <w:left w:val="nil"/>
              <w:bottom w:val="single" w:color="auto" w:sz="4" w:space="0"/>
              <w:right w:val="nil"/>
            </w:tcBorders>
            <w:shd w:val="clear" w:color="auto" w:fill="FFFFFF"/>
            <w:tcMar>
              <w:top w:w="40" w:type="dxa"/>
              <w:left w:w="60" w:type="dxa"/>
              <w:bottom w:w="40" w:type="dxa"/>
              <w:right w:w="60" w:type="dxa"/>
            </w:tcMar>
            <w:vAlign w:val="top"/>
          </w:tcPr>
          <w:p w14:paraId="2BBE5A19">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i w:val="0"/>
                <w:iCs w:val="0"/>
                <w:color w:val="000000"/>
                <w:sz w:val="15"/>
                <w:szCs w:val="15"/>
              </w:rPr>
              <w:t>D1 Part.</w:t>
            </w:r>
          </w:p>
        </w:tc>
        <w:tc>
          <w:tcPr>
            <w:tcW w:w="359" w:type="pct"/>
            <w:tcBorders>
              <w:top w:val="nil"/>
              <w:left w:val="nil"/>
              <w:bottom w:val="single" w:color="auto" w:sz="4" w:space="0"/>
              <w:right w:val="nil"/>
            </w:tcBorders>
            <w:shd w:val="clear" w:color="auto" w:fill="FFFFFF"/>
            <w:tcMar>
              <w:top w:w="40" w:type="dxa"/>
              <w:left w:w="60" w:type="dxa"/>
              <w:bottom w:w="40" w:type="dxa"/>
              <w:right w:w="60" w:type="dxa"/>
            </w:tcMar>
            <w:vAlign w:val="top"/>
          </w:tcPr>
          <w:p w14:paraId="017C7FF5">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i w:val="0"/>
                <w:iCs w:val="0"/>
                <w:color w:val="000000"/>
                <w:sz w:val="15"/>
                <w:szCs w:val="15"/>
              </w:rPr>
              <w:t>D2 Pred.</w:t>
            </w:r>
          </w:p>
        </w:tc>
        <w:tc>
          <w:tcPr>
            <w:tcW w:w="359" w:type="pct"/>
            <w:tcBorders>
              <w:top w:val="nil"/>
              <w:left w:val="nil"/>
              <w:bottom w:val="single" w:color="auto" w:sz="4" w:space="0"/>
              <w:right w:val="nil"/>
            </w:tcBorders>
            <w:shd w:val="clear" w:color="auto" w:fill="FFFFFF"/>
            <w:tcMar>
              <w:top w:w="40" w:type="dxa"/>
              <w:left w:w="60" w:type="dxa"/>
              <w:bottom w:w="40" w:type="dxa"/>
              <w:right w:w="60" w:type="dxa"/>
            </w:tcMar>
            <w:vAlign w:val="top"/>
          </w:tcPr>
          <w:p w14:paraId="5899BA64">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i w:val="0"/>
                <w:iCs w:val="0"/>
                <w:color w:val="000000"/>
                <w:sz w:val="15"/>
                <w:szCs w:val="15"/>
              </w:rPr>
              <w:t>D3 Out.</w:t>
            </w:r>
          </w:p>
        </w:tc>
        <w:tc>
          <w:tcPr>
            <w:tcW w:w="478" w:type="pct"/>
            <w:tcBorders>
              <w:top w:val="nil"/>
              <w:left w:val="nil"/>
              <w:bottom w:val="single" w:color="auto" w:sz="4" w:space="0"/>
              <w:right w:val="nil"/>
            </w:tcBorders>
            <w:shd w:val="clear" w:color="auto" w:fill="FFFFFF"/>
            <w:tcMar>
              <w:top w:w="40" w:type="dxa"/>
              <w:left w:w="60" w:type="dxa"/>
              <w:bottom w:w="40" w:type="dxa"/>
              <w:right w:w="60" w:type="dxa"/>
            </w:tcMar>
            <w:vAlign w:val="top"/>
          </w:tcPr>
          <w:p w14:paraId="47E869A0">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i w:val="0"/>
                <w:iCs w:val="0"/>
                <w:color w:val="000000"/>
                <w:sz w:val="15"/>
                <w:szCs w:val="15"/>
              </w:rPr>
              <w:t>Overall ROB</w:t>
            </w:r>
          </w:p>
        </w:tc>
        <w:tc>
          <w:tcPr>
            <w:tcW w:w="478" w:type="pct"/>
            <w:tcBorders>
              <w:top w:val="nil"/>
              <w:left w:val="nil"/>
              <w:bottom w:val="single" w:color="auto" w:sz="4" w:space="0"/>
              <w:right w:val="nil"/>
            </w:tcBorders>
            <w:shd w:val="clear" w:color="auto" w:fill="FFFFFF"/>
            <w:tcMar>
              <w:top w:w="40" w:type="dxa"/>
              <w:left w:w="60" w:type="dxa"/>
              <w:bottom w:w="40" w:type="dxa"/>
              <w:right w:w="60" w:type="dxa"/>
            </w:tcMar>
            <w:vAlign w:val="top"/>
          </w:tcPr>
          <w:p w14:paraId="3A87B5BD">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i w:val="0"/>
                <w:iCs w:val="0"/>
                <w:color w:val="000000"/>
                <w:sz w:val="15"/>
                <w:szCs w:val="15"/>
              </w:rPr>
              <w:t>Overall applic.</w:t>
            </w:r>
          </w:p>
        </w:tc>
      </w:tr>
      <w:tr w14:paraId="6E9BF502">
        <w:tc>
          <w:tcPr>
            <w:tcW w:w="539" w:type="pct"/>
            <w:tcBorders>
              <w:top w:val="single" w:color="auto" w:sz="4" w:space="0"/>
              <w:left w:val="nil"/>
              <w:bottom w:val="nil"/>
              <w:right w:val="nil"/>
            </w:tcBorders>
            <w:shd w:val="clear" w:color="auto" w:fill="FFFFFF"/>
            <w:tcMar>
              <w:top w:w="30" w:type="dxa"/>
              <w:left w:w="60" w:type="dxa"/>
              <w:bottom w:w="30" w:type="dxa"/>
              <w:right w:w="60" w:type="dxa"/>
            </w:tcMar>
            <w:vAlign w:val="top"/>
          </w:tcPr>
          <w:p w14:paraId="751CD5DB">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Chen H</w:t>
            </w:r>
          </w:p>
        </w:tc>
        <w:tc>
          <w:tcPr>
            <w:tcW w:w="230" w:type="pct"/>
            <w:tcBorders>
              <w:top w:val="single" w:color="auto" w:sz="4" w:space="0"/>
              <w:left w:val="nil"/>
              <w:bottom w:val="nil"/>
              <w:right w:val="nil"/>
            </w:tcBorders>
            <w:shd w:val="clear" w:color="auto" w:fill="FFFFFF"/>
            <w:tcMar>
              <w:top w:w="30" w:type="dxa"/>
              <w:left w:w="60" w:type="dxa"/>
              <w:bottom w:w="30" w:type="dxa"/>
              <w:right w:w="60" w:type="dxa"/>
            </w:tcMar>
            <w:vAlign w:val="top"/>
          </w:tcPr>
          <w:p w14:paraId="54044743">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2022</w:t>
            </w:r>
          </w:p>
        </w:tc>
        <w:tc>
          <w:tcPr>
            <w:tcW w:w="755" w:type="pct"/>
            <w:tcBorders>
              <w:top w:val="single" w:color="auto" w:sz="4" w:space="0"/>
              <w:left w:val="nil"/>
              <w:bottom w:val="nil"/>
              <w:right w:val="nil"/>
            </w:tcBorders>
            <w:shd w:val="clear" w:color="auto" w:fill="FFFFFF"/>
            <w:tcMar>
              <w:top w:w="30" w:type="dxa"/>
              <w:left w:w="60" w:type="dxa"/>
              <w:bottom w:w="30" w:type="dxa"/>
              <w:right w:w="60" w:type="dxa"/>
            </w:tcMar>
            <w:vAlign w:val="top"/>
          </w:tcPr>
          <w:p w14:paraId="45E3D384">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Biomedical Optics Express</w:t>
            </w:r>
          </w:p>
        </w:tc>
        <w:tc>
          <w:tcPr>
            <w:tcW w:w="359" w:type="pct"/>
            <w:tcBorders>
              <w:top w:val="single" w:color="auto" w:sz="4" w:space="0"/>
              <w:left w:val="nil"/>
              <w:bottom w:val="nil"/>
              <w:right w:val="nil"/>
            </w:tcBorders>
            <w:shd w:val="clear" w:color="auto" w:fill="FFFFFF"/>
            <w:tcMar>
              <w:top w:w="30" w:type="dxa"/>
              <w:left w:w="60" w:type="dxa"/>
              <w:bottom w:w="30" w:type="dxa"/>
              <w:right w:w="60" w:type="dxa"/>
            </w:tcMar>
            <w:vAlign w:val="top"/>
          </w:tcPr>
          <w:p w14:paraId="22AC70BC">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Low</w:t>
            </w:r>
          </w:p>
        </w:tc>
        <w:tc>
          <w:tcPr>
            <w:tcW w:w="359" w:type="pct"/>
            <w:tcBorders>
              <w:top w:val="single" w:color="auto" w:sz="4" w:space="0"/>
              <w:left w:val="nil"/>
              <w:bottom w:val="nil"/>
              <w:right w:val="nil"/>
            </w:tcBorders>
            <w:shd w:val="clear" w:color="auto" w:fill="FFFFFF"/>
            <w:tcMar>
              <w:top w:w="30" w:type="dxa"/>
              <w:left w:w="60" w:type="dxa"/>
              <w:bottom w:w="30" w:type="dxa"/>
              <w:right w:w="60" w:type="dxa"/>
            </w:tcMar>
            <w:vAlign w:val="top"/>
          </w:tcPr>
          <w:p w14:paraId="660566E3">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Low</w:t>
            </w:r>
          </w:p>
        </w:tc>
        <w:tc>
          <w:tcPr>
            <w:tcW w:w="359" w:type="pct"/>
            <w:tcBorders>
              <w:top w:val="single" w:color="auto" w:sz="4" w:space="0"/>
              <w:left w:val="nil"/>
              <w:bottom w:val="nil"/>
              <w:right w:val="nil"/>
            </w:tcBorders>
            <w:shd w:val="clear" w:color="auto" w:fill="FFFFFF"/>
            <w:tcMar>
              <w:top w:w="30" w:type="dxa"/>
              <w:left w:w="60" w:type="dxa"/>
              <w:bottom w:w="30" w:type="dxa"/>
              <w:right w:w="60" w:type="dxa"/>
            </w:tcMar>
            <w:vAlign w:val="top"/>
          </w:tcPr>
          <w:p w14:paraId="2F7FE91C">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Low</w:t>
            </w:r>
          </w:p>
        </w:tc>
        <w:tc>
          <w:tcPr>
            <w:tcW w:w="360" w:type="pct"/>
            <w:tcBorders>
              <w:top w:val="single" w:color="auto" w:sz="4" w:space="0"/>
              <w:left w:val="nil"/>
              <w:bottom w:val="nil"/>
              <w:right w:val="nil"/>
            </w:tcBorders>
            <w:shd w:val="clear" w:color="auto" w:fill="FFFFFF"/>
            <w:tcMar>
              <w:top w:w="30" w:type="dxa"/>
              <w:left w:w="60" w:type="dxa"/>
              <w:bottom w:w="30" w:type="dxa"/>
              <w:right w:w="60" w:type="dxa"/>
            </w:tcMar>
            <w:vAlign w:val="top"/>
          </w:tcPr>
          <w:p w14:paraId="1ED9E799">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High</w:t>
            </w:r>
          </w:p>
        </w:tc>
        <w:tc>
          <w:tcPr>
            <w:tcW w:w="359" w:type="pct"/>
            <w:tcBorders>
              <w:top w:val="single" w:color="auto" w:sz="4" w:space="0"/>
              <w:left w:val="nil"/>
              <w:bottom w:val="nil"/>
              <w:right w:val="nil"/>
            </w:tcBorders>
            <w:shd w:val="clear" w:color="auto" w:fill="FFFFFF"/>
            <w:tcMar>
              <w:top w:w="30" w:type="dxa"/>
              <w:left w:w="60" w:type="dxa"/>
              <w:bottom w:w="30" w:type="dxa"/>
              <w:right w:w="60" w:type="dxa"/>
            </w:tcMar>
            <w:vAlign w:val="top"/>
          </w:tcPr>
          <w:p w14:paraId="4015297B">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High</w:t>
            </w:r>
          </w:p>
        </w:tc>
        <w:tc>
          <w:tcPr>
            <w:tcW w:w="359" w:type="pct"/>
            <w:tcBorders>
              <w:top w:val="single" w:color="auto" w:sz="4" w:space="0"/>
              <w:left w:val="nil"/>
              <w:bottom w:val="nil"/>
              <w:right w:val="nil"/>
            </w:tcBorders>
            <w:shd w:val="clear" w:color="auto" w:fill="FFFFFF"/>
            <w:tcMar>
              <w:top w:w="30" w:type="dxa"/>
              <w:left w:w="60" w:type="dxa"/>
              <w:bottom w:w="30" w:type="dxa"/>
              <w:right w:w="60" w:type="dxa"/>
            </w:tcMar>
            <w:vAlign w:val="top"/>
          </w:tcPr>
          <w:p w14:paraId="160FE410">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Low</w:t>
            </w:r>
          </w:p>
        </w:tc>
        <w:tc>
          <w:tcPr>
            <w:tcW w:w="359" w:type="pct"/>
            <w:tcBorders>
              <w:top w:val="single" w:color="auto" w:sz="4" w:space="0"/>
              <w:left w:val="nil"/>
              <w:bottom w:val="nil"/>
              <w:right w:val="nil"/>
            </w:tcBorders>
            <w:shd w:val="clear" w:color="auto" w:fill="FFFFFF"/>
            <w:tcMar>
              <w:top w:w="30" w:type="dxa"/>
              <w:left w:w="60" w:type="dxa"/>
              <w:bottom w:w="30" w:type="dxa"/>
              <w:right w:w="60" w:type="dxa"/>
            </w:tcMar>
            <w:vAlign w:val="top"/>
          </w:tcPr>
          <w:p w14:paraId="4B2A939F">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High</w:t>
            </w:r>
          </w:p>
        </w:tc>
        <w:tc>
          <w:tcPr>
            <w:tcW w:w="478" w:type="pct"/>
            <w:tcBorders>
              <w:top w:val="single" w:color="auto" w:sz="4" w:space="0"/>
              <w:left w:val="nil"/>
              <w:bottom w:val="nil"/>
              <w:right w:val="nil"/>
            </w:tcBorders>
            <w:shd w:val="clear" w:color="auto" w:fill="FFFFFF"/>
            <w:tcMar>
              <w:top w:w="30" w:type="dxa"/>
              <w:left w:w="60" w:type="dxa"/>
              <w:bottom w:w="30" w:type="dxa"/>
              <w:right w:w="60" w:type="dxa"/>
            </w:tcMar>
            <w:vAlign w:val="top"/>
          </w:tcPr>
          <w:p w14:paraId="06956920">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High</w:t>
            </w:r>
          </w:p>
        </w:tc>
        <w:tc>
          <w:tcPr>
            <w:tcW w:w="478" w:type="pct"/>
            <w:tcBorders>
              <w:top w:val="single" w:color="auto" w:sz="4" w:space="0"/>
              <w:left w:val="nil"/>
              <w:bottom w:val="nil"/>
              <w:right w:val="nil"/>
            </w:tcBorders>
            <w:shd w:val="clear" w:color="auto" w:fill="FFFFFF"/>
            <w:tcMar>
              <w:top w:w="30" w:type="dxa"/>
              <w:left w:w="60" w:type="dxa"/>
              <w:bottom w:w="30" w:type="dxa"/>
              <w:right w:w="60" w:type="dxa"/>
            </w:tcMar>
            <w:vAlign w:val="top"/>
          </w:tcPr>
          <w:p w14:paraId="7597DA42">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High</w:t>
            </w:r>
          </w:p>
        </w:tc>
      </w:tr>
      <w:tr w14:paraId="49A19DE6">
        <w:tc>
          <w:tcPr>
            <w:tcW w:w="539" w:type="pct"/>
            <w:tcBorders>
              <w:top w:val="nil"/>
              <w:left w:val="nil"/>
              <w:bottom w:val="nil"/>
              <w:right w:val="nil"/>
            </w:tcBorders>
            <w:shd w:val="clear" w:color="auto" w:fill="FFFFFF"/>
            <w:tcMar>
              <w:top w:w="30" w:type="dxa"/>
              <w:left w:w="60" w:type="dxa"/>
              <w:bottom w:w="30" w:type="dxa"/>
              <w:right w:w="60" w:type="dxa"/>
            </w:tcMar>
            <w:vAlign w:val="top"/>
          </w:tcPr>
          <w:p w14:paraId="61747F3F">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Chen X</w:t>
            </w:r>
          </w:p>
        </w:tc>
        <w:tc>
          <w:tcPr>
            <w:tcW w:w="230" w:type="pct"/>
            <w:tcBorders>
              <w:top w:val="nil"/>
              <w:left w:val="nil"/>
              <w:bottom w:val="nil"/>
              <w:right w:val="nil"/>
            </w:tcBorders>
            <w:shd w:val="clear" w:color="auto" w:fill="FFFFFF"/>
            <w:tcMar>
              <w:top w:w="30" w:type="dxa"/>
              <w:left w:w="60" w:type="dxa"/>
              <w:bottom w:w="30" w:type="dxa"/>
              <w:right w:w="60" w:type="dxa"/>
            </w:tcMar>
            <w:vAlign w:val="top"/>
          </w:tcPr>
          <w:p w14:paraId="3B4A5D6C">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2023</w:t>
            </w:r>
          </w:p>
        </w:tc>
        <w:tc>
          <w:tcPr>
            <w:tcW w:w="755" w:type="pct"/>
            <w:tcBorders>
              <w:top w:val="nil"/>
              <w:left w:val="nil"/>
              <w:bottom w:val="nil"/>
              <w:right w:val="nil"/>
            </w:tcBorders>
            <w:shd w:val="clear" w:color="auto" w:fill="FFFFFF"/>
            <w:tcMar>
              <w:top w:w="30" w:type="dxa"/>
              <w:left w:w="60" w:type="dxa"/>
              <w:bottom w:w="30" w:type="dxa"/>
              <w:right w:w="60" w:type="dxa"/>
            </w:tcMar>
            <w:vAlign w:val="top"/>
          </w:tcPr>
          <w:p w14:paraId="57CE151C">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Frontiers in Neuroscience</w:t>
            </w:r>
          </w:p>
        </w:tc>
        <w:tc>
          <w:tcPr>
            <w:tcW w:w="359" w:type="pct"/>
            <w:tcBorders>
              <w:top w:val="nil"/>
              <w:left w:val="nil"/>
              <w:bottom w:val="nil"/>
              <w:right w:val="nil"/>
            </w:tcBorders>
            <w:shd w:val="clear" w:color="auto" w:fill="FFFFFF"/>
            <w:tcMar>
              <w:top w:w="30" w:type="dxa"/>
              <w:left w:w="60" w:type="dxa"/>
              <w:bottom w:w="30" w:type="dxa"/>
              <w:right w:w="60" w:type="dxa"/>
            </w:tcMar>
            <w:vAlign w:val="top"/>
          </w:tcPr>
          <w:p w14:paraId="4C3DC976">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High</w:t>
            </w:r>
          </w:p>
        </w:tc>
        <w:tc>
          <w:tcPr>
            <w:tcW w:w="359" w:type="pct"/>
            <w:tcBorders>
              <w:top w:val="nil"/>
              <w:left w:val="nil"/>
              <w:bottom w:val="nil"/>
              <w:right w:val="nil"/>
            </w:tcBorders>
            <w:shd w:val="clear" w:color="auto" w:fill="FFFFFF"/>
            <w:tcMar>
              <w:top w:w="30" w:type="dxa"/>
              <w:left w:w="60" w:type="dxa"/>
              <w:bottom w:w="30" w:type="dxa"/>
              <w:right w:w="60" w:type="dxa"/>
            </w:tcMar>
            <w:vAlign w:val="top"/>
          </w:tcPr>
          <w:p w14:paraId="5FD3D39A">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Low</w:t>
            </w:r>
          </w:p>
        </w:tc>
        <w:tc>
          <w:tcPr>
            <w:tcW w:w="359" w:type="pct"/>
            <w:tcBorders>
              <w:top w:val="nil"/>
              <w:left w:val="nil"/>
              <w:bottom w:val="nil"/>
              <w:right w:val="nil"/>
            </w:tcBorders>
            <w:shd w:val="clear" w:color="auto" w:fill="FFFFFF"/>
            <w:tcMar>
              <w:top w:w="30" w:type="dxa"/>
              <w:left w:w="60" w:type="dxa"/>
              <w:bottom w:w="30" w:type="dxa"/>
              <w:right w:w="60" w:type="dxa"/>
            </w:tcMar>
            <w:vAlign w:val="top"/>
          </w:tcPr>
          <w:p w14:paraId="6CB33C79">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Low</w:t>
            </w:r>
          </w:p>
        </w:tc>
        <w:tc>
          <w:tcPr>
            <w:tcW w:w="360" w:type="pct"/>
            <w:tcBorders>
              <w:top w:val="nil"/>
              <w:left w:val="nil"/>
              <w:bottom w:val="nil"/>
              <w:right w:val="nil"/>
            </w:tcBorders>
            <w:shd w:val="clear" w:color="auto" w:fill="FFFFFF"/>
            <w:tcMar>
              <w:top w:w="30" w:type="dxa"/>
              <w:left w:w="60" w:type="dxa"/>
              <w:bottom w:w="30" w:type="dxa"/>
              <w:right w:w="60" w:type="dxa"/>
            </w:tcMar>
            <w:vAlign w:val="top"/>
          </w:tcPr>
          <w:p w14:paraId="0F54C0F4">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High</w:t>
            </w:r>
          </w:p>
        </w:tc>
        <w:tc>
          <w:tcPr>
            <w:tcW w:w="359" w:type="pct"/>
            <w:tcBorders>
              <w:top w:val="nil"/>
              <w:left w:val="nil"/>
              <w:bottom w:val="nil"/>
              <w:right w:val="nil"/>
            </w:tcBorders>
            <w:shd w:val="clear" w:color="auto" w:fill="FFFFFF"/>
            <w:tcMar>
              <w:top w:w="30" w:type="dxa"/>
              <w:left w:w="60" w:type="dxa"/>
              <w:bottom w:w="30" w:type="dxa"/>
              <w:right w:w="60" w:type="dxa"/>
            </w:tcMar>
            <w:vAlign w:val="top"/>
          </w:tcPr>
          <w:p w14:paraId="29A38636">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Low</w:t>
            </w:r>
          </w:p>
        </w:tc>
        <w:tc>
          <w:tcPr>
            <w:tcW w:w="359" w:type="pct"/>
            <w:tcBorders>
              <w:top w:val="nil"/>
              <w:left w:val="nil"/>
              <w:bottom w:val="nil"/>
              <w:right w:val="nil"/>
            </w:tcBorders>
            <w:shd w:val="clear" w:color="auto" w:fill="FFFFFF"/>
            <w:tcMar>
              <w:top w:w="30" w:type="dxa"/>
              <w:left w:w="60" w:type="dxa"/>
              <w:bottom w:w="30" w:type="dxa"/>
              <w:right w:w="60" w:type="dxa"/>
            </w:tcMar>
            <w:vAlign w:val="top"/>
          </w:tcPr>
          <w:p w14:paraId="2475AD77">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Low</w:t>
            </w:r>
          </w:p>
        </w:tc>
        <w:tc>
          <w:tcPr>
            <w:tcW w:w="359" w:type="pct"/>
            <w:tcBorders>
              <w:top w:val="nil"/>
              <w:left w:val="nil"/>
              <w:bottom w:val="nil"/>
              <w:right w:val="nil"/>
            </w:tcBorders>
            <w:shd w:val="clear" w:color="auto" w:fill="FFFFFF"/>
            <w:tcMar>
              <w:top w:w="30" w:type="dxa"/>
              <w:left w:w="60" w:type="dxa"/>
              <w:bottom w:w="30" w:type="dxa"/>
              <w:right w:w="60" w:type="dxa"/>
            </w:tcMar>
            <w:vAlign w:val="top"/>
          </w:tcPr>
          <w:p w14:paraId="419784B8">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Low</w:t>
            </w:r>
          </w:p>
        </w:tc>
        <w:tc>
          <w:tcPr>
            <w:tcW w:w="478" w:type="pct"/>
            <w:tcBorders>
              <w:top w:val="nil"/>
              <w:left w:val="nil"/>
              <w:bottom w:val="nil"/>
              <w:right w:val="nil"/>
            </w:tcBorders>
            <w:shd w:val="clear" w:color="auto" w:fill="FFFFFF"/>
            <w:tcMar>
              <w:top w:w="30" w:type="dxa"/>
              <w:left w:w="60" w:type="dxa"/>
              <w:bottom w:w="30" w:type="dxa"/>
              <w:right w:w="60" w:type="dxa"/>
            </w:tcMar>
            <w:vAlign w:val="top"/>
          </w:tcPr>
          <w:p w14:paraId="1175555D">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High</w:t>
            </w:r>
          </w:p>
        </w:tc>
        <w:tc>
          <w:tcPr>
            <w:tcW w:w="478" w:type="pct"/>
            <w:tcBorders>
              <w:top w:val="nil"/>
              <w:left w:val="nil"/>
              <w:bottom w:val="nil"/>
              <w:right w:val="nil"/>
            </w:tcBorders>
            <w:shd w:val="clear" w:color="auto" w:fill="FFFFFF"/>
            <w:tcMar>
              <w:top w:w="30" w:type="dxa"/>
              <w:left w:w="60" w:type="dxa"/>
              <w:bottom w:w="30" w:type="dxa"/>
              <w:right w:w="60" w:type="dxa"/>
            </w:tcMar>
            <w:vAlign w:val="top"/>
          </w:tcPr>
          <w:p w14:paraId="2CADE4BC">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Low</w:t>
            </w:r>
          </w:p>
        </w:tc>
      </w:tr>
      <w:tr w14:paraId="0974642A">
        <w:tc>
          <w:tcPr>
            <w:tcW w:w="539" w:type="pct"/>
            <w:tcBorders>
              <w:top w:val="nil"/>
              <w:left w:val="nil"/>
              <w:bottom w:val="nil"/>
              <w:right w:val="nil"/>
            </w:tcBorders>
            <w:shd w:val="clear" w:color="auto" w:fill="FFFFFF"/>
            <w:tcMar>
              <w:top w:w="30" w:type="dxa"/>
              <w:left w:w="60" w:type="dxa"/>
              <w:bottom w:w="30" w:type="dxa"/>
              <w:right w:w="60" w:type="dxa"/>
            </w:tcMar>
            <w:vAlign w:val="top"/>
          </w:tcPr>
          <w:p w14:paraId="717931EB">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Huang J</w:t>
            </w:r>
          </w:p>
        </w:tc>
        <w:tc>
          <w:tcPr>
            <w:tcW w:w="230" w:type="pct"/>
            <w:tcBorders>
              <w:top w:val="nil"/>
              <w:left w:val="nil"/>
              <w:bottom w:val="nil"/>
              <w:right w:val="nil"/>
            </w:tcBorders>
            <w:shd w:val="clear" w:color="auto" w:fill="FFFFFF"/>
            <w:tcMar>
              <w:top w:w="30" w:type="dxa"/>
              <w:left w:w="60" w:type="dxa"/>
              <w:bottom w:w="30" w:type="dxa"/>
              <w:right w:w="60" w:type="dxa"/>
            </w:tcMar>
            <w:vAlign w:val="top"/>
          </w:tcPr>
          <w:p w14:paraId="42E9724C">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2026</w:t>
            </w:r>
          </w:p>
        </w:tc>
        <w:tc>
          <w:tcPr>
            <w:tcW w:w="755" w:type="pct"/>
            <w:tcBorders>
              <w:top w:val="nil"/>
              <w:left w:val="nil"/>
              <w:bottom w:val="nil"/>
              <w:right w:val="nil"/>
            </w:tcBorders>
            <w:shd w:val="clear" w:color="auto" w:fill="FFFFFF"/>
            <w:tcMar>
              <w:top w:w="30" w:type="dxa"/>
              <w:left w:w="60" w:type="dxa"/>
              <w:bottom w:w="30" w:type="dxa"/>
              <w:right w:w="60" w:type="dxa"/>
            </w:tcMar>
            <w:vAlign w:val="top"/>
          </w:tcPr>
          <w:p w14:paraId="3EFF7507">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IEEE Trans Neural Syst Rehabil Eng</w:t>
            </w:r>
          </w:p>
        </w:tc>
        <w:tc>
          <w:tcPr>
            <w:tcW w:w="359" w:type="pct"/>
            <w:tcBorders>
              <w:top w:val="nil"/>
              <w:left w:val="nil"/>
              <w:bottom w:val="nil"/>
              <w:right w:val="nil"/>
            </w:tcBorders>
            <w:shd w:val="clear" w:color="auto" w:fill="FFFFFF"/>
            <w:tcMar>
              <w:top w:w="30" w:type="dxa"/>
              <w:left w:w="60" w:type="dxa"/>
              <w:bottom w:w="30" w:type="dxa"/>
              <w:right w:w="60" w:type="dxa"/>
            </w:tcMar>
            <w:vAlign w:val="top"/>
          </w:tcPr>
          <w:p w14:paraId="1C11B817">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High</w:t>
            </w:r>
          </w:p>
        </w:tc>
        <w:tc>
          <w:tcPr>
            <w:tcW w:w="359" w:type="pct"/>
            <w:tcBorders>
              <w:top w:val="nil"/>
              <w:left w:val="nil"/>
              <w:bottom w:val="nil"/>
              <w:right w:val="nil"/>
            </w:tcBorders>
            <w:shd w:val="clear" w:color="auto" w:fill="FFFFFF"/>
            <w:tcMar>
              <w:top w:w="30" w:type="dxa"/>
              <w:left w:w="60" w:type="dxa"/>
              <w:bottom w:w="30" w:type="dxa"/>
              <w:right w:w="60" w:type="dxa"/>
            </w:tcMar>
            <w:vAlign w:val="top"/>
          </w:tcPr>
          <w:p w14:paraId="41642131">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Low</w:t>
            </w:r>
          </w:p>
        </w:tc>
        <w:tc>
          <w:tcPr>
            <w:tcW w:w="359" w:type="pct"/>
            <w:tcBorders>
              <w:top w:val="nil"/>
              <w:left w:val="nil"/>
              <w:bottom w:val="nil"/>
              <w:right w:val="nil"/>
            </w:tcBorders>
            <w:shd w:val="clear" w:color="auto" w:fill="FFFFFF"/>
            <w:tcMar>
              <w:top w:w="30" w:type="dxa"/>
              <w:left w:w="60" w:type="dxa"/>
              <w:bottom w:w="30" w:type="dxa"/>
              <w:right w:w="60" w:type="dxa"/>
            </w:tcMar>
            <w:vAlign w:val="top"/>
          </w:tcPr>
          <w:p w14:paraId="624F5842">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High</w:t>
            </w:r>
          </w:p>
        </w:tc>
        <w:tc>
          <w:tcPr>
            <w:tcW w:w="360" w:type="pct"/>
            <w:tcBorders>
              <w:top w:val="nil"/>
              <w:left w:val="nil"/>
              <w:bottom w:val="nil"/>
              <w:right w:val="nil"/>
            </w:tcBorders>
            <w:shd w:val="clear" w:color="auto" w:fill="FFFFFF"/>
            <w:tcMar>
              <w:top w:w="30" w:type="dxa"/>
              <w:left w:w="60" w:type="dxa"/>
              <w:bottom w:w="30" w:type="dxa"/>
              <w:right w:w="60" w:type="dxa"/>
            </w:tcMar>
            <w:vAlign w:val="top"/>
          </w:tcPr>
          <w:p w14:paraId="547ADF1F">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High</w:t>
            </w:r>
          </w:p>
        </w:tc>
        <w:tc>
          <w:tcPr>
            <w:tcW w:w="359" w:type="pct"/>
            <w:tcBorders>
              <w:top w:val="nil"/>
              <w:left w:val="nil"/>
              <w:bottom w:val="nil"/>
              <w:right w:val="nil"/>
            </w:tcBorders>
            <w:shd w:val="clear" w:color="auto" w:fill="FFFFFF"/>
            <w:tcMar>
              <w:top w:w="30" w:type="dxa"/>
              <w:left w:w="60" w:type="dxa"/>
              <w:bottom w:w="30" w:type="dxa"/>
              <w:right w:w="60" w:type="dxa"/>
            </w:tcMar>
            <w:vAlign w:val="top"/>
          </w:tcPr>
          <w:p w14:paraId="757386AE">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High</w:t>
            </w:r>
          </w:p>
        </w:tc>
        <w:tc>
          <w:tcPr>
            <w:tcW w:w="359" w:type="pct"/>
            <w:tcBorders>
              <w:top w:val="nil"/>
              <w:left w:val="nil"/>
              <w:bottom w:val="nil"/>
              <w:right w:val="nil"/>
            </w:tcBorders>
            <w:shd w:val="clear" w:color="auto" w:fill="FFFFFF"/>
            <w:tcMar>
              <w:top w:w="30" w:type="dxa"/>
              <w:left w:w="60" w:type="dxa"/>
              <w:bottom w:w="30" w:type="dxa"/>
              <w:right w:w="60" w:type="dxa"/>
            </w:tcMar>
            <w:vAlign w:val="top"/>
          </w:tcPr>
          <w:p w14:paraId="5260B002">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Low</w:t>
            </w:r>
          </w:p>
        </w:tc>
        <w:tc>
          <w:tcPr>
            <w:tcW w:w="359" w:type="pct"/>
            <w:tcBorders>
              <w:top w:val="nil"/>
              <w:left w:val="nil"/>
              <w:bottom w:val="nil"/>
              <w:right w:val="nil"/>
            </w:tcBorders>
            <w:shd w:val="clear" w:color="auto" w:fill="FFFFFF"/>
            <w:tcMar>
              <w:top w:w="30" w:type="dxa"/>
              <w:left w:w="60" w:type="dxa"/>
              <w:bottom w:w="30" w:type="dxa"/>
              <w:right w:w="60" w:type="dxa"/>
            </w:tcMar>
            <w:vAlign w:val="top"/>
          </w:tcPr>
          <w:p w14:paraId="62631D8B">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High</w:t>
            </w:r>
          </w:p>
        </w:tc>
        <w:tc>
          <w:tcPr>
            <w:tcW w:w="478" w:type="pct"/>
            <w:tcBorders>
              <w:top w:val="nil"/>
              <w:left w:val="nil"/>
              <w:bottom w:val="nil"/>
              <w:right w:val="nil"/>
            </w:tcBorders>
            <w:shd w:val="clear" w:color="auto" w:fill="FFFFFF"/>
            <w:tcMar>
              <w:top w:w="30" w:type="dxa"/>
              <w:left w:w="60" w:type="dxa"/>
              <w:bottom w:w="30" w:type="dxa"/>
              <w:right w:w="60" w:type="dxa"/>
            </w:tcMar>
            <w:vAlign w:val="top"/>
          </w:tcPr>
          <w:p w14:paraId="33BDCBC1">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High</w:t>
            </w:r>
          </w:p>
        </w:tc>
        <w:tc>
          <w:tcPr>
            <w:tcW w:w="478" w:type="pct"/>
            <w:tcBorders>
              <w:top w:val="nil"/>
              <w:left w:val="nil"/>
              <w:bottom w:val="nil"/>
              <w:right w:val="nil"/>
            </w:tcBorders>
            <w:shd w:val="clear" w:color="auto" w:fill="FFFFFF"/>
            <w:tcMar>
              <w:top w:w="30" w:type="dxa"/>
              <w:left w:w="60" w:type="dxa"/>
              <w:bottom w:w="30" w:type="dxa"/>
              <w:right w:w="60" w:type="dxa"/>
            </w:tcMar>
            <w:vAlign w:val="top"/>
          </w:tcPr>
          <w:p w14:paraId="6FEE2EFC">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High</w:t>
            </w:r>
          </w:p>
        </w:tc>
      </w:tr>
      <w:tr w14:paraId="5F113FBB">
        <w:tc>
          <w:tcPr>
            <w:tcW w:w="539" w:type="pct"/>
            <w:tcBorders>
              <w:top w:val="nil"/>
              <w:left w:val="nil"/>
              <w:bottom w:val="nil"/>
              <w:right w:val="nil"/>
            </w:tcBorders>
            <w:shd w:val="clear" w:color="auto" w:fill="FFFFFF"/>
            <w:tcMar>
              <w:top w:w="30" w:type="dxa"/>
              <w:left w:w="60" w:type="dxa"/>
              <w:bottom w:w="30" w:type="dxa"/>
              <w:right w:w="60" w:type="dxa"/>
            </w:tcMar>
            <w:vAlign w:val="top"/>
          </w:tcPr>
          <w:p w14:paraId="1FA93FBE">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Huang Y-K</w:t>
            </w:r>
          </w:p>
        </w:tc>
        <w:tc>
          <w:tcPr>
            <w:tcW w:w="230" w:type="pct"/>
            <w:tcBorders>
              <w:top w:val="nil"/>
              <w:left w:val="nil"/>
              <w:bottom w:val="nil"/>
              <w:right w:val="nil"/>
            </w:tcBorders>
            <w:shd w:val="clear" w:color="auto" w:fill="FFFFFF"/>
            <w:tcMar>
              <w:top w:w="30" w:type="dxa"/>
              <w:left w:w="60" w:type="dxa"/>
              <w:bottom w:w="30" w:type="dxa"/>
              <w:right w:w="60" w:type="dxa"/>
            </w:tcMar>
            <w:vAlign w:val="top"/>
          </w:tcPr>
          <w:p w14:paraId="24292F67">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2018</w:t>
            </w:r>
          </w:p>
        </w:tc>
        <w:tc>
          <w:tcPr>
            <w:tcW w:w="755" w:type="pct"/>
            <w:tcBorders>
              <w:top w:val="nil"/>
              <w:left w:val="nil"/>
              <w:bottom w:val="nil"/>
              <w:right w:val="nil"/>
            </w:tcBorders>
            <w:shd w:val="clear" w:color="auto" w:fill="FFFFFF"/>
            <w:tcMar>
              <w:top w:w="30" w:type="dxa"/>
              <w:left w:w="60" w:type="dxa"/>
              <w:bottom w:w="30" w:type="dxa"/>
              <w:right w:w="60" w:type="dxa"/>
            </w:tcMar>
            <w:vAlign w:val="top"/>
          </w:tcPr>
          <w:p w14:paraId="063AE947">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IEEE J Biomed Health Inform</w:t>
            </w:r>
          </w:p>
        </w:tc>
        <w:tc>
          <w:tcPr>
            <w:tcW w:w="359" w:type="pct"/>
            <w:tcBorders>
              <w:top w:val="nil"/>
              <w:left w:val="nil"/>
              <w:bottom w:val="nil"/>
              <w:right w:val="nil"/>
            </w:tcBorders>
            <w:shd w:val="clear" w:color="auto" w:fill="FFFFFF"/>
            <w:tcMar>
              <w:top w:w="30" w:type="dxa"/>
              <w:left w:w="60" w:type="dxa"/>
              <w:bottom w:w="30" w:type="dxa"/>
              <w:right w:w="60" w:type="dxa"/>
            </w:tcMar>
            <w:vAlign w:val="top"/>
          </w:tcPr>
          <w:p w14:paraId="763C797E">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Low</w:t>
            </w:r>
          </w:p>
        </w:tc>
        <w:tc>
          <w:tcPr>
            <w:tcW w:w="359" w:type="pct"/>
            <w:tcBorders>
              <w:top w:val="nil"/>
              <w:left w:val="nil"/>
              <w:bottom w:val="nil"/>
              <w:right w:val="nil"/>
            </w:tcBorders>
            <w:shd w:val="clear" w:color="auto" w:fill="FFFFFF"/>
            <w:tcMar>
              <w:top w:w="30" w:type="dxa"/>
              <w:left w:w="60" w:type="dxa"/>
              <w:bottom w:w="30" w:type="dxa"/>
              <w:right w:w="60" w:type="dxa"/>
            </w:tcMar>
            <w:vAlign w:val="top"/>
          </w:tcPr>
          <w:p w14:paraId="7A85C0F9">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Low</w:t>
            </w:r>
          </w:p>
        </w:tc>
        <w:tc>
          <w:tcPr>
            <w:tcW w:w="359" w:type="pct"/>
            <w:tcBorders>
              <w:top w:val="nil"/>
              <w:left w:val="nil"/>
              <w:bottom w:val="nil"/>
              <w:right w:val="nil"/>
            </w:tcBorders>
            <w:shd w:val="clear" w:color="auto" w:fill="FFFFFF"/>
            <w:tcMar>
              <w:top w:w="30" w:type="dxa"/>
              <w:left w:w="60" w:type="dxa"/>
              <w:bottom w:w="30" w:type="dxa"/>
              <w:right w:w="60" w:type="dxa"/>
            </w:tcMar>
            <w:vAlign w:val="top"/>
          </w:tcPr>
          <w:p w14:paraId="694BCB67">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Low</w:t>
            </w:r>
          </w:p>
        </w:tc>
        <w:tc>
          <w:tcPr>
            <w:tcW w:w="360" w:type="pct"/>
            <w:tcBorders>
              <w:top w:val="nil"/>
              <w:left w:val="nil"/>
              <w:bottom w:val="nil"/>
              <w:right w:val="nil"/>
            </w:tcBorders>
            <w:shd w:val="clear" w:color="auto" w:fill="FFFFFF"/>
            <w:tcMar>
              <w:top w:w="30" w:type="dxa"/>
              <w:left w:w="60" w:type="dxa"/>
              <w:bottom w:w="30" w:type="dxa"/>
              <w:right w:w="60" w:type="dxa"/>
            </w:tcMar>
            <w:vAlign w:val="top"/>
          </w:tcPr>
          <w:p w14:paraId="2C9E8C1E">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High</w:t>
            </w:r>
          </w:p>
        </w:tc>
        <w:tc>
          <w:tcPr>
            <w:tcW w:w="359" w:type="pct"/>
            <w:tcBorders>
              <w:top w:val="nil"/>
              <w:left w:val="nil"/>
              <w:bottom w:val="nil"/>
              <w:right w:val="nil"/>
            </w:tcBorders>
            <w:shd w:val="clear" w:color="auto" w:fill="FFFFFF"/>
            <w:tcMar>
              <w:top w:w="30" w:type="dxa"/>
              <w:left w:w="60" w:type="dxa"/>
              <w:bottom w:w="30" w:type="dxa"/>
              <w:right w:w="60" w:type="dxa"/>
            </w:tcMar>
            <w:vAlign w:val="top"/>
          </w:tcPr>
          <w:p w14:paraId="0080C693">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High</w:t>
            </w:r>
          </w:p>
        </w:tc>
        <w:tc>
          <w:tcPr>
            <w:tcW w:w="359" w:type="pct"/>
            <w:tcBorders>
              <w:top w:val="nil"/>
              <w:left w:val="nil"/>
              <w:bottom w:val="nil"/>
              <w:right w:val="nil"/>
            </w:tcBorders>
            <w:shd w:val="clear" w:color="auto" w:fill="FFFFFF"/>
            <w:tcMar>
              <w:top w:w="30" w:type="dxa"/>
              <w:left w:w="60" w:type="dxa"/>
              <w:bottom w:w="30" w:type="dxa"/>
              <w:right w:w="60" w:type="dxa"/>
            </w:tcMar>
            <w:vAlign w:val="top"/>
          </w:tcPr>
          <w:p w14:paraId="250E076A">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Low</w:t>
            </w:r>
          </w:p>
        </w:tc>
        <w:tc>
          <w:tcPr>
            <w:tcW w:w="359" w:type="pct"/>
            <w:tcBorders>
              <w:top w:val="nil"/>
              <w:left w:val="nil"/>
              <w:bottom w:val="nil"/>
              <w:right w:val="nil"/>
            </w:tcBorders>
            <w:shd w:val="clear" w:color="auto" w:fill="FFFFFF"/>
            <w:tcMar>
              <w:top w:w="30" w:type="dxa"/>
              <w:left w:w="60" w:type="dxa"/>
              <w:bottom w:w="30" w:type="dxa"/>
              <w:right w:w="60" w:type="dxa"/>
            </w:tcMar>
            <w:vAlign w:val="top"/>
          </w:tcPr>
          <w:p w14:paraId="6433DABB">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Low</w:t>
            </w:r>
          </w:p>
        </w:tc>
        <w:tc>
          <w:tcPr>
            <w:tcW w:w="478" w:type="pct"/>
            <w:tcBorders>
              <w:top w:val="nil"/>
              <w:left w:val="nil"/>
              <w:bottom w:val="nil"/>
              <w:right w:val="nil"/>
            </w:tcBorders>
            <w:shd w:val="clear" w:color="auto" w:fill="FFFFFF"/>
            <w:tcMar>
              <w:top w:w="30" w:type="dxa"/>
              <w:left w:w="60" w:type="dxa"/>
              <w:bottom w:w="30" w:type="dxa"/>
              <w:right w:w="60" w:type="dxa"/>
            </w:tcMar>
            <w:vAlign w:val="top"/>
          </w:tcPr>
          <w:p w14:paraId="67059F34">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High</w:t>
            </w:r>
          </w:p>
        </w:tc>
        <w:tc>
          <w:tcPr>
            <w:tcW w:w="478" w:type="pct"/>
            <w:tcBorders>
              <w:top w:val="nil"/>
              <w:left w:val="nil"/>
              <w:bottom w:val="nil"/>
              <w:right w:val="nil"/>
            </w:tcBorders>
            <w:shd w:val="clear" w:color="auto" w:fill="FFFFFF"/>
            <w:tcMar>
              <w:top w:w="30" w:type="dxa"/>
              <w:left w:w="60" w:type="dxa"/>
              <w:bottom w:w="30" w:type="dxa"/>
              <w:right w:w="60" w:type="dxa"/>
            </w:tcMar>
            <w:vAlign w:val="top"/>
          </w:tcPr>
          <w:p w14:paraId="71ED9232">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High</w:t>
            </w:r>
          </w:p>
        </w:tc>
      </w:tr>
      <w:tr w14:paraId="0668D284">
        <w:tc>
          <w:tcPr>
            <w:tcW w:w="539" w:type="pct"/>
            <w:tcBorders>
              <w:top w:val="nil"/>
              <w:left w:val="nil"/>
              <w:bottom w:val="nil"/>
              <w:right w:val="nil"/>
            </w:tcBorders>
            <w:shd w:val="clear" w:color="auto" w:fill="FFFFFF"/>
            <w:tcMar>
              <w:top w:w="30" w:type="dxa"/>
              <w:left w:w="60" w:type="dxa"/>
              <w:bottom w:w="30" w:type="dxa"/>
              <w:right w:w="60" w:type="dxa"/>
            </w:tcMar>
            <w:vAlign w:val="top"/>
          </w:tcPr>
          <w:p w14:paraId="78E41FC9">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Liang J</w:t>
            </w:r>
          </w:p>
        </w:tc>
        <w:tc>
          <w:tcPr>
            <w:tcW w:w="230" w:type="pct"/>
            <w:tcBorders>
              <w:top w:val="nil"/>
              <w:left w:val="nil"/>
              <w:bottom w:val="nil"/>
              <w:right w:val="nil"/>
            </w:tcBorders>
            <w:shd w:val="clear" w:color="auto" w:fill="FFFFFF"/>
            <w:tcMar>
              <w:top w:w="30" w:type="dxa"/>
              <w:left w:w="60" w:type="dxa"/>
              <w:bottom w:w="30" w:type="dxa"/>
              <w:right w:w="60" w:type="dxa"/>
            </w:tcMar>
            <w:vAlign w:val="top"/>
          </w:tcPr>
          <w:p w14:paraId="297870FD">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2023</w:t>
            </w:r>
          </w:p>
        </w:tc>
        <w:tc>
          <w:tcPr>
            <w:tcW w:w="755" w:type="pct"/>
            <w:tcBorders>
              <w:top w:val="nil"/>
              <w:left w:val="nil"/>
              <w:bottom w:val="nil"/>
              <w:right w:val="nil"/>
            </w:tcBorders>
            <w:shd w:val="clear" w:color="auto" w:fill="FFFFFF"/>
            <w:tcMar>
              <w:top w:w="30" w:type="dxa"/>
              <w:left w:w="60" w:type="dxa"/>
              <w:bottom w:w="30" w:type="dxa"/>
              <w:right w:w="60" w:type="dxa"/>
            </w:tcMar>
            <w:vAlign w:val="top"/>
          </w:tcPr>
          <w:p w14:paraId="1289EB4A">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Journal of Biophotonics</w:t>
            </w:r>
          </w:p>
        </w:tc>
        <w:tc>
          <w:tcPr>
            <w:tcW w:w="359" w:type="pct"/>
            <w:tcBorders>
              <w:top w:val="nil"/>
              <w:left w:val="nil"/>
              <w:bottom w:val="nil"/>
              <w:right w:val="nil"/>
            </w:tcBorders>
            <w:shd w:val="clear" w:color="auto" w:fill="FFFFFF"/>
            <w:tcMar>
              <w:top w:w="30" w:type="dxa"/>
              <w:left w:w="60" w:type="dxa"/>
              <w:bottom w:w="30" w:type="dxa"/>
              <w:right w:w="60" w:type="dxa"/>
            </w:tcMar>
            <w:vAlign w:val="top"/>
          </w:tcPr>
          <w:p w14:paraId="18646CA1">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Low</w:t>
            </w:r>
          </w:p>
        </w:tc>
        <w:tc>
          <w:tcPr>
            <w:tcW w:w="359" w:type="pct"/>
            <w:tcBorders>
              <w:top w:val="nil"/>
              <w:left w:val="nil"/>
              <w:bottom w:val="nil"/>
              <w:right w:val="nil"/>
            </w:tcBorders>
            <w:shd w:val="clear" w:color="auto" w:fill="FFFFFF"/>
            <w:tcMar>
              <w:top w:w="30" w:type="dxa"/>
              <w:left w:w="60" w:type="dxa"/>
              <w:bottom w:w="30" w:type="dxa"/>
              <w:right w:w="60" w:type="dxa"/>
            </w:tcMar>
            <w:vAlign w:val="top"/>
          </w:tcPr>
          <w:p w14:paraId="31CDB94B">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Low</w:t>
            </w:r>
          </w:p>
        </w:tc>
        <w:tc>
          <w:tcPr>
            <w:tcW w:w="359" w:type="pct"/>
            <w:tcBorders>
              <w:top w:val="nil"/>
              <w:left w:val="nil"/>
              <w:bottom w:val="nil"/>
              <w:right w:val="nil"/>
            </w:tcBorders>
            <w:shd w:val="clear" w:color="auto" w:fill="FFFFFF"/>
            <w:tcMar>
              <w:top w:w="30" w:type="dxa"/>
              <w:left w:w="60" w:type="dxa"/>
              <w:bottom w:w="30" w:type="dxa"/>
              <w:right w:w="60" w:type="dxa"/>
            </w:tcMar>
            <w:vAlign w:val="top"/>
          </w:tcPr>
          <w:p w14:paraId="0E4DF8B6">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Low</w:t>
            </w:r>
          </w:p>
        </w:tc>
        <w:tc>
          <w:tcPr>
            <w:tcW w:w="360" w:type="pct"/>
            <w:tcBorders>
              <w:top w:val="nil"/>
              <w:left w:val="nil"/>
              <w:bottom w:val="nil"/>
              <w:right w:val="nil"/>
            </w:tcBorders>
            <w:shd w:val="clear" w:color="auto" w:fill="FFFFFF"/>
            <w:tcMar>
              <w:top w:w="30" w:type="dxa"/>
              <w:left w:w="60" w:type="dxa"/>
              <w:bottom w:w="30" w:type="dxa"/>
              <w:right w:w="60" w:type="dxa"/>
            </w:tcMar>
            <w:vAlign w:val="top"/>
          </w:tcPr>
          <w:p w14:paraId="68D04A16">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High</w:t>
            </w:r>
          </w:p>
        </w:tc>
        <w:tc>
          <w:tcPr>
            <w:tcW w:w="359" w:type="pct"/>
            <w:tcBorders>
              <w:top w:val="nil"/>
              <w:left w:val="nil"/>
              <w:bottom w:val="nil"/>
              <w:right w:val="nil"/>
            </w:tcBorders>
            <w:shd w:val="clear" w:color="auto" w:fill="FFFFFF"/>
            <w:tcMar>
              <w:top w:w="30" w:type="dxa"/>
              <w:left w:w="60" w:type="dxa"/>
              <w:bottom w:w="30" w:type="dxa"/>
              <w:right w:w="60" w:type="dxa"/>
            </w:tcMar>
            <w:vAlign w:val="top"/>
          </w:tcPr>
          <w:p w14:paraId="6B7DAD48">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Low</w:t>
            </w:r>
          </w:p>
        </w:tc>
        <w:tc>
          <w:tcPr>
            <w:tcW w:w="359" w:type="pct"/>
            <w:tcBorders>
              <w:top w:val="nil"/>
              <w:left w:val="nil"/>
              <w:bottom w:val="nil"/>
              <w:right w:val="nil"/>
            </w:tcBorders>
            <w:shd w:val="clear" w:color="auto" w:fill="FFFFFF"/>
            <w:tcMar>
              <w:top w:w="30" w:type="dxa"/>
              <w:left w:w="60" w:type="dxa"/>
              <w:bottom w:w="30" w:type="dxa"/>
              <w:right w:w="60" w:type="dxa"/>
            </w:tcMar>
            <w:vAlign w:val="top"/>
          </w:tcPr>
          <w:p w14:paraId="6CFFA76E">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Low</w:t>
            </w:r>
          </w:p>
        </w:tc>
        <w:tc>
          <w:tcPr>
            <w:tcW w:w="359" w:type="pct"/>
            <w:tcBorders>
              <w:top w:val="nil"/>
              <w:left w:val="nil"/>
              <w:bottom w:val="nil"/>
              <w:right w:val="nil"/>
            </w:tcBorders>
            <w:shd w:val="clear" w:color="auto" w:fill="FFFFFF"/>
            <w:tcMar>
              <w:top w:w="30" w:type="dxa"/>
              <w:left w:w="60" w:type="dxa"/>
              <w:bottom w:w="30" w:type="dxa"/>
              <w:right w:w="60" w:type="dxa"/>
            </w:tcMar>
            <w:vAlign w:val="top"/>
          </w:tcPr>
          <w:p w14:paraId="32A1F87C">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Low</w:t>
            </w:r>
          </w:p>
        </w:tc>
        <w:tc>
          <w:tcPr>
            <w:tcW w:w="478" w:type="pct"/>
            <w:tcBorders>
              <w:top w:val="nil"/>
              <w:left w:val="nil"/>
              <w:bottom w:val="nil"/>
              <w:right w:val="nil"/>
            </w:tcBorders>
            <w:shd w:val="clear" w:color="auto" w:fill="FFFFFF"/>
            <w:tcMar>
              <w:top w:w="30" w:type="dxa"/>
              <w:left w:w="60" w:type="dxa"/>
              <w:bottom w:w="30" w:type="dxa"/>
              <w:right w:w="60" w:type="dxa"/>
            </w:tcMar>
            <w:vAlign w:val="top"/>
          </w:tcPr>
          <w:p w14:paraId="7B11FCEA">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High</w:t>
            </w:r>
          </w:p>
        </w:tc>
        <w:tc>
          <w:tcPr>
            <w:tcW w:w="478" w:type="pct"/>
            <w:tcBorders>
              <w:top w:val="nil"/>
              <w:left w:val="nil"/>
              <w:bottom w:val="nil"/>
              <w:right w:val="nil"/>
            </w:tcBorders>
            <w:shd w:val="clear" w:color="auto" w:fill="FFFFFF"/>
            <w:tcMar>
              <w:top w:w="30" w:type="dxa"/>
              <w:left w:w="60" w:type="dxa"/>
              <w:bottom w:w="30" w:type="dxa"/>
              <w:right w:w="60" w:type="dxa"/>
            </w:tcMar>
            <w:vAlign w:val="top"/>
          </w:tcPr>
          <w:p w14:paraId="608C2412">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Low</w:t>
            </w:r>
          </w:p>
        </w:tc>
      </w:tr>
      <w:tr w14:paraId="77C6028B">
        <w:tc>
          <w:tcPr>
            <w:tcW w:w="539" w:type="pct"/>
            <w:tcBorders>
              <w:top w:val="nil"/>
              <w:left w:val="nil"/>
              <w:bottom w:val="nil"/>
              <w:right w:val="nil"/>
            </w:tcBorders>
            <w:shd w:val="clear" w:color="auto" w:fill="FFFFFF"/>
            <w:tcMar>
              <w:top w:w="30" w:type="dxa"/>
              <w:left w:w="60" w:type="dxa"/>
              <w:bottom w:w="30" w:type="dxa"/>
              <w:right w:w="60" w:type="dxa"/>
            </w:tcMar>
            <w:vAlign w:val="top"/>
          </w:tcPr>
          <w:p w14:paraId="01DD3265">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Perpetuini D</w:t>
            </w:r>
          </w:p>
        </w:tc>
        <w:tc>
          <w:tcPr>
            <w:tcW w:w="230" w:type="pct"/>
            <w:tcBorders>
              <w:top w:val="nil"/>
              <w:left w:val="nil"/>
              <w:bottom w:val="nil"/>
              <w:right w:val="nil"/>
            </w:tcBorders>
            <w:shd w:val="clear" w:color="auto" w:fill="FFFFFF"/>
            <w:tcMar>
              <w:top w:w="30" w:type="dxa"/>
              <w:left w:w="60" w:type="dxa"/>
              <w:bottom w:w="30" w:type="dxa"/>
              <w:right w:w="60" w:type="dxa"/>
            </w:tcMar>
            <w:vAlign w:val="top"/>
          </w:tcPr>
          <w:p w14:paraId="74913F94">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2022</w:t>
            </w:r>
          </w:p>
        </w:tc>
        <w:tc>
          <w:tcPr>
            <w:tcW w:w="755" w:type="pct"/>
            <w:tcBorders>
              <w:top w:val="nil"/>
              <w:left w:val="nil"/>
              <w:bottom w:val="nil"/>
              <w:right w:val="nil"/>
            </w:tcBorders>
            <w:shd w:val="clear" w:color="auto" w:fill="FFFFFF"/>
            <w:tcMar>
              <w:top w:w="30" w:type="dxa"/>
              <w:left w:w="60" w:type="dxa"/>
              <w:bottom w:w="30" w:type="dxa"/>
              <w:right w:w="60" w:type="dxa"/>
            </w:tcMar>
            <w:vAlign w:val="top"/>
          </w:tcPr>
          <w:p w14:paraId="032A37D6">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Journal of Clinical Medicine</w:t>
            </w:r>
          </w:p>
        </w:tc>
        <w:tc>
          <w:tcPr>
            <w:tcW w:w="359" w:type="pct"/>
            <w:tcBorders>
              <w:top w:val="nil"/>
              <w:left w:val="nil"/>
              <w:bottom w:val="nil"/>
              <w:right w:val="nil"/>
            </w:tcBorders>
            <w:shd w:val="clear" w:color="auto" w:fill="FFFFFF"/>
            <w:tcMar>
              <w:top w:w="30" w:type="dxa"/>
              <w:left w:w="60" w:type="dxa"/>
              <w:bottom w:w="30" w:type="dxa"/>
              <w:right w:w="60" w:type="dxa"/>
            </w:tcMar>
            <w:vAlign w:val="top"/>
          </w:tcPr>
          <w:p w14:paraId="302BA401">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Low</w:t>
            </w:r>
          </w:p>
        </w:tc>
        <w:tc>
          <w:tcPr>
            <w:tcW w:w="359" w:type="pct"/>
            <w:tcBorders>
              <w:top w:val="nil"/>
              <w:left w:val="nil"/>
              <w:bottom w:val="nil"/>
              <w:right w:val="nil"/>
            </w:tcBorders>
            <w:shd w:val="clear" w:color="auto" w:fill="FFFFFF"/>
            <w:tcMar>
              <w:top w:w="30" w:type="dxa"/>
              <w:left w:w="60" w:type="dxa"/>
              <w:bottom w:w="30" w:type="dxa"/>
              <w:right w:w="60" w:type="dxa"/>
            </w:tcMar>
            <w:vAlign w:val="top"/>
          </w:tcPr>
          <w:p w14:paraId="1A1CEBE3">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Low</w:t>
            </w:r>
          </w:p>
        </w:tc>
        <w:tc>
          <w:tcPr>
            <w:tcW w:w="359" w:type="pct"/>
            <w:tcBorders>
              <w:top w:val="nil"/>
              <w:left w:val="nil"/>
              <w:bottom w:val="nil"/>
              <w:right w:val="nil"/>
            </w:tcBorders>
            <w:shd w:val="clear" w:color="auto" w:fill="FFFFFF"/>
            <w:tcMar>
              <w:top w:w="30" w:type="dxa"/>
              <w:left w:w="60" w:type="dxa"/>
              <w:bottom w:w="30" w:type="dxa"/>
              <w:right w:w="60" w:type="dxa"/>
            </w:tcMar>
            <w:vAlign w:val="top"/>
          </w:tcPr>
          <w:p w14:paraId="7DA0D026">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Low</w:t>
            </w:r>
          </w:p>
        </w:tc>
        <w:tc>
          <w:tcPr>
            <w:tcW w:w="360" w:type="pct"/>
            <w:tcBorders>
              <w:top w:val="nil"/>
              <w:left w:val="nil"/>
              <w:bottom w:val="nil"/>
              <w:right w:val="nil"/>
            </w:tcBorders>
            <w:shd w:val="clear" w:color="auto" w:fill="FFFFFF"/>
            <w:tcMar>
              <w:top w:w="30" w:type="dxa"/>
              <w:left w:w="60" w:type="dxa"/>
              <w:bottom w:w="30" w:type="dxa"/>
              <w:right w:w="60" w:type="dxa"/>
            </w:tcMar>
            <w:vAlign w:val="top"/>
          </w:tcPr>
          <w:p w14:paraId="0D7AEEDA">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High</w:t>
            </w:r>
          </w:p>
        </w:tc>
        <w:tc>
          <w:tcPr>
            <w:tcW w:w="359" w:type="pct"/>
            <w:tcBorders>
              <w:top w:val="nil"/>
              <w:left w:val="nil"/>
              <w:bottom w:val="nil"/>
              <w:right w:val="nil"/>
            </w:tcBorders>
            <w:shd w:val="clear" w:color="auto" w:fill="FFFFFF"/>
            <w:tcMar>
              <w:top w:w="30" w:type="dxa"/>
              <w:left w:w="60" w:type="dxa"/>
              <w:bottom w:w="30" w:type="dxa"/>
              <w:right w:w="60" w:type="dxa"/>
            </w:tcMar>
            <w:vAlign w:val="top"/>
          </w:tcPr>
          <w:p w14:paraId="628B7A20">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High</w:t>
            </w:r>
          </w:p>
        </w:tc>
        <w:tc>
          <w:tcPr>
            <w:tcW w:w="359" w:type="pct"/>
            <w:tcBorders>
              <w:top w:val="nil"/>
              <w:left w:val="nil"/>
              <w:bottom w:val="nil"/>
              <w:right w:val="nil"/>
            </w:tcBorders>
            <w:shd w:val="clear" w:color="auto" w:fill="FFFFFF"/>
            <w:tcMar>
              <w:top w:w="30" w:type="dxa"/>
              <w:left w:w="60" w:type="dxa"/>
              <w:bottom w:w="30" w:type="dxa"/>
              <w:right w:w="60" w:type="dxa"/>
            </w:tcMar>
            <w:vAlign w:val="top"/>
          </w:tcPr>
          <w:p w14:paraId="310627EB">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High</w:t>
            </w:r>
          </w:p>
        </w:tc>
        <w:tc>
          <w:tcPr>
            <w:tcW w:w="359" w:type="pct"/>
            <w:tcBorders>
              <w:top w:val="nil"/>
              <w:left w:val="nil"/>
              <w:bottom w:val="nil"/>
              <w:right w:val="nil"/>
            </w:tcBorders>
            <w:shd w:val="clear" w:color="auto" w:fill="FFFFFF"/>
            <w:tcMar>
              <w:top w:w="30" w:type="dxa"/>
              <w:left w:w="60" w:type="dxa"/>
              <w:bottom w:w="30" w:type="dxa"/>
              <w:right w:w="60" w:type="dxa"/>
            </w:tcMar>
            <w:vAlign w:val="top"/>
          </w:tcPr>
          <w:p w14:paraId="1BB68595">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Low</w:t>
            </w:r>
          </w:p>
        </w:tc>
        <w:tc>
          <w:tcPr>
            <w:tcW w:w="478" w:type="pct"/>
            <w:tcBorders>
              <w:top w:val="nil"/>
              <w:left w:val="nil"/>
              <w:bottom w:val="nil"/>
              <w:right w:val="nil"/>
            </w:tcBorders>
            <w:shd w:val="clear" w:color="auto" w:fill="FFFFFF"/>
            <w:tcMar>
              <w:top w:w="30" w:type="dxa"/>
              <w:left w:w="60" w:type="dxa"/>
              <w:bottom w:w="30" w:type="dxa"/>
              <w:right w:w="60" w:type="dxa"/>
            </w:tcMar>
            <w:vAlign w:val="top"/>
          </w:tcPr>
          <w:p w14:paraId="7544DA89">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High</w:t>
            </w:r>
          </w:p>
        </w:tc>
        <w:tc>
          <w:tcPr>
            <w:tcW w:w="478" w:type="pct"/>
            <w:tcBorders>
              <w:top w:val="nil"/>
              <w:left w:val="nil"/>
              <w:bottom w:val="nil"/>
              <w:right w:val="nil"/>
            </w:tcBorders>
            <w:shd w:val="clear" w:color="auto" w:fill="FFFFFF"/>
            <w:tcMar>
              <w:top w:w="30" w:type="dxa"/>
              <w:left w:w="60" w:type="dxa"/>
              <w:bottom w:w="30" w:type="dxa"/>
              <w:right w:w="60" w:type="dxa"/>
            </w:tcMar>
            <w:vAlign w:val="top"/>
          </w:tcPr>
          <w:p w14:paraId="105025A7">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High</w:t>
            </w:r>
          </w:p>
        </w:tc>
      </w:tr>
      <w:tr w14:paraId="737AD7C0">
        <w:tc>
          <w:tcPr>
            <w:tcW w:w="539" w:type="pct"/>
            <w:tcBorders>
              <w:top w:val="nil"/>
              <w:left w:val="nil"/>
              <w:bottom w:val="nil"/>
              <w:right w:val="nil"/>
            </w:tcBorders>
            <w:shd w:val="clear" w:color="auto" w:fill="FFFFFF"/>
            <w:tcMar>
              <w:top w:w="30" w:type="dxa"/>
              <w:left w:w="60" w:type="dxa"/>
              <w:bottom w:w="30" w:type="dxa"/>
              <w:right w:w="60" w:type="dxa"/>
            </w:tcMar>
            <w:vAlign w:val="top"/>
          </w:tcPr>
          <w:p w14:paraId="0A3FC30F">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Rosati S</w:t>
            </w:r>
          </w:p>
        </w:tc>
        <w:tc>
          <w:tcPr>
            <w:tcW w:w="230" w:type="pct"/>
            <w:tcBorders>
              <w:top w:val="nil"/>
              <w:left w:val="nil"/>
              <w:bottom w:val="nil"/>
              <w:right w:val="nil"/>
            </w:tcBorders>
            <w:shd w:val="clear" w:color="auto" w:fill="FFFFFF"/>
            <w:tcMar>
              <w:top w:w="30" w:type="dxa"/>
              <w:left w:w="60" w:type="dxa"/>
              <w:bottom w:w="30" w:type="dxa"/>
              <w:right w:w="60" w:type="dxa"/>
            </w:tcMar>
            <w:vAlign w:val="top"/>
          </w:tcPr>
          <w:p w14:paraId="6AE8D72A">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2012</w:t>
            </w:r>
          </w:p>
        </w:tc>
        <w:tc>
          <w:tcPr>
            <w:tcW w:w="755" w:type="pct"/>
            <w:tcBorders>
              <w:top w:val="nil"/>
              <w:left w:val="nil"/>
              <w:bottom w:val="nil"/>
              <w:right w:val="nil"/>
            </w:tcBorders>
            <w:shd w:val="clear" w:color="auto" w:fill="FFFFFF"/>
            <w:tcMar>
              <w:top w:w="30" w:type="dxa"/>
              <w:left w:w="60" w:type="dxa"/>
              <w:bottom w:w="30" w:type="dxa"/>
              <w:right w:w="60" w:type="dxa"/>
            </w:tcMar>
            <w:vAlign w:val="top"/>
          </w:tcPr>
          <w:p w14:paraId="0E953348">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J Mech Med Biol</w:t>
            </w:r>
          </w:p>
        </w:tc>
        <w:tc>
          <w:tcPr>
            <w:tcW w:w="359" w:type="pct"/>
            <w:tcBorders>
              <w:top w:val="nil"/>
              <w:left w:val="nil"/>
              <w:bottom w:val="nil"/>
              <w:right w:val="nil"/>
            </w:tcBorders>
            <w:shd w:val="clear" w:color="auto" w:fill="FFFFFF"/>
            <w:tcMar>
              <w:top w:w="30" w:type="dxa"/>
              <w:left w:w="60" w:type="dxa"/>
              <w:bottom w:w="30" w:type="dxa"/>
              <w:right w:w="60" w:type="dxa"/>
            </w:tcMar>
            <w:vAlign w:val="top"/>
          </w:tcPr>
          <w:p w14:paraId="6D7BEAEA">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Low</w:t>
            </w:r>
          </w:p>
        </w:tc>
        <w:tc>
          <w:tcPr>
            <w:tcW w:w="359" w:type="pct"/>
            <w:tcBorders>
              <w:top w:val="nil"/>
              <w:left w:val="nil"/>
              <w:bottom w:val="nil"/>
              <w:right w:val="nil"/>
            </w:tcBorders>
            <w:shd w:val="clear" w:color="auto" w:fill="FFFFFF"/>
            <w:tcMar>
              <w:top w:w="30" w:type="dxa"/>
              <w:left w:w="60" w:type="dxa"/>
              <w:bottom w:w="30" w:type="dxa"/>
              <w:right w:w="60" w:type="dxa"/>
            </w:tcMar>
            <w:vAlign w:val="top"/>
          </w:tcPr>
          <w:p w14:paraId="176C9202">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Low</w:t>
            </w:r>
          </w:p>
        </w:tc>
        <w:tc>
          <w:tcPr>
            <w:tcW w:w="359" w:type="pct"/>
            <w:tcBorders>
              <w:top w:val="nil"/>
              <w:left w:val="nil"/>
              <w:bottom w:val="nil"/>
              <w:right w:val="nil"/>
            </w:tcBorders>
            <w:shd w:val="clear" w:color="auto" w:fill="FFFFFF"/>
            <w:tcMar>
              <w:top w:w="30" w:type="dxa"/>
              <w:left w:w="60" w:type="dxa"/>
              <w:bottom w:w="30" w:type="dxa"/>
              <w:right w:w="60" w:type="dxa"/>
            </w:tcMar>
            <w:vAlign w:val="top"/>
          </w:tcPr>
          <w:p w14:paraId="0DD05A33">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Low</w:t>
            </w:r>
          </w:p>
        </w:tc>
        <w:tc>
          <w:tcPr>
            <w:tcW w:w="360" w:type="pct"/>
            <w:tcBorders>
              <w:top w:val="nil"/>
              <w:left w:val="nil"/>
              <w:bottom w:val="nil"/>
              <w:right w:val="nil"/>
            </w:tcBorders>
            <w:shd w:val="clear" w:color="auto" w:fill="FFFFFF"/>
            <w:tcMar>
              <w:top w:w="30" w:type="dxa"/>
              <w:left w:w="60" w:type="dxa"/>
              <w:bottom w:w="30" w:type="dxa"/>
              <w:right w:w="60" w:type="dxa"/>
            </w:tcMar>
            <w:vAlign w:val="top"/>
          </w:tcPr>
          <w:p w14:paraId="0FBC6034">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High</w:t>
            </w:r>
          </w:p>
        </w:tc>
        <w:tc>
          <w:tcPr>
            <w:tcW w:w="359" w:type="pct"/>
            <w:tcBorders>
              <w:top w:val="nil"/>
              <w:left w:val="nil"/>
              <w:bottom w:val="nil"/>
              <w:right w:val="nil"/>
            </w:tcBorders>
            <w:shd w:val="clear" w:color="auto" w:fill="FFFFFF"/>
            <w:tcMar>
              <w:top w:w="30" w:type="dxa"/>
              <w:left w:w="60" w:type="dxa"/>
              <w:bottom w:w="30" w:type="dxa"/>
              <w:right w:w="60" w:type="dxa"/>
            </w:tcMar>
            <w:vAlign w:val="top"/>
          </w:tcPr>
          <w:p w14:paraId="2702F251">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High</w:t>
            </w:r>
          </w:p>
        </w:tc>
        <w:tc>
          <w:tcPr>
            <w:tcW w:w="359" w:type="pct"/>
            <w:tcBorders>
              <w:top w:val="nil"/>
              <w:left w:val="nil"/>
              <w:bottom w:val="nil"/>
              <w:right w:val="nil"/>
            </w:tcBorders>
            <w:shd w:val="clear" w:color="auto" w:fill="FFFFFF"/>
            <w:tcMar>
              <w:top w:w="30" w:type="dxa"/>
              <w:left w:w="60" w:type="dxa"/>
              <w:bottom w:w="30" w:type="dxa"/>
              <w:right w:w="60" w:type="dxa"/>
            </w:tcMar>
            <w:vAlign w:val="top"/>
          </w:tcPr>
          <w:p w14:paraId="6659CD28">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Low</w:t>
            </w:r>
          </w:p>
        </w:tc>
        <w:tc>
          <w:tcPr>
            <w:tcW w:w="359" w:type="pct"/>
            <w:tcBorders>
              <w:top w:val="nil"/>
              <w:left w:val="nil"/>
              <w:bottom w:val="nil"/>
              <w:right w:val="nil"/>
            </w:tcBorders>
            <w:shd w:val="clear" w:color="auto" w:fill="FFFFFF"/>
            <w:tcMar>
              <w:top w:w="30" w:type="dxa"/>
              <w:left w:w="60" w:type="dxa"/>
              <w:bottom w:w="30" w:type="dxa"/>
              <w:right w:w="60" w:type="dxa"/>
            </w:tcMar>
            <w:vAlign w:val="top"/>
          </w:tcPr>
          <w:p w14:paraId="02E977F1">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High</w:t>
            </w:r>
          </w:p>
        </w:tc>
        <w:tc>
          <w:tcPr>
            <w:tcW w:w="478" w:type="pct"/>
            <w:tcBorders>
              <w:top w:val="nil"/>
              <w:left w:val="nil"/>
              <w:bottom w:val="nil"/>
              <w:right w:val="nil"/>
            </w:tcBorders>
            <w:shd w:val="clear" w:color="auto" w:fill="FFFFFF"/>
            <w:tcMar>
              <w:top w:w="30" w:type="dxa"/>
              <w:left w:w="60" w:type="dxa"/>
              <w:bottom w:w="30" w:type="dxa"/>
              <w:right w:w="60" w:type="dxa"/>
            </w:tcMar>
            <w:vAlign w:val="top"/>
          </w:tcPr>
          <w:p w14:paraId="7176ED27">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High</w:t>
            </w:r>
          </w:p>
        </w:tc>
        <w:tc>
          <w:tcPr>
            <w:tcW w:w="478" w:type="pct"/>
            <w:tcBorders>
              <w:top w:val="nil"/>
              <w:left w:val="nil"/>
              <w:bottom w:val="nil"/>
              <w:right w:val="nil"/>
            </w:tcBorders>
            <w:shd w:val="clear" w:color="auto" w:fill="FFFFFF"/>
            <w:tcMar>
              <w:top w:w="30" w:type="dxa"/>
              <w:left w:w="60" w:type="dxa"/>
              <w:bottom w:w="30" w:type="dxa"/>
              <w:right w:w="60" w:type="dxa"/>
            </w:tcMar>
            <w:vAlign w:val="top"/>
          </w:tcPr>
          <w:p w14:paraId="0E9CC59F">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High</w:t>
            </w:r>
          </w:p>
        </w:tc>
      </w:tr>
      <w:tr w14:paraId="731B8CB9">
        <w:tc>
          <w:tcPr>
            <w:tcW w:w="539" w:type="pct"/>
            <w:tcBorders>
              <w:top w:val="nil"/>
              <w:left w:val="nil"/>
              <w:bottom w:val="nil"/>
              <w:right w:val="nil"/>
            </w:tcBorders>
            <w:shd w:val="clear" w:color="auto" w:fill="FFFFFF"/>
            <w:tcMar>
              <w:top w:w="30" w:type="dxa"/>
              <w:left w:w="60" w:type="dxa"/>
              <w:bottom w:w="30" w:type="dxa"/>
              <w:right w:w="60" w:type="dxa"/>
            </w:tcMar>
            <w:vAlign w:val="top"/>
          </w:tcPr>
          <w:p w14:paraId="3AA6EE63">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Zhou Y</w:t>
            </w:r>
          </w:p>
        </w:tc>
        <w:tc>
          <w:tcPr>
            <w:tcW w:w="230" w:type="pct"/>
            <w:tcBorders>
              <w:top w:val="nil"/>
              <w:left w:val="nil"/>
              <w:bottom w:val="nil"/>
              <w:right w:val="nil"/>
            </w:tcBorders>
            <w:shd w:val="clear" w:color="auto" w:fill="FFFFFF"/>
            <w:tcMar>
              <w:top w:w="30" w:type="dxa"/>
              <w:left w:w="60" w:type="dxa"/>
              <w:bottom w:w="30" w:type="dxa"/>
              <w:right w:w="60" w:type="dxa"/>
            </w:tcMar>
            <w:vAlign w:val="top"/>
          </w:tcPr>
          <w:p w14:paraId="6EB8E1F6">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2026</w:t>
            </w:r>
          </w:p>
        </w:tc>
        <w:tc>
          <w:tcPr>
            <w:tcW w:w="755" w:type="pct"/>
            <w:tcBorders>
              <w:top w:val="nil"/>
              <w:left w:val="nil"/>
              <w:bottom w:val="nil"/>
              <w:right w:val="nil"/>
            </w:tcBorders>
            <w:shd w:val="clear" w:color="auto" w:fill="FFFFFF"/>
            <w:tcMar>
              <w:top w:w="30" w:type="dxa"/>
              <w:left w:w="60" w:type="dxa"/>
              <w:bottom w:w="30" w:type="dxa"/>
              <w:right w:w="60" w:type="dxa"/>
            </w:tcMar>
            <w:vAlign w:val="top"/>
          </w:tcPr>
          <w:p w14:paraId="7C47976E">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Topics in Stroke Rehabilitation</w:t>
            </w:r>
          </w:p>
        </w:tc>
        <w:tc>
          <w:tcPr>
            <w:tcW w:w="359" w:type="pct"/>
            <w:tcBorders>
              <w:top w:val="nil"/>
              <w:left w:val="nil"/>
              <w:bottom w:val="nil"/>
              <w:right w:val="nil"/>
            </w:tcBorders>
            <w:shd w:val="clear" w:color="auto" w:fill="FFFFFF"/>
            <w:tcMar>
              <w:top w:w="30" w:type="dxa"/>
              <w:left w:w="60" w:type="dxa"/>
              <w:bottom w:w="30" w:type="dxa"/>
              <w:right w:w="60" w:type="dxa"/>
            </w:tcMar>
            <w:vAlign w:val="top"/>
          </w:tcPr>
          <w:p w14:paraId="41F7666C">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Low</w:t>
            </w:r>
          </w:p>
        </w:tc>
        <w:tc>
          <w:tcPr>
            <w:tcW w:w="359" w:type="pct"/>
            <w:tcBorders>
              <w:top w:val="nil"/>
              <w:left w:val="nil"/>
              <w:bottom w:val="nil"/>
              <w:right w:val="nil"/>
            </w:tcBorders>
            <w:shd w:val="clear" w:color="auto" w:fill="FFFFFF"/>
            <w:tcMar>
              <w:top w:w="30" w:type="dxa"/>
              <w:left w:w="60" w:type="dxa"/>
              <w:bottom w:w="30" w:type="dxa"/>
              <w:right w:w="60" w:type="dxa"/>
            </w:tcMar>
            <w:vAlign w:val="top"/>
          </w:tcPr>
          <w:p w14:paraId="5EB73A83">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High</w:t>
            </w:r>
          </w:p>
        </w:tc>
        <w:tc>
          <w:tcPr>
            <w:tcW w:w="359" w:type="pct"/>
            <w:tcBorders>
              <w:top w:val="nil"/>
              <w:left w:val="nil"/>
              <w:bottom w:val="nil"/>
              <w:right w:val="nil"/>
            </w:tcBorders>
            <w:shd w:val="clear" w:color="auto" w:fill="FFFFFF"/>
            <w:tcMar>
              <w:top w:w="30" w:type="dxa"/>
              <w:left w:w="60" w:type="dxa"/>
              <w:bottom w:w="30" w:type="dxa"/>
              <w:right w:w="60" w:type="dxa"/>
            </w:tcMar>
            <w:vAlign w:val="top"/>
          </w:tcPr>
          <w:p w14:paraId="0CBA0A6E">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Low</w:t>
            </w:r>
          </w:p>
        </w:tc>
        <w:tc>
          <w:tcPr>
            <w:tcW w:w="360" w:type="pct"/>
            <w:tcBorders>
              <w:top w:val="nil"/>
              <w:left w:val="nil"/>
              <w:bottom w:val="nil"/>
              <w:right w:val="nil"/>
            </w:tcBorders>
            <w:shd w:val="clear" w:color="auto" w:fill="FFFFFF"/>
            <w:tcMar>
              <w:top w:w="30" w:type="dxa"/>
              <w:left w:w="60" w:type="dxa"/>
              <w:bottom w:w="30" w:type="dxa"/>
              <w:right w:w="60" w:type="dxa"/>
            </w:tcMar>
            <w:vAlign w:val="top"/>
          </w:tcPr>
          <w:p w14:paraId="29B3BF62">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High</w:t>
            </w:r>
          </w:p>
        </w:tc>
        <w:tc>
          <w:tcPr>
            <w:tcW w:w="359" w:type="pct"/>
            <w:tcBorders>
              <w:top w:val="nil"/>
              <w:left w:val="nil"/>
              <w:bottom w:val="nil"/>
              <w:right w:val="nil"/>
            </w:tcBorders>
            <w:shd w:val="clear" w:color="auto" w:fill="FFFFFF"/>
            <w:tcMar>
              <w:top w:w="30" w:type="dxa"/>
              <w:left w:w="60" w:type="dxa"/>
              <w:bottom w:w="30" w:type="dxa"/>
              <w:right w:w="60" w:type="dxa"/>
            </w:tcMar>
            <w:vAlign w:val="top"/>
          </w:tcPr>
          <w:p w14:paraId="2AA305A4">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Low</w:t>
            </w:r>
          </w:p>
        </w:tc>
        <w:tc>
          <w:tcPr>
            <w:tcW w:w="359" w:type="pct"/>
            <w:tcBorders>
              <w:top w:val="nil"/>
              <w:left w:val="nil"/>
              <w:bottom w:val="nil"/>
              <w:right w:val="nil"/>
            </w:tcBorders>
            <w:shd w:val="clear" w:color="auto" w:fill="FFFFFF"/>
            <w:tcMar>
              <w:top w:w="30" w:type="dxa"/>
              <w:left w:w="60" w:type="dxa"/>
              <w:bottom w:w="30" w:type="dxa"/>
              <w:right w:w="60" w:type="dxa"/>
            </w:tcMar>
            <w:vAlign w:val="top"/>
          </w:tcPr>
          <w:p w14:paraId="6F1E55AC">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High</w:t>
            </w:r>
          </w:p>
        </w:tc>
        <w:tc>
          <w:tcPr>
            <w:tcW w:w="359" w:type="pct"/>
            <w:tcBorders>
              <w:top w:val="nil"/>
              <w:left w:val="nil"/>
              <w:bottom w:val="nil"/>
              <w:right w:val="nil"/>
            </w:tcBorders>
            <w:shd w:val="clear" w:color="auto" w:fill="FFFFFF"/>
            <w:tcMar>
              <w:top w:w="30" w:type="dxa"/>
              <w:left w:w="60" w:type="dxa"/>
              <w:bottom w:w="30" w:type="dxa"/>
              <w:right w:w="60" w:type="dxa"/>
            </w:tcMar>
            <w:vAlign w:val="top"/>
          </w:tcPr>
          <w:p w14:paraId="1840DB6A">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Low</w:t>
            </w:r>
          </w:p>
        </w:tc>
        <w:tc>
          <w:tcPr>
            <w:tcW w:w="478" w:type="pct"/>
            <w:tcBorders>
              <w:top w:val="nil"/>
              <w:left w:val="nil"/>
              <w:bottom w:val="nil"/>
              <w:right w:val="nil"/>
            </w:tcBorders>
            <w:shd w:val="clear" w:color="auto" w:fill="FFFFFF"/>
            <w:tcMar>
              <w:top w:w="30" w:type="dxa"/>
              <w:left w:w="60" w:type="dxa"/>
              <w:bottom w:w="30" w:type="dxa"/>
              <w:right w:w="60" w:type="dxa"/>
            </w:tcMar>
            <w:vAlign w:val="top"/>
          </w:tcPr>
          <w:p w14:paraId="16BE7D7A">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High</w:t>
            </w:r>
          </w:p>
        </w:tc>
        <w:tc>
          <w:tcPr>
            <w:tcW w:w="478" w:type="pct"/>
            <w:tcBorders>
              <w:top w:val="nil"/>
              <w:left w:val="nil"/>
              <w:bottom w:val="nil"/>
              <w:right w:val="nil"/>
            </w:tcBorders>
            <w:shd w:val="clear" w:color="auto" w:fill="FFFFFF"/>
            <w:tcMar>
              <w:top w:w="30" w:type="dxa"/>
              <w:left w:w="60" w:type="dxa"/>
              <w:bottom w:w="30" w:type="dxa"/>
              <w:right w:w="60" w:type="dxa"/>
            </w:tcMar>
            <w:vAlign w:val="top"/>
          </w:tcPr>
          <w:p w14:paraId="7E7BE2BF">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High</w:t>
            </w:r>
          </w:p>
        </w:tc>
      </w:tr>
      <w:tr w14:paraId="1AE0919E">
        <w:tc>
          <w:tcPr>
            <w:tcW w:w="539" w:type="pct"/>
            <w:tcBorders>
              <w:top w:val="nil"/>
              <w:left w:val="nil"/>
              <w:bottom w:val="nil"/>
              <w:right w:val="nil"/>
            </w:tcBorders>
            <w:shd w:val="clear" w:color="auto" w:fill="FFFFFF"/>
            <w:tcMar>
              <w:top w:w="30" w:type="dxa"/>
              <w:left w:w="60" w:type="dxa"/>
              <w:bottom w:w="30" w:type="dxa"/>
              <w:right w:w="60" w:type="dxa"/>
            </w:tcMar>
            <w:vAlign w:val="top"/>
          </w:tcPr>
          <w:p w14:paraId="45665E91">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Zhou Y</w:t>
            </w:r>
          </w:p>
        </w:tc>
        <w:tc>
          <w:tcPr>
            <w:tcW w:w="230" w:type="pct"/>
            <w:tcBorders>
              <w:top w:val="nil"/>
              <w:left w:val="nil"/>
              <w:bottom w:val="nil"/>
              <w:right w:val="nil"/>
            </w:tcBorders>
            <w:shd w:val="clear" w:color="auto" w:fill="FFFFFF"/>
            <w:tcMar>
              <w:top w:w="30" w:type="dxa"/>
              <w:left w:w="60" w:type="dxa"/>
              <w:bottom w:w="30" w:type="dxa"/>
              <w:right w:w="60" w:type="dxa"/>
            </w:tcMar>
            <w:vAlign w:val="top"/>
          </w:tcPr>
          <w:p w14:paraId="010D1A54">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2024</w:t>
            </w:r>
          </w:p>
        </w:tc>
        <w:tc>
          <w:tcPr>
            <w:tcW w:w="755" w:type="pct"/>
            <w:tcBorders>
              <w:top w:val="nil"/>
              <w:left w:val="nil"/>
              <w:bottom w:val="nil"/>
              <w:right w:val="nil"/>
            </w:tcBorders>
            <w:shd w:val="clear" w:color="auto" w:fill="FFFFFF"/>
            <w:tcMar>
              <w:top w:w="30" w:type="dxa"/>
              <w:left w:w="60" w:type="dxa"/>
              <w:bottom w:w="30" w:type="dxa"/>
              <w:right w:w="60" w:type="dxa"/>
            </w:tcMar>
            <w:vAlign w:val="top"/>
          </w:tcPr>
          <w:p w14:paraId="0C2F6141">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J NeuroEngineering Rehabil</w:t>
            </w:r>
          </w:p>
        </w:tc>
        <w:tc>
          <w:tcPr>
            <w:tcW w:w="359" w:type="pct"/>
            <w:tcBorders>
              <w:top w:val="nil"/>
              <w:left w:val="nil"/>
              <w:bottom w:val="nil"/>
              <w:right w:val="nil"/>
            </w:tcBorders>
            <w:shd w:val="clear" w:color="auto" w:fill="FFFFFF"/>
            <w:tcMar>
              <w:top w:w="30" w:type="dxa"/>
              <w:left w:w="60" w:type="dxa"/>
              <w:bottom w:w="30" w:type="dxa"/>
              <w:right w:w="60" w:type="dxa"/>
            </w:tcMar>
            <w:vAlign w:val="top"/>
          </w:tcPr>
          <w:p w14:paraId="4BAEEBBA">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Low</w:t>
            </w:r>
          </w:p>
        </w:tc>
        <w:tc>
          <w:tcPr>
            <w:tcW w:w="359" w:type="pct"/>
            <w:tcBorders>
              <w:top w:val="nil"/>
              <w:left w:val="nil"/>
              <w:bottom w:val="nil"/>
              <w:right w:val="nil"/>
            </w:tcBorders>
            <w:shd w:val="clear" w:color="auto" w:fill="FFFFFF"/>
            <w:tcMar>
              <w:top w:w="30" w:type="dxa"/>
              <w:left w:w="60" w:type="dxa"/>
              <w:bottom w:w="30" w:type="dxa"/>
              <w:right w:w="60" w:type="dxa"/>
            </w:tcMar>
            <w:vAlign w:val="top"/>
          </w:tcPr>
          <w:p w14:paraId="05AC73DD">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High</w:t>
            </w:r>
          </w:p>
        </w:tc>
        <w:tc>
          <w:tcPr>
            <w:tcW w:w="359" w:type="pct"/>
            <w:tcBorders>
              <w:top w:val="nil"/>
              <w:left w:val="nil"/>
              <w:bottom w:val="nil"/>
              <w:right w:val="nil"/>
            </w:tcBorders>
            <w:shd w:val="clear" w:color="auto" w:fill="FFFFFF"/>
            <w:tcMar>
              <w:top w:w="30" w:type="dxa"/>
              <w:left w:w="60" w:type="dxa"/>
              <w:bottom w:w="30" w:type="dxa"/>
              <w:right w:w="60" w:type="dxa"/>
            </w:tcMar>
            <w:vAlign w:val="top"/>
          </w:tcPr>
          <w:p w14:paraId="1480C5FE">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Low</w:t>
            </w:r>
          </w:p>
        </w:tc>
        <w:tc>
          <w:tcPr>
            <w:tcW w:w="360" w:type="pct"/>
            <w:tcBorders>
              <w:top w:val="nil"/>
              <w:left w:val="nil"/>
              <w:bottom w:val="nil"/>
              <w:right w:val="nil"/>
            </w:tcBorders>
            <w:shd w:val="clear" w:color="auto" w:fill="FFFFFF"/>
            <w:tcMar>
              <w:top w:w="30" w:type="dxa"/>
              <w:left w:w="60" w:type="dxa"/>
              <w:bottom w:w="30" w:type="dxa"/>
              <w:right w:w="60" w:type="dxa"/>
            </w:tcMar>
            <w:vAlign w:val="top"/>
          </w:tcPr>
          <w:p w14:paraId="3910670D">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High</w:t>
            </w:r>
          </w:p>
        </w:tc>
        <w:tc>
          <w:tcPr>
            <w:tcW w:w="359" w:type="pct"/>
            <w:tcBorders>
              <w:top w:val="nil"/>
              <w:left w:val="nil"/>
              <w:bottom w:val="nil"/>
              <w:right w:val="nil"/>
            </w:tcBorders>
            <w:shd w:val="clear" w:color="auto" w:fill="FFFFFF"/>
            <w:tcMar>
              <w:top w:w="30" w:type="dxa"/>
              <w:left w:w="60" w:type="dxa"/>
              <w:bottom w:w="30" w:type="dxa"/>
              <w:right w:w="60" w:type="dxa"/>
            </w:tcMar>
            <w:vAlign w:val="top"/>
          </w:tcPr>
          <w:p w14:paraId="1AAFD41C">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Low</w:t>
            </w:r>
          </w:p>
        </w:tc>
        <w:tc>
          <w:tcPr>
            <w:tcW w:w="359" w:type="pct"/>
            <w:tcBorders>
              <w:top w:val="nil"/>
              <w:left w:val="nil"/>
              <w:bottom w:val="nil"/>
              <w:right w:val="nil"/>
            </w:tcBorders>
            <w:shd w:val="clear" w:color="auto" w:fill="FFFFFF"/>
            <w:tcMar>
              <w:top w:w="30" w:type="dxa"/>
              <w:left w:w="60" w:type="dxa"/>
              <w:bottom w:w="30" w:type="dxa"/>
              <w:right w:w="60" w:type="dxa"/>
            </w:tcMar>
            <w:vAlign w:val="top"/>
          </w:tcPr>
          <w:p w14:paraId="4F88D1CB">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High</w:t>
            </w:r>
          </w:p>
        </w:tc>
        <w:tc>
          <w:tcPr>
            <w:tcW w:w="359" w:type="pct"/>
            <w:tcBorders>
              <w:top w:val="nil"/>
              <w:left w:val="nil"/>
              <w:bottom w:val="nil"/>
              <w:right w:val="nil"/>
            </w:tcBorders>
            <w:shd w:val="clear" w:color="auto" w:fill="FFFFFF"/>
            <w:tcMar>
              <w:top w:w="30" w:type="dxa"/>
              <w:left w:w="60" w:type="dxa"/>
              <w:bottom w:w="30" w:type="dxa"/>
              <w:right w:w="60" w:type="dxa"/>
            </w:tcMar>
            <w:vAlign w:val="top"/>
          </w:tcPr>
          <w:p w14:paraId="42A9774F">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Low</w:t>
            </w:r>
          </w:p>
        </w:tc>
        <w:tc>
          <w:tcPr>
            <w:tcW w:w="478" w:type="pct"/>
            <w:tcBorders>
              <w:top w:val="nil"/>
              <w:left w:val="nil"/>
              <w:bottom w:val="nil"/>
              <w:right w:val="nil"/>
            </w:tcBorders>
            <w:shd w:val="clear" w:color="auto" w:fill="FFFFFF"/>
            <w:tcMar>
              <w:top w:w="30" w:type="dxa"/>
              <w:left w:w="60" w:type="dxa"/>
              <w:bottom w:w="30" w:type="dxa"/>
              <w:right w:w="60" w:type="dxa"/>
            </w:tcMar>
            <w:vAlign w:val="top"/>
          </w:tcPr>
          <w:p w14:paraId="19B20747">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High</w:t>
            </w:r>
          </w:p>
        </w:tc>
        <w:tc>
          <w:tcPr>
            <w:tcW w:w="478" w:type="pct"/>
            <w:tcBorders>
              <w:top w:val="nil"/>
              <w:left w:val="nil"/>
              <w:bottom w:val="nil"/>
              <w:right w:val="nil"/>
            </w:tcBorders>
            <w:shd w:val="clear" w:color="auto" w:fill="FFFFFF"/>
            <w:tcMar>
              <w:top w:w="30" w:type="dxa"/>
              <w:left w:w="60" w:type="dxa"/>
              <w:bottom w:w="30" w:type="dxa"/>
              <w:right w:w="60" w:type="dxa"/>
            </w:tcMar>
            <w:vAlign w:val="top"/>
          </w:tcPr>
          <w:p w14:paraId="04233D50">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High</w:t>
            </w:r>
          </w:p>
        </w:tc>
      </w:tr>
      <w:tr w14:paraId="37EF3487">
        <w:tc>
          <w:tcPr>
            <w:tcW w:w="539" w:type="pct"/>
            <w:tcBorders>
              <w:top w:val="nil"/>
              <w:left w:val="nil"/>
              <w:bottom w:val="nil"/>
              <w:right w:val="nil"/>
            </w:tcBorders>
            <w:shd w:val="clear" w:color="auto" w:fill="FFFFFF"/>
            <w:tcMar>
              <w:top w:w="30" w:type="dxa"/>
              <w:left w:w="60" w:type="dxa"/>
              <w:bottom w:w="30" w:type="dxa"/>
              <w:right w:w="60" w:type="dxa"/>
            </w:tcMar>
            <w:vAlign w:val="top"/>
          </w:tcPr>
          <w:p w14:paraId="0FFC1878">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Chalitsios C</w:t>
            </w:r>
          </w:p>
        </w:tc>
        <w:tc>
          <w:tcPr>
            <w:tcW w:w="230" w:type="pct"/>
            <w:tcBorders>
              <w:top w:val="nil"/>
              <w:left w:val="nil"/>
              <w:bottom w:val="nil"/>
              <w:right w:val="nil"/>
            </w:tcBorders>
            <w:shd w:val="clear" w:color="auto" w:fill="FFFFFF"/>
            <w:tcMar>
              <w:top w:w="30" w:type="dxa"/>
              <w:left w:w="60" w:type="dxa"/>
              <w:bottom w:w="30" w:type="dxa"/>
              <w:right w:w="60" w:type="dxa"/>
            </w:tcMar>
            <w:vAlign w:val="top"/>
          </w:tcPr>
          <w:p w14:paraId="10B9EDCD">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2024</w:t>
            </w:r>
          </w:p>
        </w:tc>
        <w:tc>
          <w:tcPr>
            <w:tcW w:w="755" w:type="pct"/>
            <w:tcBorders>
              <w:top w:val="nil"/>
              <w:left w:val="nil"/>
              <w:bottom w:val="nil"/>
              <w:right w:val="nil"/>
            </w:tcBorders>
            <w:shd w:val="clear" w:color="auto" w:fill="FFFFFF"/>
            <w:tcMar>
              <w:top w:w="30" w:type="dxa"/>
              <w:left w:w="60" w:type="dxa"/>
              <w:bottom w:w="30" w:type="dxa"/>
              <w:right w:w="60" w:type="dxa"/>
            </w:tcMar>
            <w:vAlign w:val="top"/>
          </w:tcPr>
          <w:p w14:paraId="1604E24E">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Scand J Med Sci Sports</w:t>
            </w:r>
          </w:p>
        </w:tc>
        <w:tc>
          <w:tcPr>
            <w:tcW w:w="359" w:type="pct"/>
            <w:tcBorders>
              <w:top w:val="nil"/>
              <w:left w:val="nil"/>
              <w:bottom w:val="nil"/>
              <w:right w:val="nil"/>
            </w:tcBorders>
            <w:shd w:val="clear" w:color="auto" w:fill="FFFFFF"/>
            <w:tcMar>
              <w:top w:w="30" w:type="dxa"/>
              <w:left w:w="60" w:type="dxa"/>
              <w:bottom w:w="30" w:type="dxa"/>
              <w:right w:w="60" w:type="dxa"/>
            </w:tcMar>
            <w:vAlign w:val="top"/>
          </w:tcPr>
          <w:p w14:paraId="70CC1378">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Low</w:t>
            </w:r>
          </w:p>
        </w:tc>
        <w:tc>
          <w:tcPr>
            <w:tcW w:w="359" w:type="pct"/>
            <w:tcBorders>
              <w:top w:val="nil"/>
              <w:left w:val="nil"/>
              <w:bottom w:val="nil"/>
              <w:right w:val="nil"/>
            </w:tcBorders>
            <w:shd w:val="clear" w:color="auto" w:fill="FFFFFF"/>
            <w:tcMar>
              <w:top w:w="30" w:type="dxa"/>
              <w:left w:w="60" w:type="dxa"/>
              <w:bottom w:w="30" w:type="dxa"/>
              <w:right w:w="60" w:type="dxa"/>
            </w:tcMar>
            <w:vAlign w:val="top"/>
          </w:tcPr>
          <w:p w14:paraId="752F9AFF">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Low</w:t>
            </w:r>
          </w:p>
        </w:tc>
        <w:tc>
          <w:tcPr>
            <w:tcW w:w="359" w:type="pct"/>
            <w:tcBorders>
              <w:top w:val="nil"/>
              <w:left w:val="nil"/>
              <w:bottom w:val="nil"/>
              <w:right w:val="nil"/>
            </w:tcBorders>
            <w:shd w:val="clear" w:color="auto" w:fill="FFFFFF"/>
            <w:tcMar>
              <w:top w:w="30" w:type="dxa"/>
              <w:left w:w="60" w:type="dxa"/>
              <w:bottom w:w="30" w:type="dxa"/>
              <w:right w:w="60" w:type="dxa"/>
            </w:tcMar>
            <w:vAlign w:val="top"/>
          </w:tcPr>
          <w:p w14:paraId="7685D02F">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Low</w:t>
            </w:r>
          </w:p>
        </w:tc>
        <w:tc>
          <w:tcPr>
            <w:tcW w:w="360" w:type="pct"/>
            <w:tcBorders>
              <w:top w:val="nil"/>
              <w:left w:val="nil"/>
              <w:bottom w:val="nil"/>
              <w:right w:val="nil"/>
            </w:tcBorders>
            <w:shd w:val="clear" w:color="auto" w:fill="FFFFFF"/>
            <w:tcMar>
              <w:top w:w="30" w:type="dxa"/>
              <w:left w:w="60" w:type="dxa"/>
              <w:bottom w:w="30" w:type="dxa"/>
              <w:right w:w="60" w:type="dxa"/>
            </w:tcMar>
            <w:vAlign w:val="top"/>
          </w:tcPr>
          <w:p w14:paraId="4DBB31E0">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High</w:t>
            </w:r>
          </w:p>
        </w:tc>
        <w:tc>
          <w:tcPr>
            <w:tcW w:w="359" w:type="pct"/>
            <w:tcBorders>
              <w:top w:val="nil"/>
              <w:left w:val="nil"/>
              <w:bottom w:val="nil"/>
              <w:right w:val="nil"/>
            </w:tcBorders>
            <w:shd w:val="clear" w:color="auto" w:fill="FFFFFF"/>
            <w:tcMar>
              <w:top w:w="30" w:type="dxa"/>
              <w:left w:w="60" w:type="dxa"/>
              <w:bottom w:w="30" w:type="dxa"/>
              <w:right w:w="60" w:type="dxa"/>
            </w:tcMar>
            <w:vAlign w:val="top"/>
          </w:tcPr>
          <w:p w14:paraId="3F40AE10">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Low</w:t>
            </w:r>
          </w:p>
        </w:tc>
        <w:tc>
          <w:tcPr>
            <w:tcW w:w="359" w:type="pct"/>
            <w:tcBorders>
              <w:top w:val="nil"/>
              <w:left w:val="nil"/>
              <w:bottom w:val="nil"/>
              <w:right w:val="nil"/>
            </w:tcBorders>
            <w:shd w:val="clear" w:color="auto" w:fill="FFFFFF"/>
            <w:tcMar>
              <w:top w:w="30" w:type="dxa"/>
              <w:left w:w="60" w:type="dxa"/>
              <w:bottom w:w="30" w:type="dxa"/>
              <w:right w:w="60" w:type="dxa"/>
            </w:tcMar>
            <w:vAlign w:val="top"/>
          </w:tcPr>
          <w:p w14:paraId="0E20D639">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Low</w:t>
            </w:r>
          </w:p>
        </w:tc>
        <w:tc>
          <w:tcPr>
            <w:tcW w:w="359" w:type="pct"/>
            <w:tcBorders>
              <w:top w:val="nil"/>
              <w:left w:val="nil"/>
              <w:bottom w:val="nil"/>
              <w:right w:val="nil"/>
            </w:tcBorders>
            <w:shd w:val="clear" w:color="auto" w:fill="FFFFFF"/>
            <w:tcMar>
              <w:top w:w="30" w:type="dxa"/>
              <w:left w:w="60" w:type="dxa"/>
              <w:bottom w:w="30" w:type="dxa"/>
              <w:right w:w="60" w:type="dxa"/>
            </w:tcMar>
            <w:vAlign w:val="top"/>
          </w:tcPr>
          <w:p w14:paraId="2C46FAD0">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Low</w:t>
            </w:r>
          </w:p>
        </w:tc>
        <w:tc>
          <w:tcPr>
            <w:tcW w:w="478" w:type="pct"/>
            <w:tcBorders>
              <w:top w:val="nil"/>
              <w:left w:val="nil"/>
              <w:bottom w:val="nil"/>
              <w:right w:val="nil"/>
            </w:tcBorders>
            <w:shd w:val="clear" w:color="auto" w:fill="FFFFFF"/>
            <w:tcMar>
              <w:top w:w="30" w:type="dxa"/>
              <w:left w:w="60" w:type="dxa"/>
              <w:bottom w:w="30" w:type="dxa"/>
              <w:right w:w="60" w:type="dxa"/>
            </w:tcMar>
            <w:vAlign w:val="top"/>
          </w:tcPr>
          <w:p w14:paraId="40A06A22">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High</w:t>
            </w:r>
          </w:p>
        </w:tc>
        <w:tc>
          <w:tcPr>
            <w:tcW w:w="478" w:type="pct"/>
            <w:tcBorders>
              <w:top w:val="nil"/>
              <w:left w:val="nil"/>
              <w:bottom w:val="nil"/>
              <w:right w:val="nil"/>
            </w:tcBorders>
            <w:shd w:val="clear" w:color="auto" w:fill="FFFFFF"/>
            <w:tcMar>
              <w:top w:w="30" w:type="dxa"/>
              <w:left w:w="60" w:type="dxa"/>
              <w:bottom w:w="30" w:type="dxa"/>
              <w:right w:w="60" w:type="dxa"/>
            </w:tcMar>
            <w:vAlign w:val="top"/>
          </w:tcPr>
          <w:p w14:paraId="39E8C532">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Low</w:t>
            </w:r>
          </w:p>
        </w:tc>
      </w:tr>
      <w:tr w14:paraId="0FA27362">
        <w:tc>
          <w:tcPr>
            <w:tcW w:w="539" w:type="pct"/>
            <w:tcBorders>
              <w:top w:val="nil"/>
              <w:left w:val="nil"/>
              <w:bottom w:val="nil"/>
              <w:right w:val="nil"/>
            </w:tcBorders>
            <w:shd w:val="clear" w:color="auto" w:fill="FFFFFF"/>
            <w:tcMar>
              <w:top w:w="30" w:type="dxa"/>
              <w:left w:w="60" w:type="dxa"/>
              <w:bottom w:w="30" w:type="dxa"/>
              <w:right w:w="60" w:type="dxa"/>
            </w:tcMar>
            <w:vAlign w:val="top"/>
          </w:tcPr>
          <w:p w14:paraId="5A0AA1BF">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Li C</w:t>
            </w:r>
          </w:p>
        </w:tc>
        <w:tc>
          <w:tcPr>
            <w:tcW w:w="230" w:type="pct"/>
            <w:tcBorders>
              <w:top w:val="nil"/>
              <w:left w:val="nil"/>
              <w:bottom w:val="nil"/>
              <w:right w:val="nil"/>
            </w:tcBorders>
            <w:shd w:val="clear" w:color="auto" w:fill="FFFFFF"/>
            <w:tcMar>
              <w:top w:w="30" w:type="dxa"/>
              <w:left w:w="60" w:type="dxa"/>
              <w:bottom w:w="30" w:type="dxa"/>
              <w:right w:w="60" w:type="dxa"/>
            </w:tcMar>
            <w:vAlign w:val="top"/>
          </w:tcPr>
          <w:p w14:paraId="2100756F">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2020</w:t>
            </w:r>
          </w:p>
        </w:tc>
        <w:tc>
          <w:tcPr>
            <w:tcW w:w="755" w:type="pct"/>
            <w:tcBorders>
              <w:top w:val="nil"/>
              <w:left w:val="nil"/>
              <w:bottom w:val="nil"/>
              <w:right w:val="nil"/>
            </w:tcBorders>
            <w:shd w:val="clear" w:color="auto" w:fill="FFFFFF"/>
            <w:tcMar>
              <w:top w:w="30" w:type="dxa"/>
              <w:left w:w="60" w:type="dxa"/>
              <w:bottom w:w="30" w:type="dxa"/>
              <w:right w:w="60" w:type="dxa"/>
            </w:tcMar>
            <w:vAlign w:val="top"/>
          </w:tcPr>
          <w:p w14:paraId="0D56C767">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IEEE Trans Neural Syst Rehabil Eng</w:t>
            </w:r>
          </w:p>
        </w:tc>
        <w:tc>
          <w:tcPr>
            <w:tcW w:w="359" w:type="pct"/>
            <w:tcBorders>
              <w:top w:val="nil"/>
              <w:left w:val="nil"/>
              <w:bottom w:val="nil"/>
              <w:right w:val="nil"/>
            </w:tcBorders>
            <w:shd w:val="clear" w:color="auto" w:fill="FFFFFF"/>
            <w:tcMar>
              <w:top w:w="30" w:type="dxa"/>
              <w:left w:w="60" w:type="dxa"/>
              <w:bottom w:w="30" w:type="dxa"/>
              <w:right w:w="60" w:type="dxa"/>
            </w:tcMar>
            <w:vAlign w:val="top"/>
          </w:tcPr>
          <w:p w14:paraId="183144E9">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High</w:t>
            </w:r>
          </w:p>
        </w:tc>
        <w:tc>
          <w:tcPr>
            <w:tcW w:w="359" w:type="pct"/>
            <w:tcBorders>
              <w:top w:val="nil"/>
              <w:left w:val="nil"/>
              <w:bottom w:val="nil"/>
              <w:right w:val="nil"/>
            </w:tcBorders>
            <w:shd w:val="clear" w:color="auto" w:fill="FFFFFF"/>
            <w:tcMar>
              <w:top w:w="30" w:type="dxa"/>
              <w:left w:w="60" w:type="dxa"/>
              <w:bottom w:w="30" w:type="dxa"/>
              <w:right w:w="60" w:type="dxa"/>
            </w:tcMar>
            <w:vAlign w:val="top"/>
          </w:tcPr>
          <w:p w14:paraId="061D4913">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High</w:t>
            </w:r>
          </w:p>
        </w:tc>
        <w:tc>
          <w:tcPr>
            <w:tcW w:w="359" w:type="pct"/>
            <w:tcBorders>
              <w:top w:val="nil"/>
              <w:left w:val="nil"/>
              <w:bottom w:val="nil"/>
              <w:right w:val="nil"/>
            </w:tcBorders>
            <w:shd w:val="clear" w:color="auto" w:fill="FFFFFF"/>
            <w:tcMar>
              <w:top w:w="30" w:type="dxa"/>
              <w:left w:w="60" w:type="dxa"/>
              <w:bottom w:w="30" w:type="dxa"/>
              <w:right w:w="60" w:type="dxa"/>
            </w:tcMar>
            <w:vAlign w:val="top"/>
          </w:tcPr>
          <w:p w14:paraId="1D8729F5">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Low</w:t>
            </w:r>
          </w:p>
        </w:tc>
        <w:tc>
          <w:tcPr>
            <w:tcW w:w="360" w:type="pct"/>
            <w:tcBorders>
              <w:top w:val="nil"/>
              <w:left w:val="nil"/>
              <w:bottom w:val="nil"/>
              <w:right w:val="nil"/>
            </w:tcBorders>
            <w:shd w:val="clear" w:color="auto" w:fill="FFFFFF"/>
            <w:tcMar>
              <w:top w:w="30" w:type="dxa"/>
              <w:left w:w="60" w:type="dxa"/>
              <w:bottom w:w="30" w:type="dxa"/>
              <w:right w:w="60" w:type="dxa"/>
            </w:tcMar>
            <w:vAlign w:val="top"/>
          </w:tcPr>
          <w:p w14:paraId="160413C9">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High</w:t>
            </w:r>
          </w:p>
        </w:tc>
        <w:tc>
          <w:tcPr>
            <w:tcW w:w="359" w:type="pct"/>
            <w:tcBorders>
              <w:top w:val="nil"/>
              <w:left w:val="nil"/>
              <w:bottom w:val="nil"/>
              <w:right w:val="nil"/>
            </w:tcBorders>
            <w:shd w:val="clear" w:color="auto" w:fill="FFFFFF"/>
            <w:tcMar>
              <w:top w:w="30" w:type="dxa"/>
              <w:left w:w="60" w:type="dxa"/>
              <w:bottom w:w="30" w:type="dxa"/>
              <w:right w:w="60" w:type="dxa"/>
            </w:tcMar>
            <w:vAlign w:val="top"/>
          </w:tcPr>
          <w:p w14:paraId="757C5626">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High</w:t>
            </w:r>
          </w:p>
        </w:tc>
        <w:tc>
          <w:tcPr>
            <w:tcW w:w="359" w:type="pct"/>
            <w:tcBorders>
              <w:top w:val="nil"/>
              <w:left w:val="nil"/>
              <w:bottom w:val="nil"/>
              <w:right w:val="nil"/>
            </w:tcBorders>
            <w:shd w:val="clear" w:color="auto" w:fill="FFFFFF"/>
            <w:tcMar>
              <w:top w:w="30" w:type="dxa"/>
              <w:left w:w="60" w:type="dxa"/>
              <w:bottom w:w="30" w:type="dxa"/>
              <w:right w:w="60" w:type="dxa"/>
            </w:tcMar>
            <w:vAlign w:val="top"/>
          </w:tcPr>
          <w:p w14:paraId="6F2D9E8F">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High</w:t>
            </w:r>
          </w:p>
        </w:tc>
        <w:tc>
          <w:tcPr>
            <w:tcW w:w="359" w:type="pct"/>
            <w:tcBorders>
              <w:top w:val="nil"/>
              <w:left w:val="nil"/>
              <w:bottom w:val="nil"/>
              <w:right w:val="nil"/>
            </w:tcBorders>
            <w:shd w:val="clear" w:color="auto" w:fill="FFFFFF"/>
            <w:tcMar>
              <w:top w:w="30" w:type="dxa"/>
              <w:left w:w="60" w:type="dxa"/>
              <w:bottom w:w="30" w:type="dxa"/>
              <w:right w:w="60" w:type="dxa"/>
            </w:tcMar>
            <w:vAlign w:val="top"/>
          </w:tcPr>
          <w:p w14:paraId="29867F78">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Low</w:t>
            </w:r>
          </w:p>
        </w:tc>
        <w:tc>
          <w:tcPr>
            <w:tcW w:w="478" w:type="pct"/>
            <w:tcBorders>
              <w:top w:val="nil"/>
              <w:left w:val="nil"/>
              <w:bottom w:val="nil"/>
              <w:right w:val="nil"/>
            </w:tcBorders>
            <w:shd w:val="clear" w:color="auto" w:fill="FFFFFF"/>
            <w:tcMar>
              <w:top w:w="30" w:type="dxa"/>
              <w:left w:w="60" w:type="dxa"/>
              <w:bottom w:w="30" w:type="dxa"/>
              <w:right w:w="60" w:type="dxa"/>
            </w:tcMar>
            <w:vAlign w:val="top"/>
          </w:tcPr>
          <w:p w14:paraId="3AE19640">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High</w:t>
            </w:r>
          </w:p>
        </w:tc>
        <w:tc>
          <w:tcPr>
            <w:tcW w:w="478" w:type="pct"/>
            <w:tcBorders>
              <w:top w:val="nil"/>
              <w:left w:val="nil"/>
              <w:bottom w:val="nil"/>
              <w:right w:val="nil"/>
            </w:tcBorders>
            <w:shd w:val="clear" w:color="auto" w:fill="FFFFFF"/>
            <w:tcMar>
              <w:top w:w="30" w:type="dxa"/>
              <w:left w:w="60" w:type="dxa"/>
              <w:bottom w:w="30" w:type="dxa"/>
              <w:right w:w="60" w:type="dxa"/>
            </w:tcMar>
            <w:vAlign w:val="top"/>
          </w:tcPr>
          <w:p w14:paraId="5A0A91FB">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High</w:t>
            </w:r>
          </w:p>
        </w:tc>
      </w:tr>
      <w:tr w14:paraId="32524A4E">
        <w:tc>
          <w:tcPr>
            <w:tcW w:w="539" w:type="pct"/>
            <w:tcBorders>
              <w:top w:val="nil"/>
              <w:left w:val="nil"/>
              <w:bottom w:val="nil"/>
              <w:right w:val="nil"/>
            </w:tcBorders>
            <w:shd w:val="clear" w:color="auto" w:fill="FFFFFF"/>
            <w:tcMar>
              <w:top w:w="30" w:type="dxa"/>
              <w:left w:w="60" w:type="dxa"/>
              <w:bottom w:w="30" w:type="dxa"/>
              <w:right w:w="60" w:type="dxa"/>
            </w:tcMar>
            <w:vAlign w:val="top"/>
          </w:tcPr>
          <w:p w14:paraId="01B721D9">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He X</w:t>
            </w:r>
          </w:p>
        </w:tc>
        <w:tc>
          <w:tcPr>
            <w:tcW w:w="230" w:type="pct"/>
            <w:tcBorders>
              <w:top w:val="nil"/>
              <w:left w:val="nil"/>
              <w:bottom w:val="nil"/>
              <w:right w:val="nil"/>
            </w:tcBorders>
            <w:shd w:val="clear" w:color="auto" w:fill="FFFFFF"/>
            <w:tcMar>
              <w:top w:w="30" w:type="dxa"/>
              <w:left w:w="60" w:type="dxa"/>
              <w:bottom w:w="30" w:type="dxa"/>
              <w:right w:w="60" w:type="dxa"/>
            </w:tcMar>
            <w:vAlign w:val="top"/>
          </w:tcPr>
          <w:p w14:paraId="3848DE46">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2026</w:t>
            </w:r>
          </w:p>
        </w:tc>
        <w:tc>
          <w:tcPr>
            <w:tcW w:w="755" w:type="pct"/>
            <w:tcBorders>
              <w:top w:val="nil"/>
              <w:left w:val="nil"/>
              <w:bottom w:val="nil"/>
              <w:right w:val="nil"/>
            </w:tcBorders>
            <w:shd w:val="clear" w:color="auto" w:fill="FFFFFF"/>
            <w:tcMar>
              <w:top w:w="30" w:type="dxa"/>
              <w:left w:w="60" w:type="dxa"/>
              <w:bottom w:w="30" w:type="dxa"/>
              <w:right w:w="60" w:type="dxa"/>
            </w:tcMar>
            <w:vAlign w:val="top"/>
          </w:tcPr>
          <w:p w14:paraId="38AB1765">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Med Biol Eng Comput</w:t>
            </w:r>
          </w:p>
        </w:tc>
        <w:tc>
          <w:tcPr>
            <w:tcW w:w="359" w:type="pct"/>
            <w:tcBorders>
              <w:top w:val="nil"/>
              <w:left w:val="nil"/>
              <w:bottom w:val="nil"/>
              <w:right w:val="nil"/>
            </w:tcBorders>
            <w:shd w:val="clear" w:color="auto" w:fill="FFFFFF"/>
            <w:tcMar>
              <w:top w:w="30" w:type="dxa"/>
              <w:left w:w="60" w:type="dxa"/>
              <w:bottom w:w="30" w:type="dxa"/>
              <w:right w:w="60" w:type="dxa"/>
            </w:tcMar>
            <w:vAlign w:val="top"/>
          </w:tcPr>
          <w:p w14:paraId="62FDFEFF">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High</w:t>
            </w:r>
          </w:p>
        </w:tc>
        <w:tc>
          <w:tcPr>
            <w:tcW w:w="359" w:type="pct"/>
            <w:tcBorders>
              <w:top w:val="nil"/>
              <w:left w:val="nil"/>
              <w:bottom w:val="nil"/>
              <w:right w:val="nil"/>
            </w:tcBorders>
            <w:shd w:val="clear" w:color="auto" w:fill="FFFFFF"/>
            <w:tcMar>
              <w:top w:w="30" w:type="dxa"/>
              <w:left w:w="60" w:type="dxa"/>
              <w:bottom w:w="30" w:type="dxa"/>
              <w:right w:w="60" w:type="dxa"/>
            </w:tcMar>
            <w:vAlign w:val="top"/>
          </w:tcPr>
          <w:p w14:paraId="7FEA8D83">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High</w:t>
            </w:r>
          </w:p>
        </w:tc>
        <w:tc>
          <w:tcPr>
            <w:tcW w:w="359" w:type="pct"/>
            <w:tcBorders>
              <w:top w:val="nil"/>
              <w:left w:val="nil"/>
              <w:bottom w:val="nil"/>
              <w:right w:val="nil"/>
            </w:tcBorders>
            <w:shd w:val="clear" w:color="auto" w:fill="FFFFFF"/>
            <w:tcMar>
              <w:top w:w="30" w:type="dxa"/>
              <w:left w:w="60" w:type="dxa"/>
              <w:bottom w:w="30" w:type="dxa"/>
              <w:right w:w="60" w:type="dxa"/>
            </w:tcMar>
            <w:vAlign w:val="top"/>
          </w:tcPr>
          <w:p w14:paraId="12AF62E8">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High</w:t>
            </w:r>
          </w:p>
        </w:tc>
        <w:tc>
          <w:tcPr>
            <w:tcW w:w="360" w:type="pct"/>
            <w:tcBorders>
              <w:top w:val="nil"/>
              <w:left w:val="nil"/>
              <w:bottom w:val="nil"/>
              <w:right w:val="nil"/>
            </w:tcBorders>
            <w:shd w:val="clear" w:color="auto" w:fill="FFFFFF"/>
            <w:tcMar>
              <w:top w:w="30" w:type="dxa"/>
              <w:left w:w="60" w:type="dxa"/>
              <w:bottom w:w="30" w:type="dxa"/>
              <w:right w:w="60" w:type="dxa"/>
            </w:tcMar>
            <w:vAlign w:val="top"/>
          </w:tcPr>
          <w:p w14:paraId="5E9669E8">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High</w:t>
            </w:r>
          </w:p>
        </w:tc>
        <w:tc>
          <w:tcPr>
            <w:tcW w:w="359" w:type="pct"/>
            <w:tcBorders>
              <w:top w:val="nil"/>
              <w:left w:val="nil"/>
              <w:bottom w:val="nil"/>
              <w:right w:val="nil"/>
            </w:tcBorders>
            <w:shd w:val="clear" w:color="auto" w:fill="FFFFFF"/>
            <w:tcMar>
              <w:top w:w="30" w:type="dxa"/>
              <w:left w:w="60" w:type="dxa"/>
              <w:bottom w:w="30" w:type="dxa"/>
              <w:right w:w="60" w:type="dxa"/>
            </w:tcMar>
            <w:vAlign w:val="top"/>
          </w:tcPr>
          <w:p w14:paraId="03BDDB34">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High</w:t>
            </w:r>
          </w:p>
        </w:tc>
        <w:tc>
          <w:tcPr>
            <w:tcW w:w="359" w:type="pct"/>
            <w:tcBorders>
              <w:top w:val="nil"/>
              <w:left w:val="nil"/>
              <w:bottom w:val="nil"/>
              <w:right w:val="nil"/>
            </w:tcBorders>
            <w:shd w:val="clear" w:color="auto" w:fill="FFFFFF"/>
            <w:tcMar>
              <w:top w:w="30" w:type="dxa"/>
              <w:left w:w="60" w:type="dxa"/>
              <w:bottom w:w="30" w:type="dxa"/>
              <w:right w:w="60" w:type="dxa"/>
            </w:tcMar>
            <w:vAlign w:val="top"/>
          </w:tcPr>
          <w:p w14:paraId="6F43479D">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High</w:t>
            </w:r>
          </w:p>
        </w:tc>
        <w:tc>
          <w:tcPr>
            <w:tcW w:w="359" w:type="pct"/>
            <w:tcBorders>
              <w:top w:val="nil"/>
              <w:left w:val="nil"/>
              <w:bottom w:val="nil"/>
              <w:right w:val="nil"/>
            </w:tcBorders>
            <w:shd w:val="clear" w:color="auto" w:fill="FFFFFF"/>
            <w:tcMar>
              <w:top w:w="30" w:type="dxa"/>
              <w:left w:w="60" w:type="dxa"/>
              <w:bottom w:w="30" w:type="dxa"/>
              <w:right w:w="60" w:type="dxa"/>
            </w:tcMar>
            <w:vAlign w:val="top"/>
          </w:tcPr>
          <w:p w14:paraId="3D2C3C49">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High</w:t>
            </w:r>
          </w:p>
        </w:tc>
        <w:tc>
          <w:tcPr>
            <w:tcW w:w="478" w:type="pct"/>
            <w:tcBorders>
              <w:top w:val="nil"/>
              <w:left w:val="nil"/>
              <w:bottom w:val="nil"/>
              <w:right w:val="nil"/>
            </w:tcBorders>
            <w:shd w:val="clear" w:color="auto" w:fill="FFFFFF"/>
            <w:tcMar>
              <w:top w:w="30" w:type="dxa"/>
              <w:left w:w="60" w:type="dxa"/>
              <w:bottom w:w="30" w:type="dxa"/>
              <w:right w:w="60" w:type="dxa"/>
            </w:tcMar>
            <w:vAlign w:val="top"/>
          </w:tcPr>
          <w:p w14:paraId="2C8E4FF8">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High</w:t>
            </w:r>
          </w:p>
        </w:tc>
        <w:tc>
          <w:tcPr>
            <w:tcW w:w="478" w:type="pct"/>
            <w:tcBorders>
              <w:top w:val="nil"/>
              <w:left w:val="nil"/>
              <w:bottom w:val="nil"/>
              <w:right w:val="nil"/>
            </w:tcBorders>
            <w:shd w:val="clear" w:color="auto" w:fill="FFFFFF"/>
            <w:tcMar>
              <w:top w:w="30" w:type="dxa"/>
              <w:left w:w="60" w:type="dxa"/>
              <w:bottom w:w="30" w:type="dxa"/>
              <w:right w:w="60" w:type="dxa"/>
            </w:tcMar>
            <w:vAlign w:val="top"/>
          </w:tcPr>
          <w:p w14:paraId="03C9FF87">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High</w:t>
            </w:r>
          </w:p>
        </w:tc>
      </w:tr>
      <w:tr w14:paraId="7A3D9C67">
        <w:tc>
          <w:tcPr>
            <w:tcW w:w="539" w:type="pct"/>
            <w:tcBorders>
              <w:top w:val="nil"/>
              <w:left w:val="nil"/>
              <w:bottom w:val="nil"/>
              <w:right w:val="nil"/>
            </w:tcBorders>
            <w:shd w:val="clear" w:color="auto" w:fill="FFFFFF"/>
            <w:tcMar>
              <w:top w:w="30" w:type="dxa"/>
              <w:left w:w="60" w:type="dxa"/>
              <w:bottom w:w="30" w:type="dxa"/>
              <w:right w:w="60" w:type="dxa"/>
            </w:tcMar>
            <w:vAlign w:val="top"/>
          </w:tcPr>
          <w:p w14:paraId="24AF516A">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Hamid H</w:t>
            </w:r>
          </w:p>
        </w:tc>
        <w:tc>
          <w:tcPr>
            <w:tcW w:w="230" w:type="pct"/>
            <w:tcBorders>
              <w:top w:val="nil"/>
              <w:left w:val="nil"/>
              <w:bottom w:val="nil"/>
              <w:right w:val="nil"/>
            </w:tcBorders>
            <w:shd w:val="clear" w:color="auto" w:fill="FFFFFF"/>
            <w:tcMar>
              <w:top w:w="30" w:type="dxa"/>
              <w:left w:w="60" w:type="dxa"/>
              <w:bottom w:w="30" w:type="dxa"/>
              <w:right w:w="60" w:type="dxa"/>
            </w:tcMar>
            <w:vAlign w:val="top"/>
          </w:tcPr>
          <w:p w14:paraId="6EC6CE36">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2022</w:t>
            </w:r>
          </w:p>
        </w:tc>
        <w:tc>
          <w:tcPr>
            <w:tcW w:w="755" w:type="pct"/>
            <w:tcBorders>
              <w:top w:val="nil"/>
              <w:left w:val="nil"/>
              <w:bottom w:val="nil"/>
              <w:right w:val="nil"/>
            </w:tcBorders>
            <w:shd w:val="clear" w:color="auto" w:fill="FFFFFF"/>
            <w:tcMar>
              <w:top w:w="30" w:type="dxa"/>
              <w:left w:w="60" w:type="dxa"/>
              <w:bottom w:w="30" w:type="dxa"/>
              <w:right w:w="60" w:type="dxa"/>
            </w:tcMar>
            <w:vAlign w:val="top"/>
          </w:tcPr>
          <w:p w14:paraId="0021B343">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Sensors (MDPI)</w:t>
            </w:r>
          </w:p>
        </w:tc>
        <w:tc>
          <w:tcPr>
            <w:tcW w:w="359" w:type="pct"/>
            <w:tcBorders>
              <w:top w:val="nil"/>
              <w:left w:val="nil"/>
              <w:bottom w:val="nil"/>
              <w:right w:val="nil"/>
            </w:tcBorders>
            <w:shd w:val="clear" w:color="auto" w:fill="FFFFFF"/>
            <w:tcMar>
              <w:top w:w="30" w:type="dxa"/>
              <w:left w:w="60" w:type="dxa"/>
              <w:bottom w:w="30" w:type="dxa"/>
              <w:right w:w="60" w:type="dxa"/>
            </w:tcMar>
            <w:vAlign w:val="top"/>
          </w:tcPr>
          <w:p w14:paraId="43BECD0F">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High</w:t>
            </w:r>
          </w:p>
        </w:tc>
        <w:tc>
          <w:tcPr>
            <w:tcW w:w="359" w:type="pct"/>
            <w:tcBorders>
              <w:top w:val="nil"/>
              <w:left w:val="nil"/>
              <w:bottom w:val="nil"/>
              <w:right w:val="nil"/>
            </w:tcBorders>
            <w:shd w:val="clear" w:color="auto" w:fill="FFFFFF"/>
            <w:tcMar>
              <w:top w:w="30" w:type="dxa"/>
              <w:left w:w="60" w:type="dxa"/>
              <w:bottom w:w="30" w:type="dxa"/>
              <w:right w:w="60" w:type="dxa"/>
            </w:tcMar>
            <w:vAlign w:val="top"/>
          </w:tcPr>
          <w:p w14:paraId="62105CD3">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Low</w:t>
            </w:r>
          </w:p>
        </w:tc>
        <w:tc>
          <w:tcPr>
            <w:tcW w:w="359" w:type="pct"/>
            <w:tcBorders>
              <w:top w:val="nil"/>
              <w:left w:val="nil"/>
              <w:bottom w:val="nil"/>
              <w:right w:val="nil"/>
            </w:tcBorders>
            <w:shd w:val="clear" w:color="auto" w:fill="FFFFFF"/>
            <w:tcMar>
              <w:top w:w="30" w:type="dxa"/>
              <w:left w:w="60" w:type="dxa"/>
              <w:bottom w:w="30" w:type="dxa"/>
              <w:right w:w="60" w:type="dxa"/>
            </w:tcMar>
            <w:vAlign w:val="top"/>
          </w:tcPr>
          <w:p w14:paraId="085F52D2">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Low</w:t>
            </w:r>
          </w:p>
        </w:tc>
        <w:tc>
          <w:tcPr>
            <w:tcW w:w="360" w:type="pct"/>
            <w:tcBorders>
              <w:top w:val="nil"/>
              <w:left w:val="nil"/>
              <w:bottom w:val="nil"/>
              <w:right w:val="nil"/>
            </w:tcBorders>
            <w:shd w:val="clear" w:color="auto" w:fill="FFFFFF"/>
            <w:tcMar>
              <w:top w:w="30" w:type="dxa"/>
              <w:left w:w="60" w:type="dxa"/>
              <w:bottom w:w="30" w:type="dxa"/>
              <w:right w:w="60" w:type="dxa"/>
            </w:tcMar>
            <w:vAlign w:val="top"/>
          </w:tcPr>
          <w:p w14:paraId="50DCF8E3">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High</w:t>
            </w:r>
          </w:p>
        </w:tc>
        <w:tc>
          <w:tcPr>
            <w:tcW w:w="359" w:type="pct"/>
            <w:tcBorders>
              <w:top w:val="nil"/>
              <w:left w:val="nil"/>
              <w:bottom w:val="nil"/>
              <w:right w:val="nil"/>
            </w:tcBorders>
            <w:shd w:val="clear" w:color="auto" w:fill="FFFFFF"/>
            <w:tcMar>
              <w:top w:w="30" w:type="dxa"/>
              <w:left w:w="60" w:type="dxa"/>
              <w:bottom w:w="30" w:type="dxa"/>
              <w:right w:w="60" w:type="dxa"/>
            </w:tcMar>
            <w:vAlign w:val="top"/>
          </w:tcPr>
          <w:p w14:paraId="26008796">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High</w:t>
            </w:r>
          </w:p>
        </w:tc>
        <w:tc>
          <w:tcPr>
            <w:tcW w:w="359" w:type="pct"/>
            <w:tcBorders>
              <w:top w:val="nil"/>
              <w:left w:val="nil"/>
              <w:bottom w:val="nil"/>
              <w:right w:val="nil"/>
            </w:tcBorders>
            <w:shd w:val="clear" w:color="auto" w:fill="FFFFFF"/>
            <w:tcMar>
              <w:top w:w="30" w:type="dxa"/>
              <w:left w:w="60" w:type="dxa"/>
              <w:bottom w:w="30" w:type="dxa"/>
              <w:right w:w="60" w:type="dxa"/>
            </w:tcMar>
            <w:vAlign w:val="top"/>
          </w:tcPr>
          <w:p w14:paraId="3A9A0DF1">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High</w:t>
            </w:r>
          </w:p>
        </w:tc>
        <w:tc>
          <w:tcPr>
            <w:tcW w:w="359" w:type="pct"/>
            <w:tcBorders>
              <w:top w:val="nil"/>
              <w:left w:val="nil"/>
              <w:bottom w:val="nil"/>
              <w:right w:val="nil"/>
            </w:tcBorders>
            <w:shd w:val="clear" w:color="auto" w:fill="FFFFFF"/>
            <w:tcMar>
              <w:top w:w="30" w:type="dxa"/>
              <w:left w:w="60" w:type="dxa"/>
              <w:bottom w:w="30" w:type="dxa"/>
              <w:right w:w="60" w:type="dxa"/>
            </w:tcMar>
            <w:vAlign w:val="top"/>
          </w:tcPr>
          <w:p w14:paraId="1D5C76E0">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Low</w:t>
            </w:r>
          </w:p>
        </w:tc>
        <w:tc>
          <w:tcPr>
            <w:tcW w:w="478" w:type="pct"/>
            <w:tcBorders>
              <w:top w:val="nil"/>
              <w:left w:val="nil"/>
              <w:bottom w:val="nil"/>
              <w:right w:val="nil"/>
            </w:tcBorders>
            <w:shd w:val="clear" w:color="auto" w:fill="FFFFFF"/>
            <w:tcMar>
              <w:top w:w="30" w:type="dxa"/>
              <w:left w:w="60" w:type="dxa"/>
              <w:bottom w:w="30" w:type="dxa"/>
              <w:right w:w="60" w:type="dxa"/>
            </w:tcMar>
            <w:vAlign w:val="top"/>
          </w:tcPr>
          <w:p w14:paraId="641194A4">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High</w:t>
            </w:r>
          </w:p>
        </w:tc>
        <w:tc>
          <w:tcPr>
            <w:tcW w:w="478" w:type="pct"/>
            <w:tcBorders>
              <w:top w:val="nil"/>
              <w:left w:val="nil"/>
              <w:bottom w:val="nil"/>
              <w:right w:val="nil"/>
            </w:tcBorders>
            <w:shd w:val="clear" w:color="auto" w:fill="FFFFFF"/>
            <w:tcMar>
              <w:top w:w="30" w:type="dxa"/>
              <w:left w:w="60" w:type="dxa"/>
              <w:bottom w:w="30" w:type="dxa"/>
              <w:right w:w="60" w:type="dxa"/>
            </w:tcMar>
            <w:vAlign w:val="top"/>
          </w:tcPr>
          <w:p w14:paraId="3B42A75F">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High</w:t>
            </w:r>
          </w:p>
        </w:tc>
      </w:tr>
      <w:tr w14:paraId="798C93EF">
        <w:tc>
          <w:tcPr>
            <w:tcW w:w="539" w:type="pct"/>
            <w:tcBorders>
              <w:top w:val="nil"/>
              <w:left w:val="nil"/>
              <w:bottom w:val="nil"/>
              <w:right w:val="nil"/>
            </w:tcBorders>
            <w:shd w:val="clear" w:color="auto" w:fill="FFFFFF"/>
            <w:tcMar>
              <w:top w:w="30" w:type="dxa"/>
              <w:left w:w="60" w:type="dxa"/>
              <w:bottom w:w="30" w:type="dxa"/>
              <w:right w:w="60" w:type="dxa"/>
            </w:tcMar>
            <w:vAlign w:val="top"/>
          </w:tcPr>
          <w:p w14:paraId="05E2A935">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AL-Quraishi MS</w:t>
            </w:r>
          </w:p>
        </w:tc>
        <w:tc>
          <w:tcPr>
            <w:tcW w:w="230" w:type="pct"/>
            <w:tcBorders>
              <w:top w:val="nil"/>
              <w:left w:val="nil"/>
              <w:bottom w:val="nil"/>
              <w:right w:val="nil"/>
            </w:tcBorders>
            <w:shd w:val="clear" w:color="auto" w:fill="FFFFFF"/>
            <w:tcMar>
              <w:top w:w="30" w:type="dxa"/>
              <w:left w:w="60" w:type="dxa"/>
              <w:bottom w:w="30" w:type="dxa"/>
              <w:right w:w="60" w:type="dxa"/>
            </w:tcMar>
            <w:vAlign w:val="top"/>
          </w:tcPr>
          <w:p w14:paraId="16B8BE7F">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2021</w:t>
            </w:r>
          </w:p>
        </w:tc>
        <w:tc>
          <w:tcPr>
            <w:tcW w:w="755" w:type="pct"/>
            <w:tcBorders>
              <w:top w:val="nil"/>
              <w:left w:val="nil"/>
              <w:bottom w:val="nil"/>
              <w:right w:val="nil"/>
            </w:tcBorders>
            <w:shd w:val="clear" w:color="auto" w:fill="FFFFFF"/>
            <w:tcMar>
              <w:top w:w="30" w:type="dxa"/>
              <w:left w:w="60" w:type="dxa"/>
              <w:bottom w:w="30" w:type="dxa"/>
              <w:right w:w="60" w:type="dxa"/>
            </w:tcMar>
            <w:vAlign w:val="top"/>
          </w:tcPr>
          <w:p w14:paraId="3E95F104">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Brain Sciences (MDPI)</w:t>
            </w:r>
          </w:p>
        </w:tc>
        <w:tc>
          <w:tcPr>
            <w:tcW w:w="359" w:type="pct"/>
            <w:tcBorders>
              <w:top w:val="nil"/>
              <w:left w:val="nil"/>
              <w:bottom w:val="nil"/>
              <w:right w:val="nil"/>
            </w:tcBorders>
            <w:shd w:val="clear" w:color="auto" w:fill="FFFFFF"/>
            <w:tcMar>
              <w:top w:w="30" w:type="dxa"/>
              <w:left w:w="60" w:type="dxa"/>
              <w:bottom w:w="30" w:type="dxa"/>
              <w:right w:w="60" w:type="dxa"/>
            </w:tcMar>
            <w:vAlign w:val="top"/>
          </w:tcPr>
          <w:p w14:paraId="0EE2FEC7">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High</w:t>
            </w:r>
          </w:p>
        </w:tc>
        <w:tc>
          <w:tcPr>
            <w:tcW w:w="359" w:type="pct"/>
            <w:tcBorders>
              <w:top w:val="nil"/>
              <w:left w:val="nil"/>
              <w:bottom w:val="nil"/>
              <w:right w:val="nil"/>
            </w:tcBorders>
            <w:shd w:val="clear" w:color="auto" w:fill="FFFFFF"/>
            <w:tcMar>
              <w:top w:w="30" w:type="dxa"/>
              <w:left w:w="60" w:type="dxa"/>
              <w:bottom w:w="30" w:type="dxa"/>
              <w:right w:w="60" w:type="dxa"/>
            </w:tcMar>
            <w:vAlign w:val="top"/>
          </w:tcPr>
          <w:p w14:paraId="1333B7CD">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Low</w:t>
            </w:r>
          </w:p>
        </w:tc>
        <w:tc>
          <w:tcPr>
            <w:tcW w:w="359" w:type="pct"/>
            <w:tcBorders>
              <w:top w:val="nil"/>
              <w:left w:val="nil"/>
              <w:bottom w:val="nil"/>
              <w:right w:val="nil"/>
            </w:tcBorders>
            <w:shd w:val="clear" w:color="auto" w:fill="FFFFFF"/>
            <w:tcMar>
              <w:top w:w="30" w:type="dxa"/>
              <w:left w:w="60" w:type="dxa"/>
              <w:bottom w:w="30" w:type="dxa"/>
              <w:right w:w="60" w:type="dxa"/>
            </w:tcMar>
            <w:vAlign w:val="top"/>
          </w:tcPr>
          <w:p w14:paraId="4B3C86E7">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Low</w:t>
            </w:r>
          </w:p>
        </w:tc>
        <w:tc>
          <w:tcPr>
            <w:tcW w:w="360" w:type="pct"/>
            <w:tcBorders>
              <w:top w:val="nil"/>
              <w:left w:val="nil"/>
              <w:bottom w:val="nil"/>
              <w:right w:val="nil"/>
            </w:tcBorders>
            <w:shd w:val="clear" w:color="auto" w:fill="FFFFFF"/>
            <w:tcMar>
              <w:top w:w="30" w:type="dxa"/>
              <w:left w:w="60" w:type="dxa"/>
              <w:bottom w:w="30" w:type="dxa"/>
              <w:right w:w="60" w:type="dxa"/>
            </w:tcMar>
            <w:vAlign w:val="top"/>
          </w:tcPr>
          <w:p w14:paraId="0B55CAAA">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High</w:t>
            </w:r>
          </w:p>
        </w:tc>
        <w:tc>
          <w:tcPr>
            <w:tcW w:w="359" w:type="pct"/>
            <w:tcBorders>
              <w:top w:val="nil"/>
              <w:left w:val="nil"/>
              <w:bottom w:val="nil"/>
              <w:right w:val="nil"/>
            </w:tcBorders>
            <w:shd w:val="clear" w:color="auto" w:fill="FFFFFF"/>
            <w:tcMar>
              <w:top w:w="30" w:type="dxa"/>
              <w:left w:w="60" w:type="dxa"/>
              <w:bottom w:w="30" w:type="dxa"/>
              <w:right w:w="60" w:type="dxa"/>
            </w:tcMar>
            <w:vAlign w:val="top"/>
          </w:tcPr>
          <w:p w14:paraId="1F24BFDF">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High</w:t>
            </w:r>
          </w:p>
        </w:tc>
        <w:tc>
          <w:tcPr>
            <w:tcW w:w="359" w:type="pct"/>
            <w:tcBorders>
              <w:top w:val="nil"/>
              <w:left w:val="nil"/>
              <w:bottom w:val="nil"/>
              <w:right w:val="nil"/>
            </w:tcBorders>
            <w:shd w:val="clear" w:color="auto" w:fill="FFFFFF"/>
            <w:tcMar>
              <w:top w:w="30" w:type="dxa"/>
              <w:left w:w="60" w:type="dxa"/>
              <w:bottom w:w="30" w:type="dxa"/>
              <w:right w:w="60" w:type="dxa"/>
            </w:tcMar>
            <w:vAlign w:val="top"/>
          </w:tcPr>
          <w:p w14:paraId="377E3027">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High</w:t>
            </w:r>
          </w:p>
        </w:tc>
        <w:tc>
          <w:tcPr>
            <w:tcW w:w="359" w:type="pct"/>
            <w:tcBorders>
              <w:top w:val="nil"/>
              <w:left w:val="nil"/>
              <w:bottom w:val="nil"/>
              <w:right w:val="nil"/>
            </w:tcBorders>
            <w:shd w:val="clear" w:color="auto" w:fill="FFFFFF"/>
            <w:tcMar>
              <w:top w:w="30" w:type="dxa"/>
              <w:left w:w="60" w:type="dxa"/>
              <w:bottom w:w="30" w:type="dxa"/>
              <w:right w:w="60" w:type="dxa"/>
            </w:tcMar>
            <w:vAlign w:val="top"/>
          </w:tcPr>
          <w:p w14:paraId="2BA1E05C">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Low</w:t>
            </w:r>
          </w:p>
        </w:tc>
        <w:tc>
          <w:tcPr>
            <w:tcW w:w="478" w:type="pct"/>
            <w:tcBorders>
              <w:top w:val="nil"/>
              <w:left w:val="nil"/>
              <w:bottom w:val="nil"/>
              <w:right w:val="nil"/>
            </w:tcBorders>
            <w:shd w:val="clear" w:color="auto" w:fill="FFFFFF"/>
            <w:tcMar>
              <w:top w:w="30" w:type="dxa"/>
              <w:left w:w="60" w:type="dxa"/>
              <w:bottom w:w="30" w:type="dxa"/>
              <w:right w:w="60" w:type="dxa"/>
            </w:tcMar>
            <w:vAlign w:val="top"/>
          </w:tcPr>
          <w:p w14:paraId="3067014B">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High</w:t>
            </w:r>
          </w:p>
        </w:tc>
        <w:tc>
          <w:tcPr>
            <w:tcW w:w="478" w:type="pct"/>
            <w:tcBorders>
              <w:top w:val="nil"/>
              <w:left w:val="nil"/>
              <w:bottom w:val="nil"/>
              <w:right w:val="nil"/>
            </w:tcBorders>
            <w:shd w:val="clear" w:color="auto" w:fill="FFFFFF"/>
            <w:tcMar>
              <w:top w:w="30" w:type="dxa"/>
              <w:left w:w="60" w:type="dxa"/>
              <w:bottom w:w="30" w:type="dxa"/>
              <w:right w:w="60" w:type="dxa"/>
            </w:tcMar>
            <w:vAlign w:val="top"/>
          </w:tcPr>
          <w:p w14:paraId="3DD650FE">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High</w:t>
            </w:r>
          </w:p>
        </w:tc>
      </w:tr>
      <w:tr w14:paraId="1C0EBED9">
        <w:tc>
          <w:tcPr>
            <w:tcW w:w="539" w:type="pct"/>
            <w:tcBorders>
              <w:top w:val="nil"/>
              <w:left w:val="nil"/>
              <w:bottom w:val="nil"/>
              <w:right w:val="nil"/>
            </w:tcBorders>
            <w:shd w:val="clear" w:color="auto" w:fill="FFFFFF"/>
            <w:tcMar>
              <w:top w:w="30" w:type="dxa"/>
              <w:left w:w="60" w:type="dxa"/>
              <w:bottom w:w="30" w:type="dxa"/>
              <w:right w:w="60" w:type="dxa"/>
            </w:tcMar>
            <w:vAlign w:val="top"/>
          </w:tcPr>
          <w:p w14:paraId="467C33F5">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Jiang Y-C</w:t>
            </w:r>
          </w:p>
        </w:tc>
        <w:tc>
          <w:tcPr>
            <w:tcW w:w="230" w:type="pct"/>
            <w:tcBorders>
              <w:top w:val="nil"/>
              <w:left w:val="nil"/>
              <w:bottom w:val="nil"/>
              <w:right w:val="nil"/>
            </w:tcBorders>
            <w:shd w:val="clear" w:color="auto" w:fill="FFFFFF"/>
            <w:tcMar>
              <w:top w:w="30" w:type="dxa"/>
              <w:left w:w="60" w:type="dxa"/>
              <w:bottom w:w="30" w:type="dxa"/>
              <w:right w:w="60" w:type="dxa"/>
            </w:tcMar>
            <w:vAlign w:val="top"/>
          </w:tcPr>
          <w:p w14:paraId="0216A161">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2022</w:t>
            </w:r>
          </w:p>
        </w:tc>
        <w:tc>
          <w:tcPr>
            <w:tcW w:w="755" w:type="pct"/>
            <w:tcBorders>
              <w:top w:val="nil"/>
              <w:left w:val="nil"/>
              <w:bottom w:val="nil"/>
              <w:right w:val="nil"/>
            </w:tcBorders>
            <w:shd w:val="clear" w:color="auto" w:fill="FFFFFF"/>
            <w:tcMar>
              <w:top w:w="30" w:type="dxa"/>
              <w:left w:w="60" w:type="dxa"/>
              <w:bottom w:w="30" w:type="dxa"/>
              <w:right w:w="60" w:type="dxa"/>
            </w:tcMar>
            <w:vAlign w:val="top"/>
          </w:tcPr>
          <w:p w14:paraId="2FAB3F9D">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IEEE Trans Neural Syst Rehabil Eng</w:t>
            </w:r>
          </w:p>
        </w:tc>
        <w:tc>
          <w:tcPr>
            <w:tcW w:w="359" w:type="pct"/>
            <w:tcBorders>
              <w:top w:val="nil"/>
              <w:left w:val="nil"/>
              <w:bottom w:val="nil"/>
              <w:right w:val="nil"/>
            </w:tcBorders>
            <w:shd w:val="clear" w:color="auto" w:fill="FFFFFF"/>
            <w:tcMar>
              <w:top w:w="30" w:type="dxa"/>
              <w:left w:w="60" w:type="dxa"/>
              <w:bottom w:w="30" w:type="dxa"/>
              <w:right w:w="60" w:type="dxa"/>
            </w:tcMar>
            <w:vAlign w:val="top"/>
          </w:tcPr>
          <w:p w14:paraId="136D57E0">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High</w:t>
            </w:r>
          </w:p>
        </w:tc>
        <w:tc>
          <w:tcPr>
            <w:tcW w:w="359" w:type="pct"/>
            <w:tcBorders>
              <w:top w:val="nil"/>
              <w:left w:val="nil"/>
              <w:bottom w:val="nil"/>
              <w:right w:val="nil"/>
            </w:tcBorders>
            <w:shd w:val="clear" w:color="auto" w:fill="FFFFFF"/>
            <w:tcMar>
              <w:top w:w="30" w:type="dxa"/>
              <w:left w:w="60" w:type="dxa"/>
              <w:bottom w:w="30" w:type="dxa"/>
              <w:right w:w="60" w:type="dxa"/>
            </w:tcMar>
            <w:vAlign w:val="top"/>
          </w:tcPr>
          <w:p w14:paraId="6A7F613E">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Low</w:t>
            </w:r>
          </w:p>
        </w:tc>
        <w:tc>
          <w:tcPr>
            <w:tcW w:w="359" w:type="pct"/>
            <w:tcBorders>
              <w:top w:val="nil"/>
              <w:left w:val="nil"/>
              <w:bottom w:val="nil"/>
              <w:right w:val="nil"/>
            </w:tcBorders>
            <w:shd w:val="clear" w:color="auto" w:fill="FFFFFF"/>
            <w:tcMar>
              <w:top w:w="30" w:type="dxa"/>
              <w:left w:w="60" w:type="dxa"/>
              <w:bottom w:w="30" w:type="dxa"/>
              <w:right w:w="60" w:type="dxa"/>
            </w:tcMar>
            <w:vAlign w:val="top"/>
          </w:tcPr>
          <w:p w14:paraId="1DEF38FC">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Low</w:t>
            </w:r>
          </w:p>
        </w:tc>
        <w:tc>
          <w:tcPr>
            <w:tcW w:w="360" w:type="pct"/>
            <w:tcBorders>
              <w:top w:val="nil"/>
              <w:left w:val="nil"/>
              <w:bottom w:val="nil"/>
              <w:right w:val="nil"/>
            </w:tcBorders>
            <w:shd w:val="clear" w:color="auto" w:fill="FFFFFF"/>
            <w:tcMar>
              <w:top w:w="30" w:type="dxa"/>
              <w:left w:w="60" w:type="dxa"/>
              <w:bottom w:w="30" w:type="dxa"/>
              <w:right w:w="60" w:type="dxa"/>
            </w:tcMar>
            <w:vAlign w:val="top"/>
          </w:tcPr>
          <w:p w14:paraId="11C0D102">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High</w:t>
            </w:r>
          </w:p>
        </w:tc>
        <w:tc>
          <w:tcPr>
            <w:tcW w:w="359" w:type="pct"/>
            <w:tcBorders>
              <w:top w:val="nil"/>
              <w:left w:val="nil"/>
              <w:bottom w:val="nil"/>
              <w:right w:val="nil"/>
            </w:tcBorders>
            <w:shd w:val="clear" w:color="auto" w:fill="FFFFFF"/>
            <w:tcMar>
              <w:top w:w="30" w:type="dxa"/>
              <w:left w:w="60" w:type="dxa"/>
              <w:bottom w:w="30" w:type="dxa"/>
              <w:right w:w="60" w:type="dxa"/>
            </w:tcMar>
            <w:vAlign w:val="top"/>
          </w:tcPr>
          <w:p w14:paraId="6DFFF594">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High</w:t>
            </w:r>
          </w:p>
        </w:tc>
        <w:tc>
          <w:tcPr>
            <w:tcW w:w="359" w:type="pct"/>
            <w:tcBorders>
              <w:top w:val="nil"/>
              <w:left w:val="nil"/>
              <w:bottom w:val="nil"/>
              <w:right w:val="nil"/>
            </w:tcBorders>
            <w:shd w:val="clear" w:color="auto" w:fill="FFFFFF"/>
            <w:tcMar>
              <w:top w:w="30" w:type="dxa"/>
              <w:left w:w="60" w:type="dxa"/>
              <w:bottom w:w="30" w:type="dxa"/>
              <w:right w:w="60" w:type="dxa"/>
            </w:tcMar>
            <w:vAlign w:val="top"/>
          </w:tcPr>
          <w:p w14:paraId="3AFE0E19">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High</w:t>
            </w:r>
          </w:p>
        </w:tc>
        <w:tc>
          <w:tcPr>
            <w:tcW w:w="359" w:type="pct"/>
            <w:tcBorders>
              <w:top w:val="nil"/>
              <w:left w:val="nil"/>
              <w:bottom w:val="nil"/>
              <w:right w:val="nil"/>
            </w:tcBorders>
            <w:shd w:val="clear" w:color="auto" w:fill="FFFFFF"/>
            <w:tcMar>
              <w:top w:w="30" w:type="dxa"/>
              <w:left w:w="60" w:type="dxa"/>
              <w:bottom w:w="30" w:type="dxa"/>
              <w:right w:w="60" w:type="dxa"/>
            </w:tcMar>
            <w:vAlign w:val="top"/>
          </w:tcPr>
          <w:p w14:paraId="4680CC57">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Low</w:t>
            </w:r>
          </w:p>
        </w:tc>
        <w:tc>
          <w:tcPr>
            <w:tcW w:w="478" w:type="pct"/>
            <w:tcBorders>
              <w:top w:val="nil"/>
              <w:left w:val="nil"/>
              <w:bottom w:val="nil"/>
              <w:right w:val="nil"/>
            </w:tcBorders>
            <w:shd w:val="clear" w:color="auto" w:fill="FFFFFF"/>
            <w:tcMar>
              <w:top w:w="30" w:type="dxa"/>
              <w:left w:w="60" w:type="dxa"/>
              <w:bottom w:w="30" w:type="dxa"/>
              <w:right w:w="60" w:type="dxa"/>
            </w:tcMar>
            <w:vAlign w:val="top"/>
          </w:tcPr>
          <w:p w14:paraId="37EB151E">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High</w:t>
            </w:r>
          </w:p>
        </w:tc>
        <w:tc>
          <w:tcPr>
            <w:tcW w:w="478" w:type="pct"/>
            <w:tcBorders>
              <w:top w:val="nil"/>
              <w:left w:val="nil"/>
              <w:bottom w:val="nil"/>
              <w:right w:val="nil"/>
            </w:tcBorders>
            <w:shd w:val="clear" w:color="auto" w:fill="FFFFFF"/>
            <w:tcMar>
              <w:top w:w="30" w:type="dxa"/>
              <w:left w:w="60" w:type="dxa"/>
              <w:bottom w:w="30" w:type="dxa"/>
              <w:right w:w="60" w:type="dxa"/>
            </w:tcMar>
            <w:vAlign w:val="top"/>
          </w:tcPr>
          <w:p w14:paraId="09CC5263">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High</w:t>
            </w:r>
          </w:p>
        </w:tc>
      </w:tr>
      <w:tr w14:paraId="2AF93F6D">
        <w:tc>
          <w:tcPr>
            <w:tcW w:w="539" w:type="pct"/>
            <w:tcBorders>
              <w:top w:val="nil"/>
              <w:left w:val="nil"/>
              <w:bottom w:val="nil"/>
              <w:right w:val="nil"/>
            </w:tcBorders>
            <w:shd w:val="clear" w:color="auto" w:fill="FFFFFF"/>
            <w:tcMar>
              <w:top w:w="30" w:type="dxa"/>
              <w:left w:w="60" w:type="dxa"/>
              <w:bottom w:w="30" w:type="dxa"/>
              <w:right w:w="60" w:type="dxa"/>
            </w:tcMar>
            <w:vAlign w:val="top"/>
          </w:tcPr>
          <w:p w14:paraId="0089AEE1">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Sommer NM</w:t>
            </w:r>
          </w:p>
        </w:tc>
        <w:tc>
          <w:tcPr>
            <w:tcW w:w="230" w:type="pct"/>
            <w:tcBorders>
              <w:top w:val="nil"/>
              <w:left w:val="nil"/>
              <w:bottom w:val="nil"/>
              <w:right w:val="nil"/>
            </w:tcBorders>
            <w:shd w:val="clear" w:color="auto" w:fill="FFFFFF"/>
            <w:tcMar>
              <w:top w:w="30" w:type="dxa"/>
              <w:left w:w="60" w:type="dxa"/>
              <w:bottom w:w="30" w:type="dxa"/>
              <w:right w:w="60" w:type="dxa"/>
            </w:tcMar>
            <w:vAlign w:val="top"/>
          </w:tcPr>
          <w:p w14:paraId="7397A859">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2021</w:t>
            </w:r>
          </w:p>
        </w:tc>
        <w:tc>
          <w:tcPr>
            <w:tcW w:w="755" w:type="pct"/>
            <w:tcBorders>
              <w:top w:val="nil"/>
              <w:left w:val="nil"/>
              <w:bottom w:val="nil"/>
              <w:right w:val="nil"/>
            </w:tcBorders>
            <w:shd w:val="clear" w:color="auto" w:fill="FFFFFF"/>
            <w:tcMar>
              <w:top w:w="30" w:type="dxa"/>
              <w:left w:w="60" w:type="dxa"/>
              <w:bottom w:w="30" w:type="dxa"/>
              <w:right w:w="60" w:type="dxa"/>
            </w:tcMar>
            <w:vAlign w:val="top"/>
          </w:tcPr>
          <w:p w14:paraId="7937F0A1">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IEEE Sensors Journal</w:t>
            </w:r>
          </w:p>
        </w:tc>
        <w:tc>
          <w:tcPr>
            <w:tcW w:w="359" w:type="pct"/>
            <w:tcBorders>
              <w:top w:val="nil"/>
              <w:left w:val="nil"/>
              <w:bottom w:val="nil"/>
              <w:right w:val="nil"/>
            </w:tcBorders>
            <w:shd w:val="clear" w:color="auto" w:fill="FFFFFF"/>
            <w:tcMar>
              <w:top w:w="30" w:type="dxa"/>
              <w:left w:w="60" w:type="dxa"/>
              <w:bottom w:w="30" w:type="dxa"/>
              <w:right w:w="60" w:type="dxa"/>
            </w:tcMar>
            <w:vAlign w:val="top"/>
          </w:tcPr>
          <w:p w14:paraId="12C050F5">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High</w:t>
            </w:r>
          </w:p>
        </w:tc>
        <w:tc>
          <w:tcPr>
            <w:tcW w:w="359" w:type="pct"/>
            <w:tcBorders>
              <w:top w:val="nil"/>
              <w:left w:val="nil"/>
              <w:bottom w:val="nil"/>
              <w:right w:val="nil"/>
            </w:tcBorders>
            <w:shd w:val="clear" w:color="auto" w:fill="FFFFFF"/>
            <w:tcMar>
              <w:top w:w="30" w:type="dxa"/>
              <w:left w:w="60" w:type="dxa"/>
              <w:bottom w:w="30" w:type="dxa"/>
              <w:right w:w="60" w:type="dxa"/>
            </w:tcMar>
            <w:vAlign w:val="top"/>
          </w:tcPr>
          <w:p w14:paraId="6930827C">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Low</w:t>
            </w:r>
          </w:p>
        </w:tc>
        <w:tc>
          <w:tcPr>
            <w:tcW w:w="359" w:type="pct"/>
            <w:tcBorders>
              <w:top w:val="nil"/>
              <w:left w:val="nil"/>
              <w:bottom w:val="nil"/>
              <w:right w:val="nil"/>
            </w:tcBorders>
            <w:shd w:val="clear" w:color="auto" w:fill="FFFFFF"/>
            <w:tcMar>
              <w:top w:w="30" w:type="dxa"/>
              <w:left w:w="60" w:type="dxa"/>
              <w:bottom w:w="30" w:type="dxa"/>
              <w:right w:w="60" w:type="dxa"/>
            </w:tcMar>
            <w:vAlign w:val="top"/>
          </w:tcPr>
          <w:p w14:paraId="4A459A1C">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Low</w:t>
            </w:r>
          </w:p>
        </w:tc>
        <w:tc>
          <w:tcPr>
            <w:tcW w:w="360" w:type="pct"/>
            <w:tcBorders>
              <w:top w:val="nil"/>
              <w:left w:val="nil"/>
              <w:bottom w:val="nil"/>
              <w:right w:val="nil"/>
            </w:tcBorders>
            <w:shd w:val="clear" w:color="auto" w:fill="FFFFFF"/>
            <w:tcMar>
              <w:top w:w="30" w:type="dxa"/>
              <w:left w:w="60" w:type="dxa"/>
              <w:bottom w:w="30" w:type="dxa"/>
              <w:right w:w="60" w:type="dxa"/>
            </w:tcMar>
            <w:vAlign w:val="top"/>
          </w:tcPr>
          <w:p w14:paraId="32A00784">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High</w:t>
            </w:r>
          </w:p>
        </w:tc>
        <w:tc>
          <w:tcPr>
            <w:tcW w:w="359" w:type="pct"/>
            <w:tcBorders>
              <w:top w:val="nil"/>
              <w:left w:val="nil"/>
              <w:bottom w:val="nil"/>
              <w:right w:val="nil"/>
            </w:tcBorders>
            <w:shd w:val="clear" w:color="auto" w:fill="FFFFFF"/>
            <w:tcMar>
              <w:top w:w="30" w:type="dxa"/>
              <w:left w:w="60" w:type="dxa"/>
              <w:bottom w:w="30" w:type="dxa"/>
              <w:right w:w="60" w:type="dxa"/>
            </w:tcMar>
            <w:vAlign w:val="top"/>
          </w:tcPr>
          <w:p w14:paraId="505E10CA">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High</w:t>
            </w:r>
          </w:p>
        </w:tc>
        <w:tc>
          <w:tcPr>
            <w:tcW w:w="359" w:type="pct"/>
            <w:tcBorders>
              <w:top w:val="nil"/>
              <w:left w:val="nil"/>
              <w:bottom w:val="nil"/>
              <w:right w:val="nil"/>
            </w:tcBorders>
            <w:shd w:val="clear" w:color="auto" w:fill="FFFFFF"/>
            <w:tcMar>
              <w:top w:w="30" w:type="dxa"/>
              <w:left w:w="60" w:type="dxa"/>
              <w:bottom w:w="30" w:type="dxa"/>
              <w:right w:w="60" w:type="dxa"/>
            </w:tcMar>
            <w:vAlign w:val="top"/>
          </w:tcPr>
          <w:p w14:paraId="601E6605">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High</w:t>
            </w:r>
          </w:p>
        </w:tc>
        <w:tc>
          <w:tcPr>
            <w:tcW w:w="359" w:type="pct"/>
            <w:tcBorders>
              <w:top w:val="nil"/>
              <w:left w:val="nil"/>
              <w:bottom w:val="nil"/>
              <w:right w:val="nil"/>
            </w:tcBorders>
            <w:shd w:val="clear" w:color="auto" w:fill="FFFFFF"/>
            <w:tcMar>
              <w:top w:w="30" w:type="dxa"/>
              <w:left w:w="60" w:type="dxa"/>
              <w:bottom w:w="30" w:type="dxa"/>
              <w:right w:w="60" w:type="dxa"/>
            </w:tcMar>
            <w:vAlign w:val="top"/>
          </w:tcPr>
          <w:p w14:paraId="3AEB47B4">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Low</w:t>
            </w:r>
          </w:p>
        </w:tc>
        <w:tc>
          <w:tcPr>
            <w:tcW w:w="478" w:type="pct"/>
            <w:tcBorders>
              <w:top w:val="nil"/>
              <w:left w:val="nil"/>
              <w:bottom w:val="nil"/>
              <w:right w:val="nil"/>
            </w:tcBorders>
            <w:shd w:val="clear" w:color="auto" w:fill="FFFFFF"/>
            <w:tcMar>
              <w:top w:w="30" w:type="dxa"/>
              <w:left w:w="60" w:type="dxa"/>
              <w:bottom w:w="30" w:type="dxa"/>
              <w:right w:w="60" w:type="dxa"/>
            </w:tcMar>
            <w:vAlign w:val="top"/>
          </w:tcPr>
          <w:p w14:paraId="52830EF3">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High</w:t>
            </w:r>
          </w:p>
        </w:tc>
        <w:tc>
          <w:tcPr>
            <w:tcW w:w="478" w:type="pct"/>
            <w:tcBorders>
              <w:top w:val="nil"/>
              <w:left w:val="nil"/>
              <w:bottom w:val="nil"/>
              <w:right w:val="nil"/>
            </w:tcBorders>
            <w:shd w:val="clear" w:color="auto" w:fill="FFFFFF"/>
            <w:tcMar>
              <w:top w:w="30" w:type="dxa"/>
              <w:left w:w="60" w:type="dxa"/>
              <w:bottom w:w="30" w:type="dxa"/>
              <w:right w:w="60" w:type="dxa"/>
            </w:tcMar>
            <w:vAlign w:val="top"/>
          </w:tcPr>
          <w:p w14:paraId="6CA3AF25">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High</w:t>
            </w:r>
          </w:p>
        </w:tc>
      </w:tr>
      <w:tr w14:paraId="12737F88">
        <w:tc>
          <w:tcPr>
            <w:tcW w:w="539" w:type="pct"/>
            <w:tcBorders>
              <w:top w:val="nil"/>
              <w:left w:val="nil"/>
              <w:bottom w:val="nil"/>
              <w:right w:val="nil"/>
            </w:tcBorders>
            <w:shd w:val="clear" w:color="auto" w:fill="FFFFFF"/>
            <w:tcMar>
              <w:top w:w="30" w:type="dxa"/>
              <w:left w:w="60" w:type="dxa"/>
              <w:bottom w:w="30" w:type="dxa"/>
              <w:right w:w="60" w:type="dxa"/>
            </w:tcMar>
            <w:vAlign w:val="top"/>
          </w:tcPr>
          <w:p w14:paraId="1C166BEB">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Hozan M</w:t>
            </w:r>
          </w:p>
        </w:tc>
        <w:tc>
          <w:tcPr>
            <w:tcW w:w="230" w:type="pct"/>
            <w:tcBorders>
              <w:top w:val="nil"/>
              <w:left w:val="nil"/>
              <w:bottom w:val="nil"/>
              <w:right w:val="nil"/>
            </w:tcBorders>
            <w:shd w:val="clear" w:color="auto" w:fill="FFFFFF"/>
            <w:tcMar>
              <w:top w:w="30" w:type="dxa"/>
              <w:left w:w="60" w:type="dxa"/>
              <w:bottom w:w="30" w:type="dxa"/>
              <w:right w:w="60" w:type="dxa"/>
            </w:tcMar>
            <w:vAlign w:val="top"/>
          </w:tcPr>
          <w:p w14:paraId="01C7F3FF">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2020</w:t>
            </w:r>
          </w:p>
        </w:tc>
        <w:tc>
          <w:tcPr>
            <w:tcW w:w="755" w:type="pct"/>
            <w:tcBorders>
              <w:top w:val="nil"/>
              <w:left w:val="nil"/>
              <w:bottom w:val="nil"/>
              <w:right w:val="nil"/>
            </w:tcBorders>
            <w:shd w:val="clear" w:color="auto" w:fill="FFFFFF"/>
            <w:tcMar>
              <w:top w:w="30" w:type="dxa"/>
              <w:left w:w="60" w:type="dxa"/>
              <w:bottom w:w="30" w:type="dxa"/>
              <w:right w:w="60" w:type="dxa"/>
            </w:tcMar>
            <w:vAlign w:val="top"/>
          </w:tcPr>
          <w:p w14:paraId="55EFEF0D">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Applied Sciences (MDPI)</w:t>
            </w:r>
          </w:p>
        </w:tc>
        <w:tc>
          <w:tcPr>
            <w:tcW w:w="359" w:type="pct"/>
            <w:tcBorders>
              <w:top w:val="nil"/>
              <w:left w:val="nil"/>
              <w:bottom w:val="nil"/>
              <w:right w:val="nil"/>
            </w:tcBorders>
            <w:shd w:val="clear" w:color="auto" w:fill="FFFFFF"/>
            <w:tcMar>
              <w:top w:w="30" w:type="dxa"/>
              <w:left w:w="60" w:type="dxa"/>
              <w:bottom w:w="30" w:type="dxa"/>
              <w:right w:w="60" w:type="dxa"/>
            </w:tcMar>
            <w:vAlign w:val="top"/>
          </w:tcPr>
          <w:p w14:paraId="7500D5EC">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High</w:t>
            </w:r>
          </w:p>
        </w:tc>
        <w:tc>
          <w:tcPr>
            <w:tcW w:w="359" w:type="pct"/>
            <w:tcBorders>
              <w:top w:val="nil"/>
              <w:left w:val="nil"/>
              <w:bottom w:val="nil"/>
              <w:right w:val="nil"/>
            </w:tcBorders>
            <w:shd w:val="clear" w:color="auto" w:fill="FFFFFF"/>
            <w:tcMar>
              <w:top w:w="30" w:type="dxa"/>
              <w:left w:w="60" w:type="dxa"/>
              <w:bottom w:w="30" w:type="dxa"/>
              <w:right w:w="60" w:type="dxa"/>
            </w:tcMar>
            <w:vAlign w:val="top"/>
          </w:tcPr>
          <w:p w14:paraId="3122477E">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Low</w:t>
            </w:r>
          </w:p>
        </w:tc>
        <w:tc>
          <w:tcPr>
            <w:tcW w:w="359" w:type="pct"/>
            <w:tcBorders>
              <w:top w:val="nil"/>
              <w:left w:val="nil"/>
              <w:bottom w:val="nil"/>
              <w:right w:val="nil"/>
            </w:tcBorders>
            <w:shd w:val="clear" w:color="auto" w:fill="FFFFFF"/>
            <w:tcMar>
              <w:top w:w="30" w:type="dxa"/>
              <w:left w:w="60" w:type="dxa"/>
              <w:bottom w:w="30" w:type="dxa"/>
              <w:right w:w="60" w:type="dxa"/>
            </w:tcMar>
            <w:vAlign w:val="top"/>
          </w:tcPr>
          <w:p w14:paraId="3662E563">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Low</w:t>
            </w:r>
          </w:p>
        </w:tc>
        <w:tc>
          <w:tcPr>
            <w:tcW w:w="360" w:type="pct"/>
            <w:tcBorders>
              <w:top w:val="nil"/>
              <w:left w:val="nil"/>
              <w:bottom w:val="nil"/>
              <w:right w:val="nil"/>
            </w:tcBorders>
            <w:shd w:val="clear" w:color="auto" w:fill="FFFFFF"/>
            <w:tcMar>
              <w:top w:w="30" w:type="dxa"/>
              <w:left w:w="60" w:type="dxa"/>
              <w:bottom w:w="30" w:type="dxa"/>
              <w:right w:w="60" w:type="dxa"/>
            </w:tcMar>
            <w:vAlign w:val="top"/>
          </w:tcPr>
          <w:p w14:paraId="11D055DA">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High</w:t>
            </w:r>
          </w:p>
        </w:tc>
        <w:tc>
          <w:tcPr>
            <w:tcW w:w="359" w:type="pct"/>
            <w:tcBorders>
              <w:top w:val="nil"/>
              <w:left w:val="nil"/>
              <w:bottom w:val="nil"/>
              <w:right w:val="nil"/>
            </w:tcBorders>
            <w:shd w:val="clear" w:color="auto" w:fill="FFFFFF"/>
            <w:tcMar>
              <w:top w:w="30" w:type="dxa"/>
              <w:left w:w="60" w:type="dxa"/>
              <w:bottom w:w="30" w:type="dxa"/>
              <w:right w:w="60" w:type="dxa"/>
            </w:tcMar>
            <w:vAlign w:val="top"/>
          </w:tcPr>
          <w:p w14:paraId="162FB2D3">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High</w:t>
            </w:r>
          </w:p>
        </w:tc>
        <w:tc>
          <w:tcPr>
            <w:tcW w:w="359" w:type="pct"/>
            <w:tcBorders>
              <w:top w:val="nil"/>
              <w:left w:val="nil"/>
              <w:bottom w:val="nil"/>
              <w:right w:val="nil"/>
            </w:tcBorders>
            <w:shd w:val="clear" w:color="auto" w:fill="FFFFFF"/>
            <w:tcMar>
              <w:top w:w="30" w:type="dxa"/>
              <w:left w:w="60" w:type="dxa"/>
              <w:bottom w:w="30" w:type="dxa"/>
              <w:right w:w="60" w:type="dxa"/>
            </w:tcMar>
            <w:vAlign w:val="top"/>
          </w:tcPr>
          <w:p w14:paraId="1E77A253">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High</w:t>
            </w:r>
          </w:p>
        </w:tc>
        <w:tc>
          <w:tcPr>
            <w:tcW w:w="359" w:type="pct"/>
            <w:tcBorders>
              <w:top w:val="nil"/>
              <w:left w:val="nil"/>
              <w:bottom w:val="nil"/>
              <w:right w:val="nil"/>
            </w:tcBorders>
            <w:shd w:val="clear" w:color="auto" w:fill="FFFFFF"/>
            <w:tcMar>
              <w:top w:w="30" w:type="dxa"/>
              <w:left w:w="60" w:type="dxa"/>
              <w:bottom w:w="30" w:type="dxa"/>
              <w:right w:w="60" w:type="dxa"/>
            </w:tcMar>
            <w:vAlign w:val="top"/>
          </w:tcPr>
          <w:p w14:paraId="656850ED">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Low</w:t>
            </w:r>
          </w:p>
        </w:tc>
        <w:tc>
          <w:tcPr>
            <w:tcW w:w="478" w:type="pct"/>
            <w:tcBorders>
              <w:top w:val="nil"/>
              <w:left w:val="nil"/>
              <w:bottom w:val="nil"/>
              <w:right w:val="nil"/>
            </w:tcBorders>
            <w:shd w:val="clear" w:color="auto" w:fill="FFFFFF"/>
            <w:tcMar>
              <w:top w:w="30" w:type="dxa"/>
              <w:left w:w="60" w:type="dxa"/>
              <w:bottom w:w="30" w:type="dxa"/>
              <w:right w:w="60" w:type="dxa"/>
            </w:tcMar>
            <w:vAlign w:val="top"/>
          </w:tcPr>
          <w:p w14:paraId="5FE9823D">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High</w:t>
            </w:r>
          </w:p>
        </w:tc>
        <w:tc>
          <w:tcPr>
            <w:tcW w:w="478" w:type="pct"/>
            <w:tcBorders>
              <w:top w:val="nil"/>
              <w:left w:val="nil"/>
              <w:bottom w:val="nil"/>
              <w:right w:val="nil"/>
            </w:tcBorders>
            <w:shd w:val="clear" w:color="auto" w:fill="FFFFFF"/>
            <w:tcMar>
              <w:top w:w="30" w:type="dxa"/>
              <w:left w:w="60" w:type="dxa"/>
              <w:bottom w:w="30" w:type="dxa"/>
              <w:right w:w="60" w:type="dxa"/>
            </w:tcMar>
            <w:vAlign w:val="top"/>
          </w:tcPr>
          <w:p w14:paraId="5D42E40D">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High</w:t>
            </w:r>
          </w:p>
        </w:tc>
      </w:tr>
      <w:tr w14:paraId="1548E2D2">
        <w:tc>
          <w:tcPr>
            <w:tcW w:w="539" w:type="pct"/>
            <w:tcBorders>
              <w:top w:val="nil"/>
              <w:left w:val="nil"/>
              <w:bottom w:val="nil"/>
              <w:right w:val="nil"/>
            </w:tcBorders>
            <w:shd w:val="clear" w:color="auto" w:fill="FFFFFF"/>
            <w:tcMar>
              <w:top w:w="30" w:type="dxa"/>
              <w:left w:w="60" w:type="dxa"/>
              <w:bottom w:w="30" w:type="dxa"/>
              <w:right w:w="60" w:type="dxa"/>
            </w:tcMar>
            <w:vAlign w:val="top"/>
          </w:tcPr>
          <w:p w14:paraId="6768B709">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Blokland Y</w:t>
            </w:r>
          </w:p>
        </w:tc>
        <w:tc>
          <w:tcPr>
            <w:tcW w:w="230" w:type="pct"/>
            <w:tcBorders>
              <w:top w:val="nil"/>
              <w:left w:val="nil"/>
              <w:bottom w:val="nil"/>
              <w:right w:val="nil"/>
            </w:tcBorders>
            <w:shd w:val="clear" w:color="auto" w:fill="FFFFFF"/>
            <w:tcMar>
              <w:top w:w="30" w:type="dxa"/>
              <w:left w:w="60" w:type="dxa"/>
              <w:bottom w:w="30" w:type="dxa"/>
              <w:right w:w="60" w:type="dxa"/>
            </w:tcMar>
            <w:vAlign w:val="top"/>
          </w:tcPr>
          <w:p w14:paraId="239BDA1E">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2014</w:t>
            </w:r>
          </w:p>
        </w:tc>
        <w:tc>
          <w:tcPr>
            <w:tcW w:w="755" w:type="pct"/>
            <w:tcBorders>
              <w:top w:val="nil"/>
              <w:left w:val="nil"/>
              <w:bottom w:val="nil"/>
              <w:right w:val="nil"/>
            </w:tcBorders>
            <w:shd w:val="clear" w:color="auto" w:fill="FFFFFF"/>
            <w:tcMar>
              <w:top w:w="30" w:type="dxa"/>
              <w:left w:w="60" w:type="dxa"/>
              <w:bottom w:w="30" w:type="dxa"/>
              <w:right w:w="60" w:type="dxa"/>
            </w:tcMar>
            <w:vAlign w:val="top"/>
          </w:tcPr>
          <w:p w14:paraId="017DE4BB">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IEEE Trans Neural Syst Rehabil Eng</w:t>
            </w:r>
          </w:p>
        </w:tc>
        <w:tc>
          <w:tcPr>
            <w:tcW w:w="359" w:type="pct"/>
            <w:tcBorders>
              <w:top w:val="nil"/>
              <w:left w:val="nil"/>
              <w:bottom w:val="nil"/>
              <w:right w:val="nil"/>
            </w:tcBorders>
            <w:shd w:val="clear" w:color="auto" w:fill="FFFFFF"/>
            <w:tcMar>
              <w:top w:w="30" w:type="dxa"/>
              <w:left w:w="60" w:type="dxa"/>
              <w:bottom w:w="30" w:type="dxa"/>
              <w:right w:w="60" w:type="dxa"/>
            </w:tcMar>
            <w:vAlign w:val="top"/>
          </w:tcPr>
          <w:p w14:paraId="3098C24B">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Low</w:t>
            </w:r>
          </w:p>
        </w:tc>
        <w:tc>
          <w:tcPr>
            <w:tcW w:w="359" w:type="pct"/>
            <w:tcBorders>
              <w:top w:val="nil"/>
              <w:left w:val="nil"/>
              <w:bottom w:val="nil"/>
              <w:right w:val="nil"/>
            </w:tcBorders>
            <w:shd w:val="clear" w:color="auto" w:fill="FFFFFF"/>
            <w:tcMar>
              <w:top w:w="30" w:type="dxa"/>
              <w:left w:w="60" w:type="dxa"/>
              <w:bottom w:w="30" w:type="dxa"/>
              <w:right w:w="60" w:type="dxa"/>
            </w:tcMar>
            <w:vAlign w:val="top"/>
          </w:tcPr>
          <w:p w14:paraId="338D243E">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Low</w:t>
            </w:r>
          </w:p>
        </w:tc>
        <w:tc>
          <w:tcPr>
            <w:tcW w:w="359" w:type="pct"/>
            <w:tcBorders>
              <w:top w:val="nil"/>
              <w:left w:val="nil"/>
              <w:bottom w:val="nil"/>
              <w:right w:val="nil"/>
            </w:tcBorders>
            <w:shd w:val="clear" w:color="auto" w:fill="FFFFFF"/>
            <w:tcMar>
              <w:top w:w="30" w:type="dxa"/>
              <w:left w:w="60" w:type="dxa"/>
              <w:bottom w:w="30" w:type="dxa"/>
              <w:right w:w="60" w:type="dxa"/>
            </w:tcMar>
            <w:vAlign w:val="top"/>
          </w:tcPr>
          <w:p w14:paraId="5EEE9FF0">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Low</w:t>
            </w:r>
          </w:p>
        </w:tc>
        <w:tc>
          <w:tcPr>
            <w:tcW w:w="360" w:type="pct"/>
            <w:tcBorders>
              <w:top w:val="nil"/>
              <w:left w:val="nil"/>
              <w:bottom w:val="nil"/>
              <w:right w:val="nil"/>
            </w:tcBorders>
            <w:shd w:val="clear" w:color="auto" w:fill="FFFFFF"/>
            <w:tcMar>
              <w:top w:w="30" w:type="dxa"/>
              <w:left w:w="60" w:type="dxa"/>
              <w:bottom w:w="30" w:type="dxa"/>
              <w:right w:w="60" w:type="dxa"/>
            </w:tcMar>
            <w:vAlign w:val="top"/>
          </w:tcPr>
          <w:p w14:paraId="6AEB78D3">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High</w:t>
            </w:r>
          </w:p>
        </w:tc>
        <w:tc>
          <w:tcPr>
            <w:tcW w:w="359" w:type="pct"/>
            <w:tcBorders>
              <w:top w:val="nil"/>
              <w:left w:val="nil"/>
              <w:bottom w:val="nil"/>
              <w:right w:val="nil"/>
            </w:tcBorders>
            <w:shd w:val="clear" w:color="auto" w:fill="FFFFFF"/>
            <w:tcMar>
              <w:top w:w="30" w:type="dxa"/>
              <w:left w:w="60" w:type="dxa"/>
              <w:bottom w:w="30" w:type="dxa"/>
              <w:right w:w="60" w:type="dxa"/>
            </w:tcMar>
            <w:vAlign w:val="top"/>
          </w:tcPr>
          <w:p w14:paraId="0AC8956F">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Low</w:t>
            </w:r>
          </w:p>
        </w:tc>
        <w:tc>
          <w:tcPr>
            <w:tcW w:w="359" w:type="pct"/>
            <w:tcBorders>
              <w:top w:val="nil"/>
              <w:left w:val="nil"/>
              <w:bottom w:val="nil"/>
              <w:right w:val="nil"/>
            </w:tcBorders>
            <w:shd w:val="clear" w:color="auto" w:fill="FFFFFF"/>
            <w:tcMar>
              <w:top w:w="30" w:type="dxa"/>
              <w:left w:w="60" w:type="dxa"/>
              <w:bottom w:w="30" w:type="dxa"/>
              <w:right w:w="60" w:type="dxa"/>
            </w:tcMar>
            <w:vAlign w:val="top"/>
          </w:tcPr>
          <w:p w14:paraId="45A6A050">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High</w:t>
            </w:r>
          </w:p>
        </w:tc>
        <w:tc>
          <w:tcPr>
            <w:tcW w:w="359" w:type="pct"/>
            <w:tcBorders>
              <w:top w:val="nil"/>
              <w:left w:val="nil"/>
              <w:bottom w:val="nil"/>
              <w:right w:val="nil"/>
            </w:tcBorders>
            <w:shd w:val="clear" w:color="auto" w:fill="FFFFFF"/>
            <w:tcMar>
              <w:top w:w="30" w:type="dxa"/>
              <w:left w:w="60" w:type="dxa"/>
              <w:bottom w:w="30" w:type="dxa"/>
              <w:right w:w="60" w:type="dxa"/>
            </w:tcMar>
            <w:vAlign w:val="top"/>
          </w:tcPr>
          <w:p w14:paraId="58BD4ACE">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Low</w:t>
            </w:r>
          </w:p>
        </w:tc>
        <w:tc>
          <w:tcPr>
            <w:tcW w:w="478" w:type="pct"/>
            <w:tcBorders>
              <w:top w:val="nil"/>
              <w:left w:val="nil"/>
              <w:bottom w:val="nil"/>
              <w:right w:val="nil"/>
            </w:tcBorders>
            <w:shd w:val="clear" w:color="auto" w:fill="FFFFFF"/>
            <w:tcMar>
              <w:top w:w="30" w:type="dxa"/>
              <w:left w:w="60" w:type="dxa"/>
              <w:bottom w:w="30" w:type="dxa"/>
              <w:right w:w="60" w:type="dxa"/>
            </w:tcMar>
            <w:vAlign w:val="top"/>
          </w:tcPr>
          <w:p w14:paraId="73DF19B5">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High</w:t>
            </w:r>
          </w:p>
        </w:tc>
        <w:tc>
          <w:tcPr>
            <w:tcW w:w="478" w:type="pct"/>
            <w:tcBorders>
              <w:top w:val="nil"/>
              <w:left w:val="nil"/>
              <w:bottom w:val="nil"/>
              <w:right w:val="nil"/>
            </w:tcBorders>
            <w:shd w:val="clear" w:color="auto" w:fill="FFFFFF"/>
            <w:tcMar>
              <w:top w:w="30" w:type="dxa"/>
              <w:left w:w="60" w:type="dxa"/>
              <w:bottom w:w="30" w:type="dxa"/>
              <w:right w:w="60" w:type="dxa"/>
            </w:tcMar>
            <w:vAlign w:val="top"/>
          </w:tcPr>
          <w:p w14:paraId="779E4073">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High</w:t>
            </w:r>
          </w:p>
        </w:tc>
      </w:tr>
      <w:tr w14:paraId="55F8F7AD">
        <w:tc>
          <w:tcPr>
            <w:tcW w:w="539" w:type="pct"/>
            <w:tcBorders>
              <w:top w:val="nil"/>
              <w:left w:val="nil"/>
              <w:bottom w:val="nil"/>
              <w:right w:val="nil"/>
            </w:tcBorders>
            <w:shd w:val="clear" w:color="auto" w:fill="FFFFFF"/>
            <w:tcMar>
              <w:top w:w="30" w:type="dxa"/>
              <w:left w:w="60" w:type="dxa"/>
              <w:bottom w:w="30" w:type="dxa"/>
              <w:right w:w="60" w:type="dxa"/>
            </w:tcMar>
            <w:vAlign w:val="top"/>
          </w:tcPr>
          <w:p w14:paraId="7A6C4A6E">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Lee J</w:t>
            </w:r>
          </w:p>
        </w:tc>
        <w:tc>
          <w:tcPr>
            <w:tcW w:w="230" w:type="pct"/>
            <w:tcBorders>
              <w:top w:val="nil"/>
              <w:left w:val="nil"/>
              <w:bottom w:val="nil"/>
              <w:right w:val="nil"/>
            </w:tcBorders>
            <w:shd w:val="clear" w:color="auto" w:fill="FFFFFF"/>
            <w:tcMar>
              <w:top w:w="30" w:type="dxa"/>
              <w:left w:w="60" w:type="dxa"/>
              <w:bottom w:w="30" w:type="dxa"/>
              <w:right w:w="60" w:type="dxa"/>
            </w:tcMar>
            <w:vAlign w:val="top"/>
          </w:tcPr>
          <w:p w14:paraId="64108846">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2019</w:t>
            </w:r>
          </w:p>
        </w:tc>
        <w:tc>
          <w:tcPr>
            <w:tcW w:w="755" w:type="pct"/>
            <w:tcBorders>
              <w:top w:val="nil"/>
              <w:left w:val="nil"/>
              <w:bottom w:val="nil"/>
              <w:right w:val="nil"/>
            </w:tcBorders>
            <w:shd w:val="clear" w:color="auto" w:fill="FFFFFF"/>
            <w:tcMar>
              <w:top w:w="30" w:type="dxa"/>
              <w:left w:w="60" w:type="dxa"/>
              <w:bottom w:w="30" w:type="dxa"/>
              <w:right w:w="60" w:type="dxa"/>
            </w:tcMar>
            <w:vAlign w:val="top"/>
          </w:tcPr>
          <w:p w14:paraId="28061A8D">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Applied Sciences (MDPI)</w:t>
            </w:r>
          </w:p>
        </w:tc>
        <w:tc>
          <w:tcPr>
            <w:tcW w:w="359" w:type="pct"/>
            <w:tcBorders>
              <w:top w:val="nil"/>
              <w:left w:val="nil"/>
              <w:bottom w:val="nil"/>
              <w:right w:val="nil"/>
            </w:tcBorders>
            <w:shd w:val="clear" w:color="auto" w:fill="FFFFFF"/>
            <w:tcMar>
              <w:top w:w="30" w:type="dxa"/>
              <w:left w:w="60" w:type="dxa"/>
              <w:bottom w:w="30" w:type="dxa"/>
              <w:right w:w="60" w:type="dxa"/>
            </w:tcMar>
            <w:vAlign w:val="top"/>
          </w:tcPr>
          <w:p w14:paraId="0F6F74C4">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High</w:t>
            </w:r>
          </w:p>
        </w:tc>
        <w:tc>
          <w:tcPr>
            <w:tcW w:w="359" w:type="pct"/>
            <w:tcBorders>
              <w:top w:val="nil"/>
              <w:left w:val="nil"/>
              <w:bottom w:val="nil"/>
              <w:right w:val="nil"/>
            </w:tcBorders>
            <w:shd w:val="clear" w:color="auto" w:fill="FFFFFF"/>
            <w:tcMar>
              <w:top w:w="30" w:type="dxa"/>
              <w:left w:w="60" w:type="dxa"/>
              <w:bottom w:w="30" w:type="dxa"/>
              <w:right w:w="60" w:type="dxa"/>
            </w:tcMar>
            <w:vAlign w:val="top"/>
          </w:tcPr>
          <w:p w14:paraId="1E2E36F8">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Low</w:t>
            </w:r>
          </w:p>
        </w:tc>
        <w:tc>
          <w:tcPr>
            <w:tcW w:w="359" w:type="pct"/>
            <w:tcBorders>
              <w:top w:val="nil"/>
              <w:left w:val="nil"/>
              <w:bottom w:val="nil"/>
              <w:right w:val="nil"/>
            </w:tcBorders>
            <w:shd w:val="clear" w:color="auto" w:fill="FFFFFF"/>
            <w:tcMar>
              <w:top w:w="30" w:type="dxa"/>
              <w:left w:w="60" w:type="dxa"/>
              <w:bottom w:w="30" w:type="dxa"/>
              <w:right w:w="60" w:type="dxa"/>
            </w:tcMar>
            <w:vAlign w:val="top"/>
          </w:tcPr>
          <w:p w14:paraId="59B52B39">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Low</w:t>
            </w:r>
          </w:p>
        </w:tc>
        <w:tc>
          <w:tcPr>
            <w:tcW w:w="360" w:type="pct"/>
            <w:tcBorders>
              <w:top w:val="nil"/>
              <w:left w:val="nil"/>
              <w:bottom w:val="nil"/>
              <w:right w:val="nil"/>
            </w:tcBorders>
            <w:shd w:val="clear" w:color="auto" w:fill="FFFFFF"/>
            <w:tcMar>
              <w:top w:w="30" w:type="dxa"/>
              <w:left w:w="60" w:type="dxa"/>
              <w:bottom w:w="30" w:type="dxa"/>
              <w:right w:w="60" w:type="dxa"/>
            </w:tcMar>
            <w:vAlign w:val="top"/>
          </w:tcPr>
          <w:p w14:paraId="63ECFB09">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High</w:t>
            </w:r>
          </w:p>
        </w:tc>
        <w:tc>
          <w:tcPr>
            <w:tcW w:w="359" w:type="pct"/>
            <w:tcBorders>
              <w:top w:val="nil"/>
              <w:left w:val="nil"/>
              <w:bottom w:val="nil"/>
              <w:right w:val="nil"/>
            </w:tcBorders>
            <w:shd w:val="clear" w:color="auto" w:fill="FFFFFF"/>
            <w:tcMar>
              <w:top w:w="30" w:type="dxa"/>
              <w:left w:w="60" w:type="dxa"/>
              <w:bottom w:w="30" w:type="dxa"/>
              <w:right w:w="60" w:type="dxa"/>
            </w:tcMar>
            <w:vAlign w:val="top"/>
          </w:tcPr>
          <w:p w14:paraId="28122406">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High</w:t>
            </w:r>
          </w:p>
        </w:tc>
        <w:tc>
          <w:tcPr>
            <w:tcW w:w="359" w:type="pct"/>
            <w:tcBorders>
              <w:top w:val="nil"/>
              <w:left w:val="nil"/>
              <w:bottom w:val="nil"/>
              <w:right w:val="nil"/>
            </w:tcBorders>
            <w:shd w:val="clear" w:color="auto" w:fill="FFFFFF"/>
            <w:tcMar>
              <w:top w:w="30" w:type="dxa"/>
              <w:left w:w="60" w:type="dxa"/>
              <w:bottom w:w="30" w:type="dxa"/>
              <w:right w:w="60" w:type="dxa"/>
            </w:tcMar>
            <w:vAlign w:val="top"/>
          </w:tcPr>
          <w:p w14:paraId="1E95353D">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High</w:t>
            </w:r>
          </w:p>
        </w:tc>
        <w:tc>
          <w:tcPr>
            <w:tcW w:w="359" w:type="pct"/>
            <w:tcBorders>
              <w:top w:val="nil"/>
              <w:left w:val="nil"/>
              <w:bottom w:val="nil"/>
              <w:right w:val="nil"/>
            </w:tcBorders>
            <w:shd w:val="clear" w:color="auto" w:fill="FFFFFF"/>
            <w:tcMar>
              <w:top w:w="30" w:type="dxa"/>
              <w:left w:w="60" w:type="dxa"/>
              <w:bottom w:w="30" w:type="dxa"/>
              <w:right w:w="60" w:type="dxa"/>
            </w:tcMar>
            <w:vAlign w:val="top"/>
          </w:tcPr>
          <w:p w14:paraId="03C207C6">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Low</w:t>
            </w:r>
          </w:p>
        </w:tc>
        <w:tc>
          <w:tcPr>
            <w:tcW w:w="478" w:type="pct"/>
            <w:tcBorders>
              <w:top w:val="nil"/>
              <w:left w:val="nil"/>
              <w:bottom w:val="nil"/>
              <w:right w:val="nil"/>
            </w:tcBorders>
            <w:shd w:val="clear" w:color="auto" w:fill="FFFFFF"/>
            <w:tcMar>
              <w:top w:w="30" w:type="dxa"/>
              <w:left w:w="60" w:type="dxa"/>
              <w:bottom w:w="30" w:type="dxa"/>
              <w:right w:w="60" w:type="dxa"/>
            </w:tcMar>
            <w:vAlign w:val="top"/>
          </w:tcPr>
          <w:p w14:paraId="5CF14DEF">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High</w:t>
            </w:r>
          </w:p>
        </w:tc>
        <w:tc>
          <w:tcPr>
            <w:tcW w:w="478" w:type="pct"/>
            <w:tcBorders>
              <w:top w:val="nil"/>
              <w:left w:val="nil"/>
              <w:bottom w:val="nil"/>
              <w:right w:val="nil"/>
            </w:tcBorders>
            <w:shd w:val="clear" w:color="auto" w:fill="FFFFFF"/>
            <w:tcMar>
              <w:top w:w="30" w:type="dxa"/>
              <w:left w:w="60" w:type="dxa"/>
              <w:bottom w:w="30" w:type="dxa"/>
              <w:right w:w="60" w:type="dxa"/>
            </w:tcMar>
            <w:vAlign w:val="top"/>
          </w:tcPr>
          <w:p w14:paraId="00E23712">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High</w:t>
            </w:r>
          </w:p>
        </w:tc>
      </w:tr>
      <w:tr w14:paraId="4CE0A000">
        <w:tc>
          <w:tcPr>
            <w:tcW w:w="539" w:type="pct"/>
            <w:tcBorders>
              <w:top w:val="nil"/>
              <w:left w:val="nil"/>
              <w:bottom w:val="nil"/>
              <w:right w:val="nil"/>
            </w:tcBorders>
            <w:shd w:val="clear" w:color="auto" w:fill="FFFFFF"/>
            <w:tcMar>
              <w:top w:w="30" w:type="dxa"/>
              <w:left w:w="60" w:type="dxa"/>
              <w:bottom w:w="30" w:type="dxa"/>
              <w:right w:w="60" w:type="dxa"/>
            </w:tcMar>
            <w:vAlign w:val="top"/>
          </w:tcPr>
          <w:p w14:paraId="71C178B1">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Ji X</w:t>
            </w:r>
          </w:p>
        </w:tc>
        <w:tc>
          <w:tcPr>
            <w:tcW w:w="230" w:type="pct"/>
            <w:tcBorders>
              <w:top w:val="nil"/>
              <w:left w:val="nil"/>
              <w:bottom w:val="nil"/>
              <w:right w:val="nil"/>
            </w:tcBorders>
            <w:shd w:val="clear" w:color="auto" w:fill="FFFFFF"/>
            <w:tcMar>
              <w:top w:w="30" w:type="dxa"/>
              <w:left w:w="60" w:type="dxa"/>
              <w:bottom w:w="30" w:type="dxa"/>
              <w:right w:w="60" w:type="dxa"/>
            </w:tcMar>
            <w:vAlign w:val="top"/>
          </w:tcPr>
          <w:p w14:paraId="631B1BD7">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2026</w:t>
            </w:r>
          </w:p>
        </w:tc>
        <w:tc>
          <w:tcPr>
            <w:tcW w:w="755" w:type="pct"/>
            <w:tcBorders>
              <w:top w:val="nil"/>
              <w:left w:val="nil"/>
              <w:bottom w:val="nil"/>
              <w:right w:val="nil"/>
            </w:tcBorders>
            <w:shd w:val="clear" w:color="auto" w:fill="FFFFFF"/>
            <w:tcMar>
              <w:top w:w="30" w:type="dxa"/>
              <w:left w:w="60" w:type="dxa"/>
              <w:bottom w:w="30" w:type="dxa"/>
              <w:right w:w="60" w:type="dxa"/>
            </w:tcMar>
            <w:vAlign w:val="top"/>
          </w:tcPr>
          <w:p w14:paraId="17EEF97E">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Biomed Signal Process Control</w:t>
            </w:r>
          </w:p>
        </w:tc>
        <w:tc>
          <w:tcPr>
            <w:tcW w:w="359" w:type="pct"/>
            <w:tcBorders>
              <w:top w:val="nil"/>
              <w:left w:val="nil"/>
              <w:bottom w:val="nil"/>
              <w:right w:val="nil"/>
            </w:tcBorders>
            <w:shd w:val="clear" w:color="auto" w:fill="FFFFFF"/>
            <w:tcMar>
              <w:top w:w="30" w:type="dxa"/>
              <w:left w:w="60" w:type="dxa"/>
              <w:bottom w:w="30" w:type="dxa"/>
              <w:right w:w="60" w:type="dxa"/>
            </w:tcMar>
            <w:vAlign w:val="top"/>
          </w:tcPr>
          <w:p w14:paraId="532A539D">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High</w:t>
            </w:r>
          </w:p>
        </w:tc>
        <w:tc>
          <w:tcPr>
            <w:tcW w:w="359" w:type="pct"/>
            <w:tcBorders>
              <w:top w:val="nil"/>
              <w:left w:val="nil"/>
              <w:bottom w:val="nil"/>
              <w:right w:val="nil"/>
            </w:tcBorders>
            <w:shd w:val="clear" w:color="auto" w:fill="FFFFFF"/>
            <w:tcMar>
              <w:top w:w="30" w:type="dxa"/>
              <w:left w:w="60" w:type="dxa"/>
              <w:bottom w:w="30" w:type="dxa"/>
              <w:right w:w="60" w:type="dxa"/>
            </w:tcMar>
            <w:vAlign w:val="top"/>
          </w:tcPr>
          <w:p w14:paraId="7622E015">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Low</w:t>
            </w:r>
          </w:p>
        </w:tc>
        <w:tc>
          <w:tcPr>
            <w:tcW w:w="359" w:type="pct"/>
            <w:tcBorders>
              <w:top w:val="nil"/>
              <w:left w:val="nil"/>
              <w:bottom w:val="nil"/>
              <w:right w:val="nil"/>
            </w:tcBorders>
            <w:shd w:val="clear" w:color="auto" w:fill="FFFFFF"/>
            <w:tcMar>
              <w:top w:w="30" w:type="dxa"/>
              <w:left w:w="60" w:type="dxa"/>
              <w:bottom w:w="30" w:type="dxa"/>
              <w:right w:w="60" w:type="dxa"/>
            </w:tcMar>
            <w:vAlign w:val="top"/>
          </w:tcPr>
          <w:p w14:paraId="3D067517">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Low</w:t>
            </w:r>
          </w:p>
        </w:tc>
        <w:tc>
          <w:tcPr>
            <w:tcW w:w="360" w:type="pct"/>
            <w:tcBorders>
              <w:top w:val="nil"/>
              <w:left w:val="nil"/>
              <w:bottom w:val="nil"/>
              <w:right w:val="nil"/>
            </w:tcBorders>
            <w:shd w:val="clear" w:color="auto" w:fill="FFFFFF"/>
            <w:tcMar>
              <w:top w:w="30" w:type="dxa"/>
              <w:left w:w="60" w:type="dxa"/>
              <w:bottom w:w="30" w:type="dxa"/>
              <w:right w:w="60" w:type="dxa"/>
            </w:tcMar>
            <w:vAlign w:val="top"/>
          </w:tcPr>
          <w:p w14:paraId="5CEAAFB0">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High</w:t>
            </w:r>
          </w:p>
        </w:tc>
        <w:tc>
          <w:tcPr>
            <w:tcW w:w="359" w:type="pct"/>
            <w:tcBorders>
              <w:top w:val="nil"/>
              <w:left w:val="nil"/>
              <w:bottom w:val="nil"/>
              <w:right w:val="nil"/>
            </w:tcBorders>
            <w:shd w:val="clear" w:color="auto" w:fill="FFFFFF"/>
            <w:tcMar>
              <w:top w:w="30" w:type="dxa"/>
              <w:left w:w="60" w:type="dxa"/>
              <w:bottom w:w="30" w:type="dxa"/>
              <w:right w:w="60" w:type="dxa"/>
            </w:tcMar>
            <w:vAlign w:val="top"/>
          </w:tcPr>
          <w:p w14:paraId="3C7E96F1">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High</w:t>
            </w:r>
          </w:p>
        </w:tc>
        <w:tc>
          <w:tcPr>
            <w:tcW w:w="359" w:type="pct"/>
            <w:tcBorders>
              <w:top w:val="nil"/>
              <w:left w:val="nil"/>
              <w:bottom w:val="nil"/>
              <w:right w:val="nil"/>
            </w:tcBorders>
            <w:shd w:val="clear" w:color="auto" w:fill="FFFFFF"/>
            <w:tcMar>
              <w:top w:w="30" w:type="dxa"/>
              <w:left w:w="60" w:type="dxa"/>
              <w:bottom w:w="30" w:type="dxa"/>
              <w:right w:w="60" w:type="dxa"/>
            </w:tcMar>
            <w:vAlign w:val="top"/>
          </w:tcPr>
          <w:p w14:paraId="3807A75F">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High</w:t>
            </w:r>
          </w:p>
        </w:tc>
        <w:tc>
          <w:tcPr>
            <w:tcW w:w="359" w:type="pct"/>
            <w:tcBorders>
              <w:top w:val="nil"/>
              <w:left w:val="nil"/>
              <w:bottom w:val="nil"/>
              <w:right w:val="nil"/>
            </w:tcBorders>
            <w:shd w:val="clear" w:color="auto" w:fill="FFFFFF"/>
            <w:tcMar>
              <w:top w:w="30" w:type="dxa"/>
              <w:left w:w="60" w:type="dxa"/>
              <w:bottom w:w="30" w:type="dxa"/>
              <w:right w:w="60" w:type="dxa"/>
            </w:tcMar>
            <w:vAlign w:val="top"/>
          </w:tcPr>
          <w:p w14:paraId="1E794ED3">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Low</w:t>
            </w:r>
          </w:p>
        </w:tc>
        <w:tc>
          <w:tcPr>
            <w:tcW w:w="478" w:type="pct"/>
            <w:tcBorders>
              <w:top w:val="nil"/>
              <w:left w:val="nil"/>
              <w:bottom w:val="nil"/>
              <w:right w:val="nil"/>
            </w:tcBorders>
            <w:shd w:val="clear" w:color="auto" w:fill="FFFFFF"/>
            <w:tcMar>
              <w:top w:w="30" w:type="dxa"/>
              <w:left w:w="60" w:type="dxa"/>
              <w:bottom w:w="30" w:type="dxa"/>
              <w:right w:w="60" w:type="dxa"/>
            </w:tcMar>
            <w:vAlign w:val="top"/>
          </w:tcPr>
          <w:p w14:paraId="3AD82331">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High</w:t>
            </w:r>
          </w:p>
        </w:tc>
        <w:tc>
          <w:tcPr>
            <w:tcW w:w="478" w:type="pct"/>
            <w:tcBorders>
              <w:top w:val="nil"/>
              <w:left w:val="nil"/>
              <w:bottom w:val="nil"/>
              <w:right w:val="nil"/>
            </w:tcBorders>
            <w:shd w:val="clear" w:color="auto" w:fill="FFFFFF"/>
            <w:tcMar>
              <w:top w:w="30" w:type="dxa"/>
              <w:left w:w="60" w:type="dxa"/>
              <w:bottom w:w="30" w:type="dxa"/>
              <w:right w:w="60" w:type="dxa"/>
            </w:tcMar>
            <w:vAlign w:val="top"/>
          </w:tcPr>
          <w:p w14:paraId="11BCD0FD">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High</w:t>
            </w:r>
          </w:p>
        </w:tc>
      </w:tr>
      <w:tr w14:paraId="6F961826">
        <w:tc>
          <w:tcPr>
            <w:tcW w:w="539" w:type="pct"/>
            <w:tcBorders>
              <w:top w:val="nil"/>
              <w:left w:val="nil"/>
              <w:bottom w:val="nil"/>
              <w:right w:val="nil"/>
            </w:tcBorders>
            <w:shd w:val="clear" w:color="auto" w:fill="FFFFFF"/>
            <w:tcMar>
              <w:top w:w="30" w:type="dxa"/>
              <w:left w:w="60" w:type="dxa"/>
              <w:bottom w:w="30" w:type="dxa"/>
              <w:right w:w="60" w:type="dxa"/>
            </w:tcMar>
            <w:vAlign w:val="top"/>
          </w:tcPr>
          <w:p w14:paraId="3F4F0AAC">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Ma D</w:t>
            </w:r>
          </w:p>
        </w:tc>
        <w:tc>
          <w:tcPr>
            <w:tcW w:w="230" w:type="pct"/>
            <w:tcBorders>
              <w:top w:val="nil"/>
              <w:left w:val="nil"/>
              <w:bottom w:val="nil"/>
              <w:right w:val="nil"/>
            </w:tcBorders>
            <w:shd w:val="clear" w:color="auto" w:fill="FFFFFF"/>
            <w:tcMar>
              <w:top w:w="30" w:type="dxa"/>
              <w:left w:w="60" w:type="dxa"/>
              <w:bottom w:w="30" w:type="dxa"/>
              <w:right w:w="60" w:type="dxa"/>
            </w:tcMar>
            <w:vAlign w:val="top"/>
          </w:tcPr>
          <w:p w14:paraId="1E7C706E">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2023</w:t>
            </w:r>
          </w:p>
        </w:tc>
        <w:tc>
          <w:tcPr>
            <w:tcW w:w="755" w:type="pct"/>
            <w:tcBorders>
              <w:top w:val="nil"/>
              <w:left w:val="nil"/>
              <w:bottom w:val="nil"/>
              <w:right w:val="nil"/>
            </w:tcBorders>
            <w:shd w:val="clear" w:color="auto" w:fill="FFFFFF"/>
            <w:tcMar>
              <w:top w:w="30" w:type="dxa"/>
              <w:left w:w="60" w:type="dxa"/>
              <w:bottom w:w="30" w:type="dxa"/>
              <w:right w:w="60" w:type="dxa"/>
            </w:tcMar>
            <w:vAlign w:val="top"/>
          </w:tcPr>
          <w:p w14:paraId="30749A47">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IEEE Trans Neural Syst Rehabil Eng</w:t>
            </w:r>
          </w:p>
        </w:tc>
        <w:tc>
          <w:tcPr>
            <w:tcW w:w="359" w:type="pct"/>
            <w:tcBorders>
              <w:top w:val="nil"/>
              <w:left w:val="nil"/>
              <w:bottom w:val="nil"/>
              <w:right w:val="nil"/>
            </w:tcBorders>
            <w:shd w:val="clear" w:color="auto" w:fill="FFFFFF"/>
            <w:tcMar>
              <w:top w:w="30" w:type="dxa"/>
              <w:left w:w="60" w:type="dxa"/>
              <w:bottom w:w="30" w:type="dxa"/>
              <w:right w:w="60" w:type="dxa"/>
            </w:tcMar>
            <w:vAlign w:val="top"/>
          </w:tcPr>
          <w:p w14:paraId="087412F5">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Low</w:t>
            </w:r>
          </w:p>
        </w:tc>
        <w:tc>
          <w:tcPr>
            <w:tcW w:w="359" w:type="pct"/>
            <w:tcBorders>
              <w:top w:val="nil"/>
              <w:left w:val="nil"/>
              <w:bottom w:val="nil"/>
              <w:right w:val="nil"/>
            </w:tcBorders>
            <w:shd w:val="clear" w:color="auto" w:fill="FFFFFF"/>
            <w:tcMar>
              <w:top w:w="30" w:type="dxa"/>
              <w:left w:w="60" w:type="dxa"/>
              <w:bottom w:w="30" w:type="dxa"/>
              <w:right w:w="60" w:type="dxa"/>
            </w:tcMar>
            <w:vAlign w:val="top"/>
          </w:tcPr>
          <w:p w14:paraId="32C8FD4E">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Low</w:t>
            </w:r>
          </w:p>
        </w:tc>
        <w:tc>
          <w:tcPr>
            <w:tcW w:w="359" w:type="pct"/>
            <w:tcBorders>
              <w:top w:val="nil"/>
              <w:left w:val="nil"/>
              <w:bottom w:val="nil"/>
              <w:right w:val="nil"/>
            </w:tcBorders>
            <w:shd w:val="clear" w:color="auto" w:fill="FFFFFF"/>
            <w:tcMar>
              <w:top w:w="30" w:type="dxa"/>
              <w:left w:w="60" w:type="dxa"/>
              <w:bottom w:w="30" w:type="dxa"/>
              <w:right w:w="60" w:type="dxa"/>
            </w:tcMar>
            <w:vAlign w:val="top"/>
          </w:tcPr>
          <w:p w14:paraId="01AC0E38">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Low</w:t>
            </w:r>
          </w:p>
        </w:tc>
        <w:tc>
          <w:tcPr>
            <w:tcW w:w="360" w:type="pct"/>
            <w:tcBorders>
              <w:top w:val="nil"/>
              <w:left w:val="nil"/>
              <w:bottom w:val="nil"/>
              <w:right w:val="nil"/>
            </w:tcBorders>
            <w:shd w:val="clear" w:color="auto" w:fill="FFFFFF"/>
            <w:tcMar>
              <w:top w:w="30" w:type="dxa"/>
              <w:left w:w="60" w:type="dxa"/>
              <w:bottom w:w="30" w:type="dxa"/>
              <w:right w:w="60" w:type="dxa"/>
            </w:tcMar>
            <w:vAlign w:val="top"/>
          </w:tcPr>
          <w:p w14:paraId="05B0E5B2">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High</w:t>
            </w:r>
          </w:p>
        </w:tc>
        <w:tc>
          <w:tcPr>
            <w:tcW w:w="359" w:type="pct"/>
            <w:tcBorders>
              <w:top w:val="nil"/>
              <w:left w:val="nil"/>
              <w:bottom w:val="nil"/>
              <w:right w:val="nil"/>
            </w:tcBorders>
            <w:shd w:val="clear" w:color="auto" w:fill="FFFFFF"/>
            <w:tcMar>
              <w:top w:w="30" w:type="dxa"/>
              <w:left w:w="60" w:type="dxa"/>
              <w:bottom w:w="30" w:type="dxa"/>
              <w:right w:w="60" w:type="dxa"/>
            </w:tcMar>
            <w:vAlign w:val="top"/>
          </w:tcPr>
          <w:p w14:paraId="707AB31C">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Low</w:t>
            </w:r>
          </w:p>
        </w:tc>
        <w:tc>
          <w:tcPr>
            <w:tcW w:w="359" w:type="pct"/>
            <w:tcBorders>
              <w:top w:val="nil"/>
              <w:left w:val="nil"/>
              <w:bottom w:val="nil"/>
              <w:right w:val="nil"/>
            </w:tcBorders>
            <w:shd w:val="clear" w:color="auto" w:fill="FFFFFF"/>
            <w:tcMar>
              <w:top w:w="30" w:type="dxa"/>
              <w:left w:w="60" w:type="dxa"/>
              <w:bottom w:w="30" w:type="dxa"/>
              <w:right w:w="60" w:type="dxa"/>
            </w:tcMar>
            <w:vAlign w:val="top"/>
          </w:tcPr>
          <w:p w14:paraId="51B68D21">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High</w:t>
            </w:r>
          </w:p>
        </w:tc>
        <w:tc>
          <w:tcPr>
            <w:tcW w:w="359" w:type="pct"/>
            <w:tcBorders>
              <w:top w:val="nil"/>
              <w:left w:val="nil"/>
              <w:bottom w:val="nil"/>
              <w:right w:val="nil"/>
            </w:tcBorders>
            <w:shd w:val="clear" w:color="auto" w:fill="FFFFFF"/>
            <w:tcMar>
              <w:top w:w="30" w:type="dxa"/>
              <w:left w:w="60" w:type="dxa"/>
              <w:bottom w:w="30" w:type="dxa"/>
              <w:right w:w="60" w:type="dxa"/>
            </w:tcMar>
            <w:vAlign w:val="top"/>
          </w:tcPr>
          <w:p w14:paraId="7DF7F734">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Low</w:t>
            </w:r>
          </w:p>
        </w:tc>
        <w:tc>
          <w:tcPr>
            <w:tcW w:w="478" w:type="pct"/>
            <w:tcBorders>
              <w:top w:val="nil"/>
              <w:left w:val="nil"/>
              <w:bottom w:val="nil"/>
              <w:right w:val="nil"/>
            </w:tcBorders>
            <w:shd w:val="clear" w:color="auto" w:fill="FFFFFF"/>
            <w:tcMar>
              <w:top w:w="30" w:type="dxa"/>
              <w:left w:w="60" w:type="dxa"/>
              <w:bottom w:w="30" w:type="dxa"/>
              <w:right w:w="60" w:type="dxa"/>
            </w:tcMar>
            <w:vAlign w:val="top"/>
          </w:tcPr>
          <w:p w14:paraId="24FDC4F9">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High</w:t>
            </w:r>
          </w:p>
        </w:tc>
        <w:tc>
          <w:tcPr>
            <w:tcW w:w="478" w:type="pct"/>
            <w:tcBorders>
              <w:top w:val="nil"/>
              <w:left w:val="nil"/>
              <w:bottom w:val="nil"/>
              <w:right w:val="nil"/>
            </w:tcBorders>
            <w:shd w:val="clear" w:color="auto" w:fill="FFFFFF"/>
            <w:tcMar>
              <w:top w:w="30" w:type="dxa"/>
              <w:left w:w="60" w:type="dxa"/>
              <w:bottom w:w="30" w:type="dxa"/>
              <w:right w:w="60" w:type="dxa"/>
            </w:tcMar>
            <w:vAlign w:val="top"/>
          </w:tcPr>
          <w:p w14:paraId="7AA0B857">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High</w:t>
            </w:r>
          </w:p>
        </w:tc>
      </w:tr>
      <w:tr w14:paraId="43C97D61">
        <w:tc>
          <w:tcPr>
            <w:tcW w:w="539" w:type="pct"/>
            <w:tcBorders>
              <w:top w:val="nil"/>
              <w:left w:val="nil"/>
              <w:bottom w:val="nil"/>
              <w:right w:val="nil"/>
            </w:tcBorders>
            <w:shd w:val="clear" w:color="auto" w:fill="FFFFFF"/>
            <w:tcMar>
              <w:top w:w="30" w:type="dxa"/>
              <w:left w:w="60" w:type="dxa"/>
              <w:bottom w:w="30" w:type="dxa"/>
              <w:right w:w="60" w:type="dxa"/>
            </w:tcMar>
            <w:vAlign w:val="top"/>
          </w:tcPr>
          <w:p w14:paraId="00D1D73C">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Ortega P</w:t>
            </w:r>
          </w:p>
        </w:tc>
        <w:tc>
          <w:tcPr>
            <w:tcW w:w="230" w:type="pct"/>
            <w:tcBorders>
              <w:top w:val="nil"/>
              <w:left w:val="nil"/>
              <w:bottom w:val="nil"/>
              <w:right w:val="nil"/>
            </w:tcBorders>
            <w:shd w:val="clear" w:color="auto" w:fill="FFFFFF"/>
            <w:tcMar>
              <w:top w:w="30" w:type="dxa"/>
              <w:left w:w="60" w:type="dxa"/>
              <w:bottom w:w="30" w:type="dxa"/>
              <w:right w:w="60" w:type="dxa"/>
            </w:tcMar>
            <w:vAlign w:val="top"/>
          </w:tcPr>
          <w:p w14:paraId="0523B4BF">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2021</w:t>
            </w:r>
          </w:p>
        </w:tc>
        <w:tc>
          <w:tcPr>
            <w:tcW w:w="755" w:type="pct"/>
            <w:tcBorders>
              <w:top w:val="nil"/>
              <w:left w:val="nil"/>
              <w:bottom w:val="nil"/>
              <w:right w:val="nil"/>
            </w:tcBorders>
            <w:shd w:val="clear" w:color="auto" w:fill="FFFFFF"/>
            <w:tcMar>
              <w:top w:w="30" w:type="dxa"/>
              <w:left w:w="60" w:type="dxa"/>
              <w:bottom w:w="30" w:type="dxa"/>
              <w:right w:w="60" w:type="dxa"/>
            </w:tcMar>
            <w:vAlign w:val="top"/>
          </w:tcPr>
          <w:p w14:paraId="72D5BC44">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J Neural Engineering</w:t>
            </w:r>
          </w:p>
        </w:tc>
        <w:tc>
          <w:tcPr>
            <w:tcW w:w="359" w:type="pct"/>
            <w:tcBorders>
              <w:top w:val="nil"/>
              <w:left w:val="nil"/>
              <w:bottom w:val="nil"/>
              <w:right w:val="nil"/>
            </w:tcBorders>
            <w:shd w:val="clear" w:color="auto" w:fill="FFFFFF"/>
            <w:tcMar>
              <w:top w:w="30" w:type="dxa"/>
              <w:left w:w="60" w:type="dxa"/>
              <w:bottom w:w="30" w:type="dxa"/>
              <w:right w:w="60" w:type="dxa"/>
            </w:tcMar>
            <w:vAlign w:val="top"/>
          </w:tcPr>
          <w:p w14:paraId="113B41F1">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High</w:t>
            </w:r>
          </w:p>
        </w:tc>
        <w:tc>
          <w:tcPr>
            <w:tcW w:w="359" w:type="pct"/>
            <w:tcBorders>
              <w:top w:val="nil"/>
              <w:left w:val="nil"/>
              <w:bottom w:val="nil"/>
              <w:right w:val="nil"/>
            </w:tcBorders>
            <w:shd w:val="clear" w:color="auto" w:fill="FFFFFF"/>
            <w:tcMar>
              <w:top w:w="30" w:type="dxa"/>
              <w:left w:w="60" w:type="dxa"/>
              <w:bottom w:w="30" w:type="dxa"/>
              <w:right w:w="60" w:type="dxa"/>
            </w:tcMar>
            <w:vAlign w:val="top"/>
          </w:tcPr>
          <w:p w14:paraId="34505E59">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Low</w:t>
            </w:r>
          </w:p>
        </w:tc>
        <w:tc>
          <w:tcPr>
            <w:tcW w:w="359" w:type="pct"/>
            <w:tcBorders>
              <w:top w:val="nil"/>
              <w:left w:val="nil"/>
              <w:bottom w:val="nil"/>
              <w:right w:val="nil"/>
            </w:tcBorders>
            <w:shd w:val="clear" w:color="auto" w:fill="FFFFFF"/>
            <w:tcMar>
              <w:top w:w="30" w:type="dxa"/>
              <w:left w:w="60" w:type="dxa"/>
              <w:bottom w:w="30" w:type="dxa"/>
              <w:right w:w="60" w:type="dxa"/>
            </w:tcMar>
            <w:vAlign w:val="top"/>
          </w:tcPr>
          <w:p w14:paraId="23063B55">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Low</w:t>
            </w:r>
          </w:p>
        </w:tc>
        <w:tc>
          <w:tcPr>
            <w:tcW w:w="360" w:type="pct"/>
            <w:tcBorders>
              <w:top w:val="nil"/>
              <w:left w:val="nil"/>
              <w:bottom w:val="nil"/>
              <w:right w:val="nil"/>
            </w:tcBorders>
            <w:shd w:val="clear" w:color="auto" w:fill="FFFFFF"/>
            <w:tcMar>
              <w:top w:w="30" w:type="dxa"/>
              <w:left w:w="60" w:type="dxa"/>
              <w:bottom w:w="30" w:type="dxa"/>
              <w:right w:w="60" w:type="dxa"/>
            </w:tcMar>
            <w:vAlign w:val="top"/>
          </w:tcPr>
          <w:p w14:paraId="7ABD5577">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High</w:t>
            </w:r>
          </w:p>
        </w:tc>
        <w:tc>
          <w:tcPr>
            <w:tcW w:w="359" w:type="pct"/>
            <w:tcBorders>
              <w:top w:val="nil"/>
              <w:left w:val="nil"/>
              <w:bottom w:val="nil"/>
              <w:right w:val="nil"/>
            </w:tcBorders>
            <w:shd w:val="clear" w:color="auto" w:fill="FFFFFF"/>
            <w:tcMar>
              <w:top w:w="30" w:type="dxa"/>
              <w:left w:w="60" w:type="dxa"/>
              <w:bottom w:w="30" w:type="dxa"/>
              <w:right w:w="60" w:type="dxa"/>
            </w:tcMar>
            <w:vAlign w:val="top"/>
          </w:tcPr>
          <w:p w14:paraId="45368C79">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High</w:t>
            </w:r>
          </w:p>
        </w:tc>
        <w:tc>
          <w:tcPr>
            <w:tcW w:w="359" w:type="pct"/>
            <w:tcBorders>
              <w:top w:val="nil"/>
              <w:left w:val="nil"/>
              <w:bottom w:val="nil"/>
              <w:right w:val="nil"/>
            </w:tcBorders>
            <w:shd w:val="clear" w:color="auto" w:fill="FFFFFF"/>
            <w:tcMar>
              <w:top w:w="30" w:type="dxa"/>
              <w:left w:w="60" w:type="dxa"/>
              <w:bottom w:w="30" w:type="dxa"/>
              <w:right w:w="60" w:type="dxa"/>
            </w:tcMar>
            <w:vAlign w:val="top"/>
          </w:tcPr>
          <w:p w14:paraId="7618DCCC">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High</w:t>
            </w:r>
          </w:p>
        </w:tc>
        <w:tc>
          <w:tcPr>
            <w:tcW w:w="359" w:type="pct"/>
            <w:tcBorders>
              <w:top w:val="nil"/>
              <w:left w:val="nil"/>
              <w:bottom w:val="nil"/>
              <w:right w:val="nil"/>
            </w:tcBorders>
            <w:shd w:val="clear" w:color="auto" w:fill="FFFFFF"/>
            <w:tcMar>
              <w:top w:w="30" w:type="dxa"/>
              <w:left w:w="60" w:type="dxa"/>
              <w:bottom w:w="30" w:type="dxa"/>
              <w:right w:w="60" w:type="dxa"/>
            </w:tcMar>
            <w:vAlign w:val="top"/>
          </w:tcPr>
          <w:p w14:paraId="29F1ABD2">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Low</w:t>
            </w:r>
          </w:p>
        </w:tc>
        <w:tc>
          <w:tcPr>
            <w:tcW w:w="478" w:type="pct"/>
            <w:tcBorders>
              <w:top w:val="nil"/>
              <w:left w:val="nil"/>
              <w:bottom w:val="nil"/>
              <w:right w:val="nil"/>
            </w:tcBorders>
            <w:shd w:val="clear" w:color="auto" w:fill="FFFFFF"/>
            <w:tcMar>
              <w:top w:w="30" w:type="dxa"/>
              <w:left w:w="60" w:type="dxa"/>
              <w:bottom w:w="30" w:type="dxa"/>
              <w:right w:w="60" w:type="dxa"/>
            </w:tcMar>
            <w:vAlign w:val="top"/>
          </w:tcPr>
          <w:p w14:paraId="6C1FAA0B">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High</w:t>
            </w:r>
          </w:p>
        </w:tc>
        <w:tc>
          <w:tcPr>
            <w:tcW w:w="478" w:type="pct"/>
            <w:tcBorders>
              <w:top w:val="nil"/>
              <w:left w:val="nil"/>
              <w:bottom w:val="nil"/>
              <w:right w:val="nil"/>
            </w:tcBorders>
            <w:shd w:val="clear" w:color="auto" w:fill="FFFFFF"/>
            <w:tcMar>
              <w:top w:w="30" w:type="dxa"/>
              <w:left w:w="60" w:type="dxa"/>
              <w:bottom w:w="30" w:type="dxa"/>
              <w:right w:w="60" w:type="dxa"/>
            </w:tcMar>
            <w:vAlign w:val="top"/>
          </w:tcPr>
          <w:p w14:paraId="451C95EA">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High</w:t>
            </w:r>
          </w:p>
        </w:tc>
      </w:tr>
      <w:tr w14:paraId="71AA2012">
        <w:tc>
          <w:tcPr>
            <w:tcW w:w="539" w:type="pct"/>
            <w:tcBorders>
              <w:top w:val="nil"/>
              <w:left w:val="nil"/>
              <w:bottom w:val="nil"/>
              <w:right w:val="nil"/>
            </w:tcBorders>
            <w:shd w:val="clear" w:color="auto" w:fill="FFFFFF"/>
            <w:tcMar>
              <w:top w:w="30" w:type="dxa"/>
              <w:left w:w="60" w:type="dxa"/>
              <w:bottom w:w="30" w:type="dxa"/>
              <w:right w:w="60" w:type="dxa"/>
            </w:tcMar>
            <w:vAlign w:val="top"/>
          </w:tcPr>
          <w:p w14:paraId="273D5AA6">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Syed AU</w:t>
            </w:r>
          </w:p>
        </w:tc>
        <w:tc>
          <w:tcPr>
            <w:tcW w:w="230" w:type="pct"/>
            <w:tcBorders>
              <w:top w:val="nil"/>
              <w:left w:val="nil"/>
              <w:bottom w:val="nil"/>
              <w:right w:val="nil"/>
            </w:tcBorders>
            <w:shd w:val="clear" w:color="auto" w:fill="FFFFFF"/>
            <w:tcMar>
              <w:top w:w="30" w:type="dxa"/>
              <w:left w:w="60" w:type="dxa"/>
              <w:bottom w:w="30" w:type="dxa"/>
              <w:right w:w="60" w:type="dxa"/>
            </w:tcMar>
            <w:vAlign w:val="top"/>
          </w:tcPr>
          <w:p w14:paraId="7C677B0D">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2023</w:t>
            </w:r>
          </w:p>
        </w:tc>
        <w:tc>
          <w:tcPr>
            <w:tcW w:w="755" w:type="pct"/>
            <w:tcBorders>
              <w:top w:val="nil"/>
              <w:left w:val="nil"/>
              <w:bottom w:val="nil"/>
              <w:right w:val="nil"/>
            </w:tcBorders>
            <w:shd w:val="clear" w:color="auto" w:fill="FFFFFF"/>
            <w:tcMar>
              <w:top w:w="30" w:type="dxa"/>
              <w:left w:w="60" w:type="dxa"/>
              <w:bottom w:w="30" w:type="dxa"/>
              <w:right w:w="60" w:type="dxa"/>
            </w:tcMar>
            <w:vAlign w:val="top"/>
          </w:tcPr>
          <w:p w14:paraId="2C884C04">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Frontiers in Neurorobotics</w:t>
            </w:r>
          </w:p>
        </w:tc>
        <w:tc>
          <w:tcPr>
            <w:tcW w:w="359" w:type="pct"/>
            <w:tcBorders>
              <w:top w:val="nil"/>
              <w:left w:val="nil"/>
              <w:bottom w:val="nil"/>
              <w:right w:val="nil"/>
            </w:tcBorders>
            <w:shd w:val="clear" w:color="auto" w:fill="FFFFFF"/>
            <w:tcMar>
              <w:top w:w="30" w:type="dxa"/>
              <w:left w:w="60" w:type="dxa"/>
              <w:bottom w:w="30" w:type="dxa"/>
              <w:right w:w="60" w:type="dxa"/>
            </w:tcMar>
            <w:vAlign w:val="top"/>
          </w:tcPr>
          <w:p w14:paraId="05532B3D">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Low</w:t>
            </w:r>
          </w:p>
        </w:tc>
        <w:tc>
          <w:tcPr>
            <w:tcW w:w="359" w:type="pct"/>
            <w:tcBorders>
              <w:top w:val="nil"/>
              <w:left w:val="nil"/>
              <w:bottom w:val="nil"/>
              <w:right w:val="nil"/>
            </w:tcBorders>
            <w:shd w:val="clear" w:color="auto" w:fill="FFFFFF"/>
            <w:tcMar>
              <w:top w:w="30" w:type="dxa"/>
              <w:left w:w="60" w:type="dxa"/>
              <w:bottom w:w="30" w:type="dxa"/>
              <w:right w:w="60" w:type="dxa"/>
            </w:tcMar>
            <w:vAlign w:val="top"/>
          </w:tcPr>
          <w:p w14:paraId="60E64791">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Low</w:t>
            </w:r>
          </w:p>
        </w:tc>
        <w:tc>
          <w:tcPr>
            <w:tcW w:w="359" w:type="pct"/>
            <w:tcBorders>
              <w:top w:val="nil"/>
              <w:left w:val="nil"/>
              <w:bottom w:val="nil"/>
              <w:right w:val="nil"/>
            </w:tcBorders>
            <w:shd w:val="clear" w:color="auto" w:fill="FFFFFF"/>
            <w:tcMar>
              <w:top w:w="30" w:type="dxa"/>
              <w:left w:w="60" w:type="dxa"/>
              <w:bottom w:w="30" w:type="dxa"/>
              <w:right w:w="60" w:type="dxa"/>
            </w:tcMar>
            <w:vAlign w:val="top"/>
          </w:tcPr>
          <w:p w14:paraId="0D9A7AB0">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Low</w:t>
            </w:r>
          </w:p>
        </w:tc>
        <w:tc>
          <w:tcPr>
            <w:tcW w:w="360" w:type="pct"/>
            <w:tcBorders>
              <w:top w:val="nil"/>
              <w:left w:val="nil"/>
              <w:bottom w:val="nil"/>
              <w:right w:val="nil"/>
            </w:tcBorders>
            <w:shd w:val="clear" w:color="auto" w:fill="FFFFFF"/>
            <w:tcMar>
              <w:top w:w="30" w:type="dxa"/>
              <w:left w:w="60" w:type="dxa"/>
              <w:bottom w:w="30" w:type="dxa"/>
              <w:right w:w="60" w:type="dxa"/>
            </w:tcMar>
            <w:vAlign w:val="top"/>
          </w:tcPr>
          <w:p w14:paraId="52F904E0">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High</w:t>
            </w:r>
          </w:p>
        </w:tc>
        <w:tc>
          <w:tcPr>
            <w:tcW w:w="359" w:type="pct"/>
            <w:tcBorders>
              <w:top w:val="nil"/>
              <w:left w:val="nil"/>
              <w:bottom w:val="nil"/>
              <w:right w:val="nil"/>
            </w:tcBorders>
            <w:shd w:val="clear" w:color="auto" w:fill="FFFFFF"/>
            <w:tcMar>
              <w:top w:w="30" w:type="dxa"/>
              <w:left w:w="60" w:type="dxa"/>
              <w:bottom w:w="30" w:type="dxa"/>
              <w:right w:w="60" w:type="dxa"/>
            </w:tcMar>
            <w:vAlign w:val="top"/>
          </w:tcPr>
          <w:p w14:paraId="3A0DBF1B">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Low</w:t>
            </w:r>
          </w:p>
        </w:tc>
        <w:tc>
          <w:tcPr>
            <w:tcW w:w="359" w:type="pct"/>
            <w:tcBorders>
              <w:top w:val="nil"/>
              <w:left w:val="nil"/>
              <w:bottom w:val="nil"/>
              <w:right w:val="nil"/>
            </w:tcBorders>
            <w:shd w:val="clear" w:color="auto" w:fill="FFFFFF"/>
            <w:tcMar>
              <w:top w:w="30" w:type="dxa"/>
              <w:left w:w="60" w:type="dxa"/>
              <w:bottom w:w="30" w:type="dxa"/>
              <w:right w:w="60" w:type="dxa"/>
            </w:tcMar>
            <w:vAlign w:val="top"/>
          </w:tcPr>
          <w:p w14:paraId="184DF02E">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High</w:t>
            </w:r>
          </w:p>
        </w:tc>
        <w:tc>
          <w:tcPr>
            <w:tcW w:w="359" w:type="pct"/>
            <w:tcBorders>
              <w:top w:val="nil"/>
              <w:left w:val="nil"/>
              <w:bottom w:val="nil"/>
              <w:right w:val="nil"/>
            </w:tcBorders>
            <w:shd w:val="clear" w:color="auto" w:fill="FFFFFF"/>
            <w:tcMar>
              <w:top w:w="30" w:type="dxa"/>
              <w:left w:w="60" w:type="dxa"/>
              <w:bottom w:w="30" w:type="dxa"/>
              <w:right w:w="60" w:type="dxa"/>
            </w:tcMar>
            <w:vAlign w:val="top"/>
          </w:tcPr>
          <w:p w14:paraId="6229C097">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Low</w:t>
            </w:r>
          </w:p>
        </w:tc>
        <w:tc>
          <w:tcPr>
            <w:tcW w:w="478" w:type="pct"/>
            <w:tcBorders>
              <w:top w:val="nil"/>
              <w:left w:val="nil"/>
              <w:bottom w:val="nil"/>
              <w:right w:val="nil"/>
            </w:tcBorders>
            <w:shd w:val="clear" w:color="auto" w:fill="FFFFFF"/>
            <w:tcMar>
              <w:top w:w="30" w:type="dxa"/>
              <w:left w:w="60" w:type="dxa"/>
              <w:bottom w:w="30" w:type="dxa"/>
              <w:right w:w="60" w:type="dxa"/>
            </w:tcMar>
            <w:vAlign w:val="top"/>
          </w:tcPr>
          <w:p w14:paraId="474BF4A7">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High</w:t>
            </w:r>
          </w:p>
        </w:tc>
        <w:tc>
          <w:tcPr>
            <w:tcW w:w="478" w:type="pct"/>
            <w:tcBorders>
              <w:top w:val="nil"/>
              <w:left w:val="nil"/>
              <w:bottom w:val="nil"/>
              <w:right w:val="nil"/>
            </w:tcBorders>
            <w:shd w:val="clear" w:color="auto" w:fill="FFFFFF"/>
            <w:tcMar>
              <w:top w:w="30" w:type="dxa"/>
              <w:left w:w="60" w:type="dxa"/>
              <w:bottom w:w="30" w:type="dxa"/>
              <w:right w:w="60" w:type="dxa"/>
            </w:tcMar>
            <w:vAlign w:val="top"/>
          </w:tcPr>
          <w:p w14:paraId="2284D639">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High</w:t>
            </w:r>
          </w:p>
        </w:tc>
      </w:tr>
      <w:tr w14:paraId="13BD3A64">
        <w:tc>
          <w:tcPr>
            <w:tcW w:w="539" w:type="pct"/>
            <w:tcBorders>
              <w:top w:val="nil"/>
              <w:left w:val="nil"/>
              <w:bottom w:val="nil"/>
              <w:right w:val="nil"/>
            </w:tcBorders>
            <w:shd w:val="clear" w:color="auto" w:fill="FFFFFF"/>
            <w:tcMar>
              <w:top w:w="30" w:type="dxa"/>
              <w:left w:w="60" w:type="dxa"/>
              <w:bottom w:w="30" w:type="dxa"/>
              <w:right w:w="60" w:type="dxa"/>
            </w:tcMar>
            <w:vAlign w:val="top"/>
          </w:tcPr>
          <w:p w14:paraId="3F72A123">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Li C</w:t>
            </w:r>
          </w:p>
        </w:tc>
        <w:tc>
          <w:tcPr>
            <w:tcW w:w="230" w:type="pct"/>
            <w:tcBorders>
              <w:top w:val="nil"/>
              <w:left w:val="nil"/>
              <w:bottom w:val="nil"/>
              <w:right w:val="nil"/>
            </w:tcBorders>
            <w:shd w:val="clear" w:color="auto" w:fill="FFFFFF"/>
            <w:tcMar>
              <w:top w:w="30" w:type="dxa"/>
              <w:left w:w="60" w:type="dxa"/>
              <w:bottom w:w="30" w:type="dxa"/>
              <w:right w:w="60" w:type="dxa"/>
            </w:tcMar>
            <w:vAlign w:val="top"/>
          </w:tcPr>
          <w:p w14:paraId="50FBD001">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2020</w:t>
            </w:r>
          </w:p>
        </w:tc>
        <w:tc>
          <w:tcPr>
            <w:tcW w:w="755" w:type="pct"/>
            <w:tcBorders>
              <w:top w:val="nil"/>
              <w:left w:val="nil"/>
              <w:bottom w:val="nil"/>
              <w:right w:val="nil"/>
            </w:tcBorders>
            <w:shd w:val="clear" w:color="auto" w:fill="FFFFFF"/>
            <w:tcMar>
              <w:top w:w="30" w:type="dxa"/>
              <w:left w:w="60" w:type="dxa"/>
              <w:bottom w:w="30" w:type="dxa"/>
              <w:right w:w="60" w:type="dxa"/>
            </w:tcMar>
            <w:vAlign w:val="top"/>
          </w:tcPr>
          <w:p w14:paraId="09B8D60A">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Med Biol Eng Comput</w:t>
            </w:r>
          </w:p>
        </w:tc>
        <w:tc>
          <w:tcPr>
            <w:tcW w:w="359" w:type="pct"/>
            <w:tcBorders>
              <w:top w:val="nil"/>
              <w:left w:val="nil"/>
              <w:bottom w:val="nil"/>
              <w:right w:val="nil"/>
            </w:tcBorders>
            <w:shd w:val="clear" w:color="auto" w:fill="FFFFFF"/>
            <w:tcMar>
              <w:top w:w="30" w:type="dxa"/>
              <w:left w:w="60" w:type="dxa"/>
              <w:bottom w:w="30" w:type="dxa"/>
              <w:right w:w="60" w:type="dxa"/>
            </w:tcMar>
            <w:vAlign w:val="top"/>
          </w:tcPr>
          <w:p w14:paraId="686D3F14">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High</w:t>
            </w:r>
          </w:p>
        </w:tc>
        <w:tc>
          <w:tcPr>
            <w:tcW w:w="359" w:type="pct"/>
            <w:tcBorders>
              <w:top w:val="nil"/>
              <w:left w:val="nil"/>
              <w:bottom w:val="nil"/>
              <w:right w:val="nil"/>
            </w:tcBorders>
            <w:shd w:val="clear" w:color="auto" w:fill="FFFFFF"/>
            <w:tcMar>
              <w:top w:w="30" w:type="dxa"/>
              <w:left w:w="60" w:type="dxa"/>
              <w:bottom w:w="30" w:type="dxa"/>
              <w:right w:w="60" w:type="dxa"/>
            </w:tcMar>
            <w:vAlign w:val="top"/>
          </w:tcPr>
          <w:p w14:paraId="2ECC311D">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Low</w:t>
            </w:r>
          </w:p>
        </w:tc>
        <w:tc>
          <w:tcPr>
            <w:tcW w:w="359" w:type="pct"/>
            <w:tcBorders>
              <w:top w:val="nil"/>
              <w:left w:val="nil"/>
              <w:bottom w:val="nil"/>
              <w:right w:val="nil"/>
            </w:tcBorders>
            <w:shd w:val="clear" w:color="auto" w:fill="FFFFFF"/>
            <w:tcMar>
              <w:top w:w="30" w:type="dxa"/>
              <w:left w:w="60" w:type="dxa"/>
              <w:bottom w:w="30" w:type="dxa"/>
              <w:right w:w="60" w:type="dxa"/>
            </w:tcMar>
            <w:vAlign w:val="top"/>
          </w:tcPr>
          <w:p w14:paraId="0D347B0A">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Low</w:t>
            </w:r>
          </w:p>
        </w:tc>
        <w:tc>
          <w:tcPr>
            <w:tcW w:w="360" w:type="pct"/>
            <w:tcBorders>
              <w:top w:val="nil"/>
              <w:left w:val="nil"/>
              <w:bottom w:val="nil"/>
              <w:right w:val="nil"/>
            </w:tcBorders>
            <w:shd w:val="clear" w:color="auto" w:fill="FFFFFF"/>
            <w:tcMar>
              <w:top w:w="30" w:type="dxa"/>
              <w:left w:w="60" w:type="dxa"/>
              <w:bottom w:w="30" w:type="dxa"/>
              <w:right w:w="60" w:type="dxa"/>
            </w:tcMar>
            <w:vAlign w:val="top"/>
          </w:tcPr>
          <w:p w14:paraId="1F6973B8">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High</w:t>
            </w:r>
          </w:p>
        </w:tc>
        <w:tc>
          <w:tcPr>
            <w:tcW w:w="359" w:type="pct"/>
            <w:tcBorders>
              <w:top w:val="nil"/>
              <w:left w:val="nil"/>
              <w:bottom w:val="nil"/>
              <w:right w:val="nil"/>
            </w:tcBorders>
            <w:shd w:val="clear" w:color="auto" w:fill="FFFFFF"/>
            <w:tcMar>
              <w:top w:w="30" w:type="dxa"/>
              <w:left w:w="60" w:type="dxa"/>
              <w:bottom w:w="30" w:type="dxa"/>
              <w:right w:w="60" w:type="dxa"/>
            </w:tcMar>
            <w:vAlign w:val="top"/>
          </w:tcPr>
          <w:p w14:paraId="53A935FD">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High</w:t>
            </w:r>
          </w:p>
        </w:tc>
        <w:tc>
          <w:tcPr>
            <w:tcW w:w="359" w:type="pct"/>
            <w:tcBorders>
              <w:top w:val="nil"/>
              <w:left w:val="nil"/>
              <w:bottom w:val="nil"/>
              <w:right w:val="nil"/>
            </w:tcBorders>
            <w:shd w:val="clear" w:color="auto" w:fill="FFFFFF"/>
            <w:tcMar>
              <w:top w:w="30" w:type="dxa"/>
              <w:left w:w="60" w:type="dxa"/>
              <w:bottom w:w="30" w:type="dxa"/>
              <w:right w:w="60" w:type="dxa"/>
            </w:tcMar>
            <w:vAlign w:val="top"/>
          </w:tcPr>
          <w:p w14:paraId="79AE4591">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High</w:t>
            </w:r>
          </w:p>
        </w:tc>
        <w:tc>
          <w:tcPr>
            <w:tcW w:w="359" w:type="pct"/>
            <w:tcBorders>
              <w:top w:val="nil"/>
              <w:left w:val="nil"/>
              <w:bottom w:val="nil"/>
              <w:right w:val="nil"/>
            </w:tcBorders>
            <w:shd w:val="clear" w:color="auto" w:fill="FFFFFF"/>
            <w:tcMar>
              <w:top w:w="30" w:type="dxa"/>
              <w:left w:w="60" w:type="dxa"/>
              <w:bottom w:w="30" w:type="dxa"/>
              <w:right w:w="60" w:type="dxa"/>
            </w:tcMar>
            <w:vAlign w:val="top"/>
          </w:tcPr>
          <w:p w14:paraId="36C81290">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Low</w:t>
            </w:r>
          </w:p>
        </w:tc>
        <w:tc>
          <w:tcPr>
            <w:tcW w:w="478" w:type="pct"/>
            <w:tcBorders>
              <w:top w:val="nil"/>
              <w:left w:val="nil"/>
              <w:bottom w:val="nil"/>
              <w:right w:val="nil"/>
            </w:tcBorders>
            <w:shd w:val="clear" w:color="auto" w:fill="FFFFFF"/>
            <w:tcMar>
              <w:top w:w="30" w:type="dxa"/>
              <w:left w:w="60" w:type="dxa"/>
              <w:bottom w:w="30" w:type="dxa"/>
              <w:right w:w="60" w:type="dxa"/>
            </w:tcMar>
            <w:vAlign w:val="top"/>
          </w:tcPr>
          <w:p w14:paraId="413F972E">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High</w:t>
            </w:r>
          </w:p>
        </w:tc>
        <w:tc>
          <w:tcPr>
            <w:tcW w:w="478" w:type="pct"/>
            <w:tcBorders>
              <w:top w:val="nil"/>
              <w:left w:val="nil"/>
              <w:bottom w:val="nil"/>
              <w:right w:val="nil"/>
            </w:tcBorders>
            <w:shd w:val="clear" w:color="auto" w:fill="FFFFFF"/>
            <w:tcMar>
              <w:top w:w="30" w:type="dxa"/>
              <w:left w:w="60" w:type="dxa"/>
              <w:bottom w:w="30" w:type="dxa"/>
              <w:right w:w="60" w:type="dxa"/>
            </w:tcMar>
            <w:vAlign w:val="top"/>
          </w:tcPr>
          <w:p w14:paraId="20EBCD0F">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High</w:t>
            </w:r>
          </w:p>
        </w:tc>
      </w:tr>
      <w:tr w14:paraId="3A2E15BB">
        <w:tc>
          <w:tcPr>
            <w:tcW w:w="539" w:type="pct"/>
            <w:tcBorders>
              <w:top w:val="nil"/>
              <w:left w:val="nil"/>
              <w:bottom w:val="nil"/>
              <w:right w:val="nil"/>
            </w:tcBorders>
            <w:shd w:val="clear" w:color="auto" w:fill="FFFFFF"/>
            <w:tcMar>
              <w:top w:w="30" w:type="dxa"/>
              <w:left w:w="60" w:type="dxa"/>
              <w:bottom w:w="30" w:type="dxa"/>
              <w:right w:w="60" w:type="dxa"/>
            </w:tcMar>
            <w:vAlign w:val="top"/>
          </w:tcPr>
          <w:p w14:paraId="0371D45D">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Zimmermann R</w:t>
            </w:r>
          </w:p>
        </w:tc>
        <w:tc>
          <w:tcPr>
            <w:tcW w:w="230" w:type="pct"/>
            <w:tcBorders>
              <w:top w:val="nil"/>
              <w:left w:val="nil"/>
              <w:bottom w:val="nil"/>
              <w:right w:val="nil"/>
            </w:tcBorders>
            <w:shd w:val="clear" w:color="auto" w:fill="FFFFFF"/>
            <w:tcMar>
              <w:top w:w="30" w:type="dxa"/>
              <w:left w:w="60" w:type="dxa"/>
              <w:bottom w:w="30" w:type="dxa"/>
              <w:right w:w="60" w:type="dxa"/>
            </w:tcMar>
            <w:vAlign w:val="top"/>
          </w:tcPr>
          <w:p w14:paraId="0C172492">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2013</w:t>
            </w:r>
          </w:p>
        </w:tc>
        <w:tc>
          <w:tcPr>
            <w:tcW w:w="755" w:type="pct"/>
            <w:tcBorders>
              <w:top w:val="nil"/>
              <w:left w:val="nil"/>
              <w:bottom w:val="nil"/>
              <w:right w:val="nil"/>
            </w:tcBorders>
            <w:shd w:val="clear" w:color="auto" w:fill="FFFFFF"/>
            <w:tcMar>
              <w:top w:w="30" w:type="dxa"/>
              <w:left w:w="60" w:type="dxa"/>
              <w:bottom w:w="30" w:type="dxa"/>
              <w:right w:w="60" w:type="dxa"/>
            </w:tcMar>
            <w:vAlign w:val="top"/>
          </w:tcPr>
          <w:p w14:paraId="5FA6A4CF">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J NeuroEngineering Rehabil</w:t>
            </w:r>
          </w:p>
        </w:tc>
        <w:tc>
          <w:tcPr>
            <w:tcW w:w="359" w:type="pct"/>
            <w:tcBorders>
              <w:top w:val="nil"/>
              <w:left w:val="nil"/>
              <w:bottom w:val="nil"/>
              <w:right w:val="nil"/>
            </w:tcBorders>
            <w:shd w:val="clear" w:color="auto" w:fill="FFFFFF"/>
            <w:tcMar>
              <w:top w:w="30" w:type="dxa"/>
              <w:left w:w="60" w:type="dxa"/>
              <w:bottom w:w="30" w:type="dxa"/>
              <w:right w:w="60" w:type="dxa"/>
            </w:tcMar>
            <w:vAlign w:val="top"/>
          </w:tcPr>
          <w:p w14:paraId="79E63F25">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High</w:t>
            </w:r>
          </w:p>
        </w:tc>
        <w:tc>
          <w:tcPr>
            <w:tcW w:w="359" w:type="pct"/>
            <w:tcBorders>
              <w:top w:val="nil"/>
              <w:left w:val="nil"/>
              <w:bottom w:val="nil"/>
              <w:right w:val="nil"/>
            </w:tcBorders>
            <w:shd w:val="clear" w:color="auto" w:fill="FFFFFF"/>
            <w:tcMar>
              <w:top w:w="30" w:type="dxa"/>
              <w:left w:w="60" w:type="dxa"/>
              <w:bottom w:w="30" w:type="dxa"/>
              <w:right w:w="60" w:type="dxa"/>
            </w:tcMar>
            <w:vAlign w:val="top"/>
          </w:tcPr>
          <w:p w14:paraId="73F2AE8E">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Low</w:t>
            </w:r>
          </w:p>
        </w:tc>
        <w:tc>
          <w:tcPr>
            <w:tcW w:w="359" w:type="pct"/>
            <w:tcBorders>
              <w:top w:val="nil"/>
              <w:left w:val="nil"/>
              <w:bottom w:val="nil"/>
              <w:right w:val="nil"/>
            </w:tcBorders>
            <w:shd w:val="clear" w:color="auto" w:fill="FFFFFF"/>
            <w:tcMar>
              <w:top w:w="30" w:type="dxa"/>
              <w:left w:w="60" w:type="dxa"/>
              <w:bottom w:w="30" w:type="dxa"/>
              <w:right w:w="60" w:type="dxa"/>
            </w:tcMar>
            <w:vAlign w:val="top"/>
          </w:tcPr>
          <w:p w14:paraId="4172ECCE">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Low</w:t>
            </w:r>
          </w:p>
        </w:tc>
        <w:tc>
          <w:tcPr>
            <w:tcW w:w="360" w:type="pct"/>
            <w:tcBorders>
              <w:top w:val="nil"/>
              <w:left w:val="nil"/>
              <w:bottom w:val="nil"/>
              <w:right w:val="nil"/>
            </w:tcBorders>
            <w:shd w:val="clear" w:color="auto" w:fill="FFFFFF"/>
            <w:tcMar>
              <w:top w:w="30" w:type="dxa"/>
              <w:left w:w="60" w:type="dxa"/>
              <w:bottom w:w="30" w:type="dxa"/>
              <w:right w:w="60" w:type="dxa"/>
            </w:tcMar>
            <w:vAlign w:val="top"/>
          </w:tcPr>
          <w:p w14:paraId="2080663B">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High</w:t>
            </w:r>
          </w:p>
        </w:tc>
        <w:tc>
          <w:tcPr>
            <w:tcW w:w="359" w:type="pct"/>
            <w:tcBorders>
              <w:top w:val="nil"/>
              <w:left w:val="nil"/>
              <w:bottom w:val="nil"/>
              <w:right w:val="nil"/>
            </w:tcBorders>
            <w:shd w:val="clear" w:color="auto" w:fill="FFFFFF"/>
            <w:tcMar>
              <w:top w:w="30" w:type="dxa"/>
              <w:left w:w="60" w:type="dxa"/>
              <w:bottom w:w="30" w:type="dxa"/>
              <w:right w:w="60" w:type="dxa"/>
            </w:tcMar>
            <w:vAlign w:val="top"/>
          </w:tcPr>
          <w:p w14:paraId="54B9C8F0">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High</w:t>
            </w:r>
          </w:p>
        </w:tc>
        <w:tc>
          <w:tcPr>
            <w:tcW w:w="359" w:type="pct"/>
            <w:tcBorders>
              <w:top w:val="nil"/>
              <w:left w:val="nil"/>
              <w:bottom w:val="nil"/>
              <w:right w:val="nil"/>
            </w:tcBorders>
            <w:shd w:val="clear" w:color="auto" w:fill="FFFFFF"/>
            <w:tcMar>
              <w:top w:w="30" w:type="dxa"/>
              <w:left w:w="60" w:type="dxa"/>
              <w:bottom w:w="30" w:type="dxa"/>
              <w:right w:w="60" w:type="dxa"/>
            </w:tcMar>
            <w:vAlign w:val="top"/>
          </w:tcPr>
          <w:p w14:paraId="08B12967">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High</w:t>
            </w:r>
          </w:p>
        </w:tc>
        <w:tc>
          <w:tcPr>
            <w:tcW w:w="359" w:type="pct"/>
            <w:tcBorders>
              <w:top w:val="nil"/>
              <w:left w:val="nil"/>
              <w:bottom w:val="nil"/>
              <w:right w:val="nil"/>
            </w:tcBorders>
            <w:shd w:val="clear" w:color="auto" w:fill="FFFFFF"/>
            <w:tcMar>
              <w:top w:w="30" w:type="dxa"/>
              <w:left w:w="60" w:type="dxa"/>
              <w:bottom w:w="30" w:type="dxa"/>
              <w:right w:w="60" w:type="dxa"/>
            </w:tcMar>
            <w:vAlign w:val="top"/>
          </w:tcPr>
          <w:p w14:paraId="293A7C54">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Low</w:t>
            </w:r>
          </w:p>
        </w:tc>
        <w:tc>
          <w:tcPr>
            <w:tcW w:w="478" w:type="pct"/>
            <w:tcBorders>
              <w:top w:val="nil"/>
              <w:left w:val="nil"/>
              <w:bottom w:val="nil"/>
              <w:right w:val="nil"/>
            </w:tcBorders>
            <w:shd w:val="clear" w:color="auto" w:fill="FFFFFF"/>
            <w:tcMar>
              <w:top w:w="30" w:type="dxa"/>
              <w:left w:w="60" w:type="dxa"/>
              <w:bottom w:w="30" w:type="dxa"/>
              <w:right w:w="60" w:type="dxa"/>
            </w:tcMar>
            <w:vAlign w:val="top"/>
          </w:tcPr>
          <w:p w14:paraId="34401175">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High</w:t>
            </w:r>
          </w:p>
        </w:tc>
        <w:tc>
          <w:tcPr>
            <w:tcW w:w="478" w:type="pct"/>
            <w:tcBorders>
              <w:top w:val="nil"/>
              <w:left w:val="nil"/>
              <w:bottom w:val="nil"/>
              <w:right w:val="nil"/>
            </w:tcBorders>
            <w:shd w:val="clear" w:color="auto" w:fill="FFFFFF"/>
            <w:tcMar>
              <w:top w:w="30" w:type="dxa"/>
              <w:left w:w="60" w:type="dxa"/>
              <w:bottom w:w="30" w:type="dxa"/>
              <w:right w:w="60" w:type="dxa"/>
            </w:tcMar>
            <w:vAlign w:val="top"/>
          </w:tcPr>
          <w:p w14:paraId="01617B01">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High</w:t>
            </w:r>
          </w:p>
        </w:tc>
      </w:tr>
      <w:tr w14:paraId="6B9CF2F4">
        <w:tc>
          <w:tcPr>
            <w:tcW w:w="539" w:type="pct"/>
            <w:tcBorders>
              <w:top w:val="nil"/>
              <w:left w:val="nil"/>
              <w:bottom w:val="nil"/>
              <w:right w:val="nil"/>
            </w:tcBorders>
            <w:shd w:val="clear" w:color="auto" w:fill="FFFFFF"/>
            <w:tcMar>
              <w:top w:w="30" w:type="dxa"/>
              <w:left w:w="60" w:type="dxa"/>
              <w:bottom w:w="30" w:type="dxa"/>
              <w:right w:w="60" w:type="dxa"/>
            </w:tcMar>
            <w:vAlign w:val="top"/>
          </w:tcPr>
          <w:p w14:paraId="411265D1">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Lin J</w:t>
            </w:r>
          </w:p>
        </w:tc>
        <w:tc>
          <w:tcPr>
            <w:tcW w:w="230" w:type="pct"/>
            <w:tcBorders>
              <w:top w:val="nil"/>
              <w:left w:val="nil"/>
              <w:bottom w:val="nil"/>
              <w:right w:val="nil"/>
            </w:tcBorders>
            <w:shd w:val="clear" w:color="auto" w:fill="FFFFFF"/>
            <w:tcMar>
              <w:top w:w="30" w:type="dxa"/>
              <w:left w:w="60" w:type="dxa"/>
              <w:bottom w:w="30" w:type="dxa"/>
              <w:right w:w="60" w:type="dxa"/>
            </w:tcMar>
            <w:vAlign w:val="top"/>
          </w:tcPr>
          <w:p w14:paraId="214122A0">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2026</w:t>
            </w:r>
          </w:p>
        </w:tc>
        <w:tc>
          <w:tcPr>
            <w:tcW w:w="755" w:type="pct"/>
            <w:tcBorders>
              <w:top w:val="nil"/>
              <w:left w:val="nil"/>
              <w:bottom w:val="nil"/>
              <w:right w:val="nil"/>
            </w:tcBorders>
            <w:shd w:val="clear" w:color="auto" w:fill="FFFFFF"/>
            <w:tcMar>
              <w:top w:w="30" w:type="dxa"/>
              <w:left w:w="60" w:type="dxa"/>
              <w:bottom w:w="30" w:type="dxa"/>
              <w:right w:w="60" w:type="dxa"/>
            </w:tcMar>
            <w:vAlign w:val="top"/>
          </w:tcPr>
          <w:p w14:paraId="0F76A31D">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IEEE Trans Biomed Eng</w:t>
            </w:r>
          </w:p>
        </w:tc>
        <w:tc>
          <w:tcPr>
            <w:tcW w:w="359" w:type="pct"/>
            <w:tcBorders>
              <w:top w:val="nil"/>
              <w:left w:val="nil"/>
              <w:bottom w:val="nil"/>
              <w:right w:val="nil"/>
            </w:tcBorders>
            <w:shd w:val="clear" w:color="auto" w:fill="FFFFFF"/>
            <w:tcMar>
              <w:top w:w="30" w:type="dxa"/>
              <w:left w:w="60" w:type="dxa"/>
              <w:bottom w:w="30" w:type="dxa"/>
              <w:right w:w="60" w:type="dxa"/>
            </w:tcMar>
            <w:vAlign w:val="top"/>
          </w:tcPr>
          <w:p w14:paraId="1CB6F940">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Low</w:t>
            </w:r>
          </w:p>
        </w:tc>
        <w:tc>
          <w:tcPr>
            <w:tcW w:w="359" w:type="pct"/>
            <w:tcBorders>
              <w:top w:val="nil"/>
              <w:left w:val="nil"/>
              <w:bottom w:val="nil"/>
              <w:right w:val="nil"/>
            </w:tcBorders>
            <w:shd w:val="clear" w:color="auto" w:fill="FFFFFF"/>
            <w:tcMar>
              <w:top w:w="30" w:type="dxa"/>
              <w:left w:w="60" w:type="dxa"/>
              <w:bottom w:w="30" w:type="dxa"/>
              <w:right w:w="60" w:type="dxa"/>
            </w:tcMar>
            <w:vAlign w:val="top"/>
          </w:tcPr>
          <w:p w14:paraId="4BD8025E">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High</w:t>
            </w:r>
          </w:p>
        </w:tc>
        <w:tc>
          <w:tcPr>
            <w:tcW w:w="359" w:type="pct"/>
            <w:tcBorders>
              <w:top w:val="nil"/>
              <w:left w:val="nil"/>
              <w:bottom w:val="nil"/>
              <w:right w:val="nil"/>
            </w:tcBorders>
            <w:shd w:val="clear" w:color="auto" w:fill="FFFFFF"/>
            <w:tcMar>
              <w:top w:w="30" w:type="dxa"/>
              <w:left w:w="60" w:type="dxa"/>
              <w:bottom w:w="30" w:type="dxa"/>
              <w:right w:w="60" w:type="dxa"/>
            </w:tcMar>
            <w:vAlign w:val="top"/>
          </w:tcPr>
          <w:p w14:paraId="5F831B04">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Low</w:t>
            </w:r>
          </w:p>
        </w:tc>
        <w:tc>
          <w:tcPr>
            <w:tcW w:w="360" w:type="pct"/>
            <w:tcBorders>
              <w:top w:val="nil"/>
              <w:left w:val="nil"/>
              <w:bottom w:val="nil"/>
              <w:right w:val="nil"/>
            </w:tcBorders>
            <w:shd w:val="clear" w:color="auto" w:fill="FFFFFF"/>
            <w:tcMar>
              <w:top w:w="30" w:type="dxa"/>
              <w:left w:w="60" w:type="dxa"/>
              <w:bottom w:w="30" w:type="dxa"/>
              <w:right w:w="60" w:type="dxa"/>
            </w:tcMar>
            <w:vAlign w:val="top"/>
          </w:tcPr>
          <w:p w14:paraId="0D2E16D1">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High</w:t>
            </w:r>
          </w:p>
        </w:tc>
        <w:tc>
          <w:tcPr>
            <w:tcW w:w="359" w:type="pct"/>
            <w:tcBorders>
              <w:top w:val="nil"/>
              <w:left w:val="nil"/>
              <w:bottom w:val="nil"/>
              <w:right w:val="nil"/>
            </w:tcBorders>
            <w:shd w:val="clear" w:color="auto" w:fill="FFFFFF"/>
            <w:tcMar>
              <w:top w:w="30" w:type="dxa"/>
              <w:left w:w="60" w:type="dxa"/>
              <w:bottom w:w="30" w:type="dxa"/>
              <w:right w:w="60" w:type="dxa"/>
            </w:tcMar>
            <w:vAlign w:val="top"/>
          </w:tcPr>
          <w:p w14:paraId="6B4BEA1C">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Low</w:t>
            </w:r>
          </w:p>
        </w:tc>
        <w:tc>
          <w:tcPr>
            <w:tcW w:w="359" w:type="pct"/>
            <w:tcBorders>
              <w:top w:val="nil"/>
              <w:left w:val="nil"/>
              <w:bottom w:val="nil"/>
              <w:right w:val="nil"/>
            </w:tcBorders>
            <w:shd w:val="clear" w:color="auto" w:fill="FFFFFF"/>
            <w:tcMar>
              <w:top w:w="30" w:type="dxa"/>
              <w:left w:w="60" w:type="dxa"/>
              <w:bottom w:w="30" w:type="dxa"/>
              <w:right w:w="60" w:type="dxa"/>
            </w:tcMar>
            <w:vAlign w:val="top"/>
          </w:tcPr>
          <w:p w14:paraId="53757F0B">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High</w:t>
            </w:r>
          </w:p>
        </w:tc>
        <w:tc>
          <w:tcPr>
            <w:tcW w:w="359" w:type="pct"/>
            <w:tcBorders>
              <w:top w:val="nil"/>
              <w:left w:val="nil"/>
              <w:bottom w:val="nil"/>
              <w:right w:val="nil"/>
            </w:tcBorders>
            <w:shd w:val="clear" w:color="auto" w:fill="FFFFFF"/>
            <w:tcMar>
              <w:top w:w="30" w:type="dxa"/>
              <w:left w:w="60" w:type="dxa"/>
              <w:bottom w:w="30" w:type="dxa"/>
              <w:right w:w="60" w:type="dxa"/>
            </w:tcMar>
            <w:vAlign w:val="top"/>
          </w:tcPr>
          <w:p w14:paraId="27C9A37D">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Low</w:t>
            </w:r>
          </w:p>
        </w:tc>
        <w:tc>
          <w:tcPr>
            <w:tcW w:w="478" w:type="pct"/>
            <w:tcBorders>
              <w:top w:val="nil"/>
              <w:left w:val="nil"/>
              <w:bottom w:val="nil"/>
              <w:right w:val="nil"/>
            </w:tcBorders>
            <w:shd w:val="clear" w:color="auto" w:fill="FFFFFF"/>
            <w:tcMar>
              <w:top w:w="30" w:type="dxa"/>
              <w:left w:w="60" w:type="dxa"/>
              <w:bottom w:w="30" w:type="dxa"/>
              <w:right w:w="60" w:type="dxa"/>
            </w:tcMar>
            <w:vAlign w:val="top"/>
          </w:tcPr>
          <w:p w14:paraId="71BCFBD4">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High</w:t>
            </w:r>
          </w:p>
        </w:tc>
        <w:tc>
          <w:tcPr>
            <w:tcW w:w="478" w:type="pct"/>
            <w:tcBorders>
              <w:top w:val="nil"/>
              <w:left w:val="nil"/>
              <w:bottom w:val="nil"/>
              <w:right w:val="nil"/>
            </w:tcBorders>
            <w:shd w:val="clear" w:color="auto" w:fill="FFFFFF"/>
            <w:tcMar>
              <w:top w:w="30" w:type="dxa"/>
              <w:left w:w="60" w:type="dxa"/>
              <w:bottom w:w="30" w:type="dxa"/>
              <w:right w:w="60" w:type="dxa"/>
            </w:tcMar>
            <w:vAlign w:val="top"/>
          </w:tcPr>
          <w:p w14:paraId="5C0701EE">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High</w:t>
            </w:r>
          </w:p>
        </w:tc>
      </w:tr>
      <w:tr w14:paraId="41F5321F">
        <w:tc>
          <w:tcPr>
            <w:tcW w:w="539" w:type="pct"/>
            <w:tcBorders>
              <w:top w:val="nil"/>
              <w:left w:val="nil"/>
              <w:bottom w:val="nil"/>
              <w:right w:val="nil"/>
            </w:tcBorders>
            <w:shd w:val="clear" w:color="auto" w:fill="FFFFFF"/>
            <w:tcMar>
              <w:top w:w="30" w:type="dxa"/>
              <w:left w:w="60" w:type="dxa"/>
              <w:bottom w:w="30" w:type="dxa"/>
              <w:right w:w="60" w:type="dxa"/>
            </w:tcMar>
            <w:vAlign w:val="top"/>
          </w:tcPr>
          <w:p w14:paraId="72DBE983">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Minhas HS</w:t>
            </w:r>
          </w:p>
        </w:tc>
        <w:tc>
          <w:tcPr>
            <w:tcW w:w="230" w:type="pct"/>
            <w:tcBorders>
              <w:top w:val="nil"/>
              <w:left w:val="nil"/>
              <w:bottom w:val="nil"/>
              <w:right w:val="nil"/>
            </w:tcBorders>
            <w:shd w:val="clear" w:color="auto" w:fill="FFFFFF"/>
            <w:tcMar>
              <w:top w:w="30" w:type="dxa"/>
              <w:left w:w="60" w:type="dxa"/>
              <w:bottom w:w="30" w:type="dxa"/>
              <w:right w:w="60" w:type="dxa"/>
            </w:tcMar>
            <w:vAlign w:val="top"/>
          </w:tcPr>
          <w:p w14:paraId="5117F244">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2024</w:t>
            </w:r>
          </w:p>
        </w:tc>
        <w:tc>
          <w:tcPr>
            <w:tcW w:w="755" w:type="pct"/>
            <w:tcBorders>
              <w:top w:val="nil"/>
              <w:left w:val="nil"/>
              <w:bottom w:val="nil"/>
              <w:right w:val="nil"/>
            </w:tcBorders>
            <w:shd w:val="clear" w:color="auto" w:fill="FFFFFF"/>
            <w:tcMar>
              <w:top w:w="30" w:type="dxa"/>
              <w:left w:w="60" w:type="dxa"/>
              <w:bottom w:w="30" w:type="dxa"/>
              <w:right w:w="60" w:type="dxa"/>
            </w:tcMar>
            <w:vAlign w:val="top"/>
          </w:tcPr>
          <w:p w14:paraId="220C4716">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IEEE Access</w:t>
            </w:r>
          </w:p>
        </w:tc>
        <w:tc>
          <w:tcPr>
            <w:tcW w:w="359" w:type="pct"/>
            <w:tcBorders>
              <w:top w:val="nil"/>
              <w:left w:val="nil"/>
              <w:bottom w:val="nil"/>
              <w:right w:val="nil"/>
            </w:tcBorders>
            <w:shd w:val="clear" w:color="auto" w:fill="FFFFFF"/>
            <w:tcMar>
              <w:top w:w="30" w:type="dxa"/>
              <w:left w:w="60" w:type="dxa"/>
              <w:bottom w:w="30" w:type="dxa"/>
              <w:right w:w="60" w:type="dxa"/>
            </w:tcMar>
            <w:vAlign w:val="top"/>
          </w:tcPr>
          <w:p w14:paraId="7DC93E0D">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High</w:t>
            </w:r>
          </w:p>
        </w:tc>
        <w:tc>
          <w:tcPr>
            <w:tcW w:w="359" w:type="pct"/>
            <w:tcBorders>
              <w:top w:val="nil"/>
              <w:left w:val="nil"/>
              <w:bottom w:val="nil"/>
              <w:right w:val="nil"/>
            </w:tcBorders>
            <w:shd w:val="clear" w:color="auto" w:fill="FFFFFF"/>
            <w:tcMar>
              <w:top w:w="30" w:type="dxa"/>
              <w:left w:w="60" w:type="dxa"/>
              <w:bottom w:w="30" w:type="dxa"/>
              <w:right w:w="60" w:type="dxa"/>
            </w:tcMar>
            <w:vAlign w:val="top"/>
          </w:tcPr>
          <w:p w14:paraId="58F10FF6">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Low</w:t>
            </w:r>
          </w:p>
        </w:tc>
        <w:tc>
          <w:tcPr>
            <w:tcW w:w="359" w:type="pct"/>
            <w:tcBorders>
              <w:top w:val="nil"/>
              <w:left w:val="nil"/>
              <w:bottom w:val="nil"/>
              <w:right w:val="nil"/>
            </w:tcBorders>
            <w:shd w:val="clear" w:color="auto" w:fill="FFFFFF"/>
            <w:tcMar>
              <w:top w:w="30" w:type="dxa"/>
              <w:left w:w="60" w:type="dxa"/>
              <w:bottom w:w="30" w:type="dxa"/>
              <w:right w:w="60" w:type="dxa"/>
            </w:tcMar>
            <w:vAlign w:val="top"/>
          </w:tcPr>
          <w:p w14:paraId="29289DBD">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Low</w:t>
            </w:r>
          </w:p>
        </w:tc>
        <w:tc>
          <w:tcPr>
            <w:tcW w:w="360" w:type="pct"/>
            <w:tcBorders>
              <w:top w:val="nil"/>
              <w:left w:val="nil"/>
              <w:bottom w:val="nil"/>
              <w:right w:val="nil"/>
            </w:tcBorders>
            <w:shd w:val="clear" w:color="auto" w:fill="FFFFFF"/>
            <w:tcMar>
              <w:top w:w="30" w:type="dxa"/>
              <w:left w:w="60" w:type="dxa"/>
              <w:bottom w:w="30" w:type="dxa"/>
              <w:right w:w="60" w:type="dxa"/>
            </w:tcMar>
            <w:vAlign w:val="top"/>
          </w:tcPr>
          <w:p w14:paraId="6B7174B5">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High</w:t>
            </w:r>
          </w:p>
        </w:tc>
        <w:tc>
          <w:tcPr>
            <w:tcW w:w="359" w:type="pct"/>
            <w:tcBorders>
              <w:top w:val="nil"/>
              <w:left w:val="nil"/>
              <w:bottom w:val="nil"/>
              <w:right w:val="nil"/>
            </w:tcBorders>
            <w:shd w:val="clear" w:color="auto" w:fill="FFFFFF"/>
            <w:tcMar>
              <w:top w:w="30" w:type="dxa"/>
              <w:left w:w="60" w:type="dxa"/>
              <w:bottom w:w="30" w:type="dxa"/>
              <w:right w:w="60" w:type="dxa"/>
            </w:tcMar>
            <w:vAlign w:val="top"/>
          </w:tcPr>
          <w:p w14:paraId="14CCFE7F">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High</w:t>
            </w:r>
          </w:p>
        </w:tc>
        <w:tc>
          <w:tcPr>
            <w:tcW w:w="359" w:type="pct"/>
            <w:tcBorders>
              <w:top w:val="nil"/>
              <w:left w:val="nil"/>
              <w:bottom w:val="nil"/>
              <w:right w:val="nil"/>
            </w:tcBorders>
            <w:shd w:val="clear" w:color="auto" w:fill="FFFFFF"/>
            <w:tcMar>
              <w:top w:w="30" w:type="dxa"/>
              <w:left w:w="60" w:type="dxa"/>
              <w:bottom w:w="30" w:type="dxa"/>
              <w:right w:w="60" w:type="dxa"/>
            </w:tcMar>
            <w:vAlign w:val="top"/>
          </w:tcPr>
          <w:p w14:paraId="1AD08D44">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High</w:t>
            </w:r>
          </w:p>
        </w:tc>
        <w:tc>
          <w:tcPr>
            <w:tcW w:w="359" w:type="pct"/>
            <w:tcBorders>
              <w:top w:val="nil"/>
              <w:left w:val="nil"/>
              <w:bottom w:val="nil"/>
              <w:right w:val="nil"/>
            </w:tcBorders>
            <w:shd w:val="clear" w:color="auto" w:fill="FFFFFF"/>
            <w:tcMar>
              <w:top w:w="30" w:type="dxa"/>
              <w:left w:w="60" w:type="dxa"/>
              <w:bottom w:w="30" w:type="dxa"/>
              <w:right w:w="60" w:type="dxa"/>
            </w:tcMar>
            <w:vAlign w:val="top"/>
          </w:tcPr>
          <w:p w14:paraId="153064D6">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Low</w:t>
            </w:r>
          </w:p>
        </w:tc>
        <w:tc>
          <w:tcPr>
            <w:tcW w:w="478" w:type="pct"/>
            <w:tcBorders>
              <w:top w:val="nil"/>
              <w:left w:val="nil"/>
              <w:bottom w:val="nil"/>
              <w:right w:val="nil"/>
            </w:tcBorders>
            <w:shd w:val="clear" w:color="auto" w:fill="FFFFFF"/>
            <w:tcMar>
              <w:top w:w="30" w:type="dxa"/>
              <w:left w:w="60" w:type="dxa"/>
              <w:bottom w:w="30" w:type="dxa"/>
              <w:right w:w="60" w:type="dxa"/>
            </w:tcMar>
            <w:vAlign w:val="top"/>
          </w:tcPr>
          <w:p w14:paraId="1B5DE005">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High</w:t>
            </w:r>
          </w:p>
        </w:tc>
        <w:tc>
          <w:tcPr>
            <w:tcW w:w="478" w:type="pct"/>
            <w:tcBorders>
              <w:top w:val="nil"/>
              <w:left w:val="nil"/>
              <w:bottom w:val="nil"/>
              <w:right w:val="nil"/>
            </w:tcBorders>
            <w:shd w:val="clear" w:color="auto" w:fill="FFFFFF"/>
            <w:tcMar>
              <w:top w:w="30" w:type="dxa"/>
              <w:left w:w="60" w:type="dxa"/>
              <w:bottom w:w="30" w:type="dxa"/>
              <w:right w:w="60" w:type="dxa"/>
            </w:tcMar>
            <w:vAlign w:val="top"/>
          </w:tcPr>
          <w:p w14:paraId="5863520E">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High</w:t>
            </w:r>
          </w:p>
        </w:tc>
      </w:tr>
      <w:tr w14:paraId="43D4260E">
        <w:tc>
          <w:tcPr>
            <w:tcW w:w="539" w:type="pct"/>
            <w:tcBorders>
              <w:top w:val="nil"/>
              <w:left w:val="nil"/>
              <w:bottom w:val="nil"/>
              <w:right w:val="nil"/>
            </w:tcBorders>
            <w:shd w:val="clear" w:color="auto" w:fill="FFFFFF"/>
            <w:tcMar>
              <w:top w:w="30" w:type="dxa"/>
              <w:left w:w="60" w:type="dxa"/>
              <w:bottom w:w="30" w:type="dxa"/>
              <w:right w:w="60" w:type="dxa"/>
            </w:tcMar>
            <w:vAlign w:val="top"/>
          </w:tcPr>
          <w:p w14:paraId="7508D7E0">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Baradaran Y</w:t>
            </w:r>
          </w:p>
        </w:tc>
        <w:tc>
          <w:tcPr>
            <w:tcW w:w="230" w:type="pct"/>
            <w:tcBorders>
              <w:top w:val="nil"/>
              <w:left w:val="nil"/>
              <w:bottom w:val="nil"/>
              <w:right w:val="nil"/>
            </w:tcBorders>
            <w:shd w:val="clear" w:color="auto" w:fill="FFFFFF"/>
            <w:tcMar>
              <w:top w:w="30" w:type="dxa"/>
              <w:left w:w="60" w:type="dxa"/>
              <w:bottom w:w="30" w:type="dxa"/>
              <w:right w:w="60" w:type="dxa"/>
            </w:tcMar>
            <w:vAlign w:val="top"/>
          </w:tcPr>
          <w:p w14:paraId="5ACFDD24">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2026</w:t>
            </w:r>
          </w:p>
        </w:tc>
        <w:tc>
          <w:tcPr>
            <w:tcW w:w="755" w:type="pct"/>
            <w:tcBorders>
              <w:top w:val="nil"/>
              <w:left w:val="nil"/>
              <w:bottom w:val="nil"/>
              <w:right w:val="nil"/>
            </w:tcBorders>
            <w:shd w:val="clear" w:color="auto" w:fill="FFFFFF"/>
            <w:tcMar>
              <w:top w:w="30" w:type="dxa"/>
              <w:left w:w="60" w:type="dxa"/>
              <w:bottom w:w="30" w:type="dxa"/>
              <w:right w:w="60" w:type="dxa"/>
            </w:tcMar>
            <w:vAlign w:val="top"/>
          </w:tcPr>
          <w:p w14:paraId="1E4B4D13">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IEEE J Biomed Health Inform</w:t>
            </w:r>
          </w:p>
        </w:tc>
        <w:tc>
          <w:tcPr>
            <w:tcW w:w="359" w:type="pct"/>
            <w:tcBorders>
              <w:top w:val="nil"/>
              <w:left w:val="nil"/>
              <w:bottom w:val="nil"/>
              <w:right w:val="nil"/>
            </w:tcBorders>
            <w:shd w:val="clear" w:color="auto" w:fill="FFFFFF"/>
            <w:tcMar>
              <w:top w:w="30" w:type="dxa"/>
              <w:left w:w="60" w:type="dxa"/>
              <w:bottom w:w="30" w:type="dxa"/>
              <w:right w:w="60" w:type="dxa"/>
            </w:tcMar>
            <w:vAlign w:val="top"/>
          </w:tcPr>
          <w:p w14:paraId="5D6DB386">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High</w:t>
            </w:r>
          </w:p>
        </w:tc>
        <w:tc>
          <w:tcPr>
            <w:tcW w:w="359" w:type="pct"/>
            <w:tcBorders>
              <w:top w:val="nil"/>
              <w:left w:val="nil"/>
              <w:bottom w:val="nil"/>
              <w:right w:val="nil"/>
            </w:tcBorders>
            <w:shd w:val="clear" w:color="auto" w:fill="FFFFFF"/>
            <w:tcMar>
              <w:top w:w="30" w:type="dxa"/>
              <w:left w:w="60" w:type="dxa"/>
              <w:bottom w:w="30" w:type="dxa"/>
              <w:right w:w="60" w:type="dxa"/>
            </w:tcMar>
            <w:vAlign w:val="top"/>
          </w:tcPr>
          <w:p w14:paraId="7A2AE365">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Low</w:t>
            </w:r>
          </w:p>
        </w:tc>
        <w:tc>
          <w:tcPr>
            <w:tcW w:w="359" w:type="pct"/>
            <w:tcBorders>
              <w:top w:val="nil"/>
              <w:left w:val="nil"/>
              <w:bottom w:val="nil"/>
              <w:right w:val="nil"/>
            </w:tcBorders>
            <w:shd w:val="clear" w:color="auto" w:fill="FFFFFF"/>
            <w:tcMar>
              <w:top w:w="30" w:type="dxa"/>
              <w:left w:w="60" w:type="dxa"/>
              <w:bottom w:w="30" w:type="dxa"/>
              <w:right w:w="60" w:type="dxa"/>
            </w:tcMar>
            <w:vAlign w:val="top"/>
          </w:tcPr>
          <w:p w14:paraId="679F93A5">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Low</w:t>
            </w:r>
          </w:p>
        </w:tc>
        <w:tc>
          <w:tcPr>
            <w:tcW w:w="360" w:type="pct"/>
            <w:tcBorders>
              <w:top w:val="nil"/>
              <w:left w:val="nil"/>
              <w:bottom w:val="nil"/>
              <w:right w:val="nil"/>
            </w:tcBorders>
            <w:shd w:val="clear" w:color="auto" w:fill="FFFFFF"/>
            <w:tcMar>
              <w:top w:w="30" w:type="dxa"/>
              <w:left w:w="60" w:type="dxa"/>
              <w:bottom w:w="30" w:type="dxa"/>
              <w:right w:w="60" w:type="dxa"/>
            </w:tcMar>
            <w:vAlign w:val="top"/>
          </w:tcPr>
          <w:p w14:paraId="0F4E94EE">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High</w:t>
            </w:r>
          </w:p>
        </w:tc>
        <w:tc>
          <w:tcPr>
            <w:tcW w:w="359" w:type="pct"/>
            <w:tcBorders>
              <w:top w:val="nil"/>
              <w:left w:val="nil"/>
              <w:bottom w:val="nil"/>
              <w:right w:val="nil"/>
            </w:tcBorders>
            <w:shd w:val="clear" w:color="auto" w:fill="FFFFFF"/>
            <w:tcMar>
              <w:top w:w="30" w:type="dxa"/>
              <w:left w:w="60" w:type="dxa"/>
              <w:bottom w:w="30" w:type="dxa"/>
              <w:right w:w="60" w:type="dxa"/>
            </w:tcMar>
            <w:vAlign w:val="top"/>
          </w:tcPr>
          <w:p w14:paraId="6F4E0AC8">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High</w:t>
            </w:r>
          </w:p>
        </w:tc>
        <w:tc>
          <w:tcPr>
            <w:tcW w:w="359" w:type="pct"/>
            <w:tcBorders>
              <w:top w:val="nil"/>
              <w:left w:val="nil"/>
              <w:bottom w:val="nil"/>
              <w:right w:val="nil"/>
            </w:tcBorders>
            <w:shd w:val="clear" w:color="auto" w:fill="FFFFFF"/>
            <w:tcMar>
              <w:top w:w="30" w:type="dxa"/>
              <w:left w:w="60" w:type="dxa"/>
              <w:bottom w:w="30" w:type="dxa"/>
              <w:right w:w="60" w:type="dxa"/>
            </w:tcMar>
            <w:vAlign w:val="top"/>
          </w:tcPr>
          <w:p w14:paraId="176F812C">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High</w:t>
            </w:r>
          </w:p>
        </w:tc>
        <w:tc>
          <w:tcPr>
            <w:tcW w:w="359" w:type="pct"/>
            <w:tcBorders>
              <w:top w:val="nil"/>
              <w:left w:val="nil"/>
              <w:bottom w:val="nil"/>
              <w:right w:val="nil"/>
            </w:tcBorders>
            <w:shd w:val="clear" w:color="auto" w:fill="FFFFFF"/>
            <w:tcMar>
              <w:top w:w="30" w:type="dxa"/>
              <w:left w:w="60" w:type="dxa"/>
              <w:bottom w:w="30" w:type="dxa"/>
              <w:right w:w="60" w:type="dxa"/>
            </w:tcMar>
            <w:vAlign w:val="top"/>
          </w:tcPr>
          <w:p w14:paraId="3450F0C5">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Low</w:t>
            </w:r>
          </w:p>
        </w:tc>
        <w:tc>
          <w:tcPr>
            <w:tcW w:w="478" w:type="pct"/>
            <w:tcBorders>
              <w:top w:val="nil"/>
              <w:left w:val="nil"/>
              <w:bottom w:val="nil"/>
              <w:right w:val="nil"/>
            </w:tcBorders>
            <w:shd w:val="clear" w:color="auto" w:fill="FFFFFF"/>
            <w:tcMar>
              <w:top w:w="30" w:type="dxa"/>
              <w:left w:w="60" w:type="dxa"/>
              <w:bottom w:w="30" w:type="dxa"/>
              <w:right w:w="60" w:type="dxa"/>
            </w:tcMar>
            <w:vAlign w:val="top"/>
          </w:tcPr>
          <w:p w14:paraId="2EEA738A">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High</w:t>
            </w:r>
          </w:p>
        </w:tc>
        <w:tc>
          <w:tcPr>
            <w:tcW w:w="478" w:type="pct"/>
            <w:tcBorders>
              <w:top w:val="nil"/>
              <w:left w:val="nil"/>
              <w:bottom w:val="nil"/>
              <w:right w:val="nil"/>
            </w:tcBorders>
            <w:shd w:val="clear" w:color="auto" w:fill="FFFFFF"/>
            <w:tcMar>
              <w:top w:w="30" w:type="dxa"/>
              <w:left w:w="60" w:type="dxa"/>
              <w:bottom w:w="30" w:type="dxa"/>
              <w:right w:w="60" w:type="dxa"/>
            </w:tcMar>
            <w:vAlign w:val="top"/>
          </w:tcPr>
          <w:p w14:paraId="34A9CFCE">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High</w:t>
            </w:r>
          </w:p>
        </w:tc>
      </w:tr>
      <w:tr w14:paraId="369147DB">
        <w:tc>
          <w:tcPr>
            <w:tcW w:w="539" w:type="pct"/>
            <w:tcBorders>
              <w:top w:val="nil"/>
              <w:left w:val="nil"/>
              <w:bottom w:val="nil"/>
              <w:right w:val="nil"/>
            </w:tcBorders>
            <w:shd w:val="clear" w:color="auto" w:fill="FFFFFF"/>
            <w:tcMar>
              <w:top w:w="30" w:type="dxa"/>
              <w:left w:w="60" w:type="dxa"/>
              <w:bottom w:w="30" w:type="dxa"/>
              <w:right w:w="60" w:type="dxa"/>
            </w:tcMar>
            <w:vAlign w:val="top"/>
          </w:tcPr>
          <w:p w14:paraId="6B4E1F83">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Lu J</w:t>
            </w:r>
          </w:p>
        </w:tc>
        <w:tc>
          <w:tcPr>
            <w:tcW w:w="230" w:type="pct"/>
            <w:tcBorders>
              <w:top w:val="nil"/>
              <w:left w:val="nil"/>
              <w:bottom w:val="nil"/>
              <w:right w:val="nil"/>
            </w:tcBorders>
            <w:shd w:val="clear" w:color="auto" w:fill="FFFFFF"/>
            <w:tcMar>
              <w:top w:w="30" w:type="dxa"/>
              <w:left w:w="60" w:type="dxa"/>
              <w:bottom w:w="30" w:type="dxa"/>
              <w:right w:w="60" w:type="dxa"/>
            </w:tcMar>
            <w:vAlign w:val="top"/>
          </w:tcPr>
          <w:p w14:paraId="7BD0F3A3">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2022</w:t>
            </w:r>
          </w:p>
        </w:tc>
        <w:tc>
          <w:tcPr>
            <w:tcW w:w="755" w:type="pct"/>
            <w:tcBorders>
              <w:top w:val="nil"/>
              <w:left w:val="nil"/>
              <w:bottom w:val="nil"/>
              <w:right w:val="nil"/>
            </w:tcBorders>
            <w:shd w:val="clear" w:color="auto" w:fill="FFFFFF"/>
            <w:tcMar>
              <w:top w:w="30" w:type="dxa"/>
              <w:left w:w="60" w:type="dxa"/>
              <w:bottom w:w="30" w:type="dxa"/>
              <w:right w:w="60" w:type="dxa"/>
            </w:tcMar>
            <w:vAlign w:val="top"/>
          </w:tcPr>
          <w:p w14:paraId="5E1BBF30">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J Neural Engineering</w:t>
            </w:r>
          </w:p>
        </w:tc>
        <w:tc>
          <w:tcPr>
            <w:tcW w:w="359" w:type="pct"/>
            <w:tcBorders>
              <w:top w:val="nil"/>
              <w:left w:val="nil"/>
              <w:bottom w:val="nil"/>
              <w:right w:val="nil"/>
            </w:tcBorders>
            <w:shd w:val="clear" w:color="auto" w:fill="FFFFFF"/>
            <w:tcMar>
              <w:top w:w="30" w:type="dxa"/>
              <w:left w:w="60" w:type="dxa"/>
              <w:bottom w:w="30" w:type="dxa"/>
              <w:right w:w="60" w:type="dxa"/>
            </w:tcMar>
            <w:vAlign w:val="top"/>
          </w:tcPr>
          <w:p w14:paraId="1DF88B66">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Low</w:t>
            </w:r>
          </w:p>
        </w:tc>
        <w:tc>
          <w:tcPr>
            <w:tcW w:w="359" w:type="pct"/>
            <w:tcBorders>
              <w:top w:val="nil"/>
              <w:left w:val="nil"/>
              <w:bottom w:val="nil"/>
              <w:right w:val="nil"/>
            </w:tcBorders>
            <w:shd w:val="clear" w:color="auto" w:fill="FFFFFF"/>
            <w:tcMar>
              <w:top w:w="30" w:type="dxa"/>
              <w:left w:w="60" w:type="dxa"/>
              <w:bottom w:w="30" w:type="dxa"/>
              <w:right w:w="60" w:type="dxa"/>
            </w:tcMar>
            <w:vAlign w:val="top"/>
          </w:tcPr>
          <w:p w14:paraId="30268C58">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Low</w:t>
            </w:r>
          </w:p>
        </w:tc>
        <w:tc>
          <w:tcPr>
            <w:tcW w:w="359" w:type="pct"/>
            <w:tcBorders>
              <w:top w:val="nil"/>
              <w:left w:val="nil"/>
              <w:bottom w:val="nil"/>
              <w:right w:val="nil"/>
            </w:tcBorders>
            <w:shd w:val="clear" w:color="auto" w:fill="FFFFFF"/>
            <w:tcMar>
              <w:top w:w="30" w:type="dxa"/>
              <w:left w:w="60" w:type="dxa"/>
              <w:bottom w:w="30" w:type="dxa"/>
              <w:right w:w="60" w:type="dxa"/>
            </w:tcMar>
            <w:vAlign w:val="top"/>
          </w:tcPr>
          <w:p w14:paraId="495408D6">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Low</w:t>
            </w:r>
          </w:p>
        </w:tc>
        <w:tc>
          <w:tcPr>
            <w:tcW w:w="360" w:type="pct"/>
            <w:tcBorders>
              <w:top w:val="nil"/>
              <w:left w:val="nil"/>
              <w:bottom w:val="nil"/>
              <w:right w:val="nil"/>
            </w:tcBorders>
            <w:shd w:val="clear" w:color="auto" w:fill="FFFFFF"/>
            <w:tcMar>
              <w:top w:w="30" w:type="dxa"/>
              <w:left w:w="60" w:type="dxa"/>
              <w:bottom w:w="30" w:type="dxa"/>
              <w:right w:w="60" w:type="dxa"/>
            </w:tcMar>
            <w:vAlign w:val="top"/>
          </w:tcPr>
          <w:p w14:paraId="7DD510A3">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High</w:t>
            </w:r>
          </w:p>
        </w:tc>
        <w:tc>
          <w:tcPr>
            <w:tcW w:w="359" w:type="pct"/>
            <w:tcBorders>
              <w:top w:val="nil"/>
              <w:left w:val="nil"/>
              <w:bottom w:val="nil"/>
              <w:right w:val="nil"/>
            </w:tcBorders>
            <w:shd w:val="clear" w:color="auto" w:fill="FFFFFF"/>
            <w:tcMar>
              <w:top w:w="30" w:type="dxa"/>
              <w:left w:w="60" w:type="dxa"/>
              <w:bottom w:w="30" w:type="dxa"/>
              <w:right w:w="60" w:type="dxa"/>
            </w:tcMar>
            <w:vAlign w:val="top"/>
          </w:tcPr>
          <w:p w14:paraId="3882DDB1">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Low</w:t>
            </w:r>
          </w:p>
        </w:tc>
        <w:tc>
          <w:tcPr>
            <w:tcW w:w="359" w:type="pct"/>
            <w:tcBorders>
              <w:top w:val="nil"/>
              <w:left w:val="nil"/>
              <w:bottom w:val="nil"/>
              <w:right w:val="nil"/>
            </w:tcBorders>
            <w:shd w:val="clear" w:color="auto" w:fill="FFFFFF"/>
            <w:tcMar>
              <w:top w:w="30" w:type="dxa"/>
              <w:left w:w="60" w:type="dxa"/>
              <w:bottom w:w="30" w:type="dxa"/>
              <w:right w:w="60" w:type="dxa"/>
            </w:tcMar>
            <w:vAlign w:val="top"/>
          </w:tcPr>
          <w:p w14:paraId="73630097">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High</w:t>
            </w:r>
          </w:p>
        </w:tc>
        <w:tc>
          <w:tcPr>
            <w:tcW w:w="359" w:type="pct"/>
            <w:tcBorders>
              <w:top w:val="nil"/>
              <w:left w:val="nil"/>
              <w:bottom w:val="nil"/>
              <w:right w:val="nil"/>
            </w:tcBorders>
            <w:shd w:val="clear" w:color="auto" w:fill="FFFFFF"/>
            <w:tcMar>
              <w:top w:w="30" w:type="dxa"/>
              <w:left w:w="60" w:type="dxa"/>
              <w:bottom w:w="30" w:type="dxa"/>
              <w:right w:w="60" w:type="dxa"/>
            </w:tcMar>
            <w:vAlign w:val="top"/>
          </w:tcPr>
          <w:p w14:paraId="0F7184EF">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Low</w:t>
            </w:r>
          </w:p>
        </w:tc>
        <w:tc>
          <w:tcPr>
            <w:tcW w:w="478" w:type="pct"/>
            <w:tcBorders>
              <w:top w:val="nil"/>
              <w:left w:val="nil"/>
              <w:bottom w:val="nil"/>
              <w:right w:val="nil"/>
            </w:tcBorders>
            <w:shd w:val="clear" w:color="auto" w:fill="FFFFFF"/>
            <w:tcMar>
              <w:top w:w="30" w:type="dxa"/>
              <w:left w:w="60" w:type="dxa"/>
              <w:bottom w:w="30" w:type="dxa"/>
              <w:right w:w="60" w:type="dxa"/>
            </w:tcMar>
            <w:vAlign w:val="top"/>
          </w:tcPr>
          <w:p w14:paraId="0C4E9561">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High</w:t>
            </w:r>
          </w:p>
        </w:tc>
        <w:tc>
          <w:tcPr>
            <w:tcW w:w="478" w:type="pct"/>
            <w:tcBorders>
              <w:top w:val="nil"/>
              <w:left w:val="nil"/>
              <w:bottom w:val="nil"/>
              <w:right w:val="nil"/>
            </w:tcBorders>
            <w:shd w:val="clear" w:color="auto" w:fill="FFFFFF"/>
            <w:tcMar>
              <w:top w:w="30" w:type="dxa"/>
              <w:left w:w="60" w:type="dxa"/>
              <w:bottom w:w="30" w:type="dxa"/>
              <w:right w:w="60" w:type="dxa"/>
            </w:tcMar>
            <w:vAlign w:val="top"/>
          </w:tcPr>
          <w:p w14:paraId="59E61ACB">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High</w:t>
            </w:r>
          </w:p>
        </w:tc>
      </w:tr>
      <w:tr w14:paraId="02EF4940">
        <w:tc>
          <w:tcPr>
            <w:tcW w:w="539" w:type="pct"/>
            <w:tcBorders>
              <w:top w:val="nil"/>
              <w:left w:val="nil"/>
              <w:bottom w:val="nil"/>
              <w:right w:val="nil"/>
            </w:tcBorders>
            <w:shd w:val="clear" w:color="auto" w:fill="FFFFFF"/>
            <w:tcMar>
              <w:top w:w="30" w:type="dxa"/>
              <w:left w:w="60" w:type="dxa"/>
              <w:bottom w:w="30" w:type="dxa"/>
              <w:right w:w="60" w:type="dxa"/>
            </w:tcMar>
            <w:vAlign w:val="top"/>
          </w:tcPr>
          <w:p w14:paraId="23082BC7">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Khan RA</w:t>
            </w:r>
          </w:p>
        </w:tc>
        <w:tc>
          <w:tcPr>
            <w:tcW w:w="230" w:type="pct"/>
            <w:tcBorders>
              <w:top w:val="nil"/>
              <w:left w:val="nil"/>
              <w:bottom w:val="nil"/>
              <w:right w:val="nil"/>
            </w:tcBorders>
            <w:shd w:val="clear" w:color="auto" w:fill="FFFFFF"/>
            <w:tcMar>
              <w:top w:w="30" w:type="dxa"/>
              <w:left w:w="60" w:type="dxa"/>
              <w:bottom w:w="30" w:type="dxa"/>
              <w:right w:w="60" w:type="dxa"/>
            </w:tcMar>
            <w:vAlign w:val="top"/>
          </w:tcPr>
          <w:p w14:paraId="67598DB0">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2018</w:t>
            </w:r>
          </w:p>
        </w:tc>
        <w:tc>
          <w:tcPr>
            <w:tcW w:w="755" w:type="pct"/>
            <w:tcBorders>
              <w:top w:val="nil"/>
              <w:left w:val="nil"/>
              <w:bottom w:val="nil"/>
              <w:right w:val="nil"/>
            </w:tcBorders>
            <w:shd w:val="clear" w:color="auto" w:fill="FFFFFF"/>
            <w:tcMar>
              <w:top w:w="30" w:type="dxa"/>
              <w:left w:w="60" w:type="dxa"/>
              <w:bottom w:w="30" w:type="dxa"/>
              <w:right w:w="60" w:type="dxa"/>
            </w:tcMar>
            <w:vAlign w:val="top"/>
          </w:tcPr>
          <w:p w14:paraId="0C67CC8E">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J NeuroEngineering Rehabil</w:t>
            </w:r>
          </w:p>
        </w:tc>
        <w:tc>
          <w:tcPr>
            <w:tcW w:w="359" w:type="pct"/>
            <w:tcBorders>
              <w:top w:val="nil"/>
              <w:left w:val="nil"/>
              <w:bottom w:val="nil"/>
              <w:right w:val="nil"/>
            </w:tcBorders>
            <w:shd w:val="clear" w:color="auto" w:fill="FFFFFF"/>
            <w:tcMar>
              <w:top w:w="30" w:type="dxa"/>
              <w:left w:w="60" w:type="dxa"/>
              <w:bottom w:w="30" w:type="dxa"/>
              <w:right w:w="60" w:type="dxa"/>
            </w:tcMar>
            <w:vAlign w:val="top"/>
          </w:tcPr>
          <w:p w14:paraId="72BE3D1A">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High</w:t>
            </w:r>
          </w:p>
        </w:tc>
        <w:tc>
          <w:tcPr>
            <w:tcW w:w="359" w:type="pct"/>
            <w:tcBorders>
              <w:top w:val="nil"/>
              <w:left w:val="nil"/>
              <w:bottom w:val="nil"/>
              <w:right w:val="nil"/>
            </w:tcBorders>
            <w:shd w:val="clear" w:color="auto" w:fill="FFFFFF"/>
            <w:tcMar>
              <w:top w:w="30" w:type="dxa"/>
              <w:left w:w="60" w:type="dxa"/>
              <w:bottom w:w="30" w:type="dxa"/>
              <w:right w:w="60" w:type="dxa"/>
            </w:tcMar>
            <w:vAlign w:val="top"/>
          </w:tcPr>
          <w:p w14:paraId="5CDB9A03">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Low</w:t>
            </w:r>
          </w:p>
        </w:tc>
        <w:tc>
          <w:tcPr>
            <w:tcW w:w="359" w:type="pct"/>
            <w:tcBorders>
              <w:top w:val="nil"/>
              <w:left w:val="nil"/>
              <w:bottom w:val="nil"/>
              <w:right w:val="nil"/>
            </w:tcBorders>
            <w:shd w:val="clear" w:color="auto" w:fill="FFFFFF"/>
            <w:tcMar>
              <w:top w:w="30" w:type="dxa"/>
              <w:left w:w="60" w:type="dxa"/>
              <w:bottom w:w="30" w:type="dxa"/>
              <w:right w:w="60" w:type="dxa"/>
            </w:tcMar>
            <w:vAlign w:val="top"/>
          </w:tcPr>
          <w:p w14:paraId="108AFA29">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Low</w:t>
            </w:r>
          </w:p>
        </w:tc>
        <w:tc>
          <w:tcPr>
            <w:tcW w:w="360" w:type="pct"/>
            <w:tcBorders>
              <w:top w:val="nil"/>
              <w:left w:val="nil"/>
              <w:bottom w:val="nil"/>
              <w:right w:val="nil"/>
            </w:tcBorders>
            <w:shd w:val="clear" w:color="auto" w:fill="FFFFFF"/>
            <w:tcMar>
              <w:top w:w="30" w:type="dxa"/>
              <w:left w:w="60" w:type="dxa"/>
              <w:bottom w:w="30" w:type="dxa"/>
              <w:right w:w="60" w:type="dxa"/>
            </w:tcMar>
            <w:vAlign w:val="top"/>
          </w:tcPr>
          <w:p w14:paraId="73B2E00C">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High</w:t>
            </w:r>
          </w:p>
        </w:tc>
        <w:tc>
          <w:tcPr>
            <w:tcW w:w="359" w:type="pct"/>
            <w:tcBorders>
              <w:top w:val="nil"/>
              <w:left w:val="nil"/>
              <w:bottom w:val="nil"/>
              <w:right w:val="nil"/>
            </w:tcBorders>
            <w:shd w:val="clear" w:color="auto" w:fill="FFFFFF"/>
            <w:tcMar>
              <w:top w:w="30" w:type="dxa"/>
              <w:left w:w="60" w:type="dxa"/>
              <w:bottom w:w="30" w:type="dxa"/>
              <w:right w:w="60" w:type="dxa"/>
            </w:tcMar>
            <w:vAlign w:val="top"/>
          </w:tcPr>
          <w:p w14:paraId="43DECB3B">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High</w:t>
            </w:r>
          </w:p>
        </w:tc>
        <w:tc>
          <w:tcPr>
            <w:tcW w:w="359" w:type="pct"/>
            <w:tcBorders>
              <w:top w:val="nil"/>
              <w:left w:val="nil"/>
              <w:bottom w:val="nil"/>
              <w:right w:val="nil"/>
            </w:tcBorders>
            <w:shd w:val="clear" w:color="auto" w:fill="FFFFFF"/>
            <w:tcMar>
              <w:top w:w="30" w:type="dxa"/>
              <w:left w:w="60" w:type="dxa"/>
              <w:bottom w:w="30" w:type="dxa"/>
              <w:right w:w="60" w:type="dxa"/>
            </w:tcMar>
            <w:vAlign w:val="top"/>
          </w:tcPr>
          <w:p w14:paraId="23692F35">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High</w:t>
            </w:r>
          </w:p>
        </w:tc>
        <w:tc>
          <w:tcPr>
            <w:tcW w:w="359" w:type="pct"/>
            <w:tcBorders>
              <w:top w:val="nil"/>
              <w:left w:val="nil"/>
              <w:bottom w:val="nil"/>
              <w:right w:val="nil"/>
            </w:tcBorders>
            <w:shd w:val="clear" w:color="auto" w:fill="FFFFFF"/>
            <w:tcMar>
              <w:top w:w="30" w:type="dxa"/>
              <w:left w:w="60" w:type="dxa"/>
              <w:bottom w:w="30" w:type="dxa"/>
              <w:right w:w="60" w:type="dxa"/>
            </w:tcMar>
            <w:vAlign w:val="top"/>
          </w:tcPr>
          <w:p w14:paraId="7EA1DC0F">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Low</w:t>
            </w:r>
          </w:p>
        </w:tc>
        <w:tc>
          <w:tcPr>
            <w:tcW w:w="478" w:type="pct"/>
            <w:tcBorders>
              <w:top w:val="nil"/>
              <w:left w:val="nil"/>
              <w:bottom w:val="nil"/>
              <w:right w:val="nil"/>
            </w:tcBorders>
            <w:shd w:val="clear" w:color="auto" w:fill="FFFFFF"/>
            <w:tcMar>
              <w:top w:w="30" w:type="dxa"/>
              <w:left w:w="60" w:type="dxa"/>
              <w:bottom w:w="30" w:type="dxa"/>
              <w:right w:w="60" w:type="dxa"/>
            </w:tcMar>
            <w:vAlign w:val="top"/>
          </w:tcPr>
          <w:p w14:paraId="401A4AEA">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High</w:t>
            </w:r>
          </w:p>
        </w:tc>
        <w:tc>
          <w:tcPr>
            <w:tcW w:w="478" w:type="pct"/>
            <w:tcBorders>
              <w:top w:val="nil"/>
              <w:left w:val="nil"/>
              <w:bottom w:val="nil"/>
              <w:right w:val="nil"/>
            </w:tcBorders>
            <w:shd w:val="clear" w:color="auto" w:fill="FFFFFF"/>
            <w:tcMar>
              <w:top w:w="30" w:type="dxa"/>
              <w:left w:w="60" w:type="dxa"/>
              <w:bottom w:w="30" w:type="dxa"/>
              <w:right w:w="60" w:type="dxa"/>
            </w:tcMar>
            <w:vAlign w:val="top"/>
          </w:tcPr>
          <w:p w14:paraId="4D5E24D8">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High</w:t>
            </w:r>
          </w:p>
        </w:tc>
      </w:tr>
      <w:tr w14:paraId="72420D39">
        <w:tc>
          <w:tcPr>
            <w:tcW w:w="539" w:type="pct"/>
            <w:tcBorders>
              <w:top w:val="nil"/>
              <w:left w:val="nil"/>
              <w:bottom w:val="nil"/>
              <w:right w:val="nil"/>
            </w:tcBorders>
            <w:shd w:val="clear" w:color="auto" w:fill="FFFFFF"/>
            <w:tcMar>
              <w:top w:w="30" w:type="dxa"/>
              <w:left w:w="60" w:type="dxa"/>
              <w:bottom w:w="30" w:type="dxa"/>
              <w:right w:w="60" w:type="dxa"/>
            </w:tcMar>
            <w:vAlign w:val="top"/>
          </w:tcPr>
          <w:p w14:paraId="5DC9C70A">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Gao Y</w:t>
            </w:r>
          </w:p>
        </w:tc>
        <w:tc>
          <w:tcPr>
            <w:tcW w:w="230" w:type="pct"/>
            <w:tcBorders>
              <w:top w:val="nil"/>
              <w:left w:val="nil"/>
              <w:bottom w:val="nil"/>
              <w:right w:val="nil"/>
            </w:tcBorders>
            <w:shd w:val="clear" w:color="auto" w:fill="FFFFFF"/>
            <w:tcMar>
              <w:top w:w="30" w:type="dxa"/>
              <w:left w:w="60" w:type="dxa"/>
              <w:bottom w:w="30" w:type="dxa"/>
              <w:right w:w="60" w:type="dxa"/>
            </w:tcMar>
            <w:vAlign w:val="top"/>
          </w:tcPr>
          <w:p w14:paraId="00D8F20B">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2021</w:t>
            </w:r>
          </w:p>
        </w:tc>
        <w:tc>
          <w:tcPr>
            <w:tcW w:w="755" w:type="pct"/>
            <w:tcBorders>
              <w:top w:val="nil"/>
              <w:left w:val="nil"/>
              <w:bottom w:val="nil"/>
              <w:right w:val="nil"/>
            </w:tcBorders>
            <w:shd w:val="clear" w:color="auto" w:fill="FFFFFF"/>
            <w:tcMar>
              <w:top w:w="30" w:type="dxa"/>
              <w:left w:w="60" w:type="dxa"/>
              <w:bottom w:w="30" w:type="dxa"/>
              <w:right w:w="60" w:type="dxa"/>
            </w:tcMar>
            <w:vAlign w:val="top"/>
          </w:tcPr>
          <w:p w14:paraId="0CAB7A5E">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IEEE Trans Biomed Eng</w:t>
            </w:r>
          </w:p>
        </w:tc>
        <w:tc>
          <w:tcPr>
            <w:tcW w:w="359" w:type="pct"/>
            <w:tcBorders>
              <w:top w:val="nil"/>
              <w:left w:val="nil"/>
              <w:bottom w:val="nil"/>
              <w:right w:val="nil"/>
            </w:tcBorders>
            <w:shd w:val="clear" w:color="auto" w:fill="FFFFFF"/>
            <w:tcMar>
              <w:top w:w="30" w:type="dxa"/>
              <w:left w:w="60" w:type="dxa"/>
              <w:bottom w:w="30" w:type="dxa"/>
              <w:right w:w="60" w:type="dxa"/>
            </w:tcMar>
            <w:vAlign w:val="top"/>
          </w:tcPr>
          <w:p w14:paraId="41697672">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High</w:t>
            </w:r>
          </w:p>
        </w:tc>
        <w:tc>
          <w:tcPr>
            <w:tcW w:w="359" w:type="pct"/>
            <w:tcBorders>
              <w:top w:val="nil"/>
              <w:left w:val="nil"/>
              <w:bottom w:val="nil"/>
              <w:right w:val="nil"/>
            </w:tcBorders>
            <w:shd w:val="clear" w:color="auto" w:fill="FFFFFF"/>
            <w:tcMar>
              <w:top w:w="30" w:type="dxa"/>
              <w:left w:w="60" w:type="dxa"/>
              <w:bottom w:w="30" w:type="dxa"/>
              <w:right w:w="60" w:type="dxa"/>
            </w:tcMar>
            <w:vAlign w:val="top"/>
          </w:tcPr>
          <w:p w14:paraId="0F4409F5">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Low</w:t>
            </w:r>
          </w:p>
        </w:tc>
        <w:tc>
          <w:tcPr>
            <w:tcW w:w="359" w:type="pct"/>
            <w:tcBorders>
              <w:top w:val="nil"/>
              <w:left w:val="nil"/>
              <w:bottom w:val="nil"/>
              <w:right w:val="nil"/>
            </w:tcBorders>
            <w:shd w:val="clear" w:color="auto" w:fill="FFFFFF"/>
            <w:tcMar>
              <w:top w:w="30" w:type="dxa"/>
              <w:left w:w="60" w:type="dxa"/>
              <w:bottom w:w="30" w:type="dxa"/>
              <w:right w:w="60" w:type="dxa"/>
            </w:tcMar>
            <w:vAlign w:val="top"/>
          </w:tcPr>
          <w:p w14:paraId="1D060D13">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Low</w:t>
            </w:r>
          </w:p>
        </w:tc>
        <w:tc>
          <w:tcPr>
            <w:tcW w:w="360" w:type="pct"/>
            <w:tcBorders>
              <w:top w:val="nil"/>
              <w:left w:val="nil"/>
              <w:bottom w:val="nil"/>
              <w:right w:val="nil"/>
            </w:tcBorders>
            <w:shd w:val="clear" w:color="auto" w:fill="FFFFFF"/>
            <w:tcMar>
              <w:top w:w="30" w:type="dxa"/>
              <w:left w:w="60" w:type="dxa"/>
              <w:bottom w:w="30" w:type="dxa"/>
              <w:right w:w="60" w:type="dxa"/>
            </w:tcMar>
            <w:vAlign w:val="top"/>
          </w:tcPr>
          <w:p w14:paraId="1C59DF11">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High</w:t>
            </w:r>
          </w:p>
        </w:tc>
        <w:tc>
          <w:tcPr>
            <w:tcW w:w="359" w:type="pct"/>
            <w:tcBorders>
              <w:top w:val="nil"/>
              <w:left w:val="nil"/>
              <w:bottom w:val="nil"/>
              <w:right w:val="nil"/>
            </w:tcBorders>
            <w:shd w:val="clear" w:color="auto" w:fill="FFFFFF"/>
            <w:tcMar>
              <w:top w:w="30" w:type="dxa"/>
              <w:left w:w="60" w:type="dxa"/>
              <w:bottom w:w="30" w:type="dxa"/>
              <w:right w:w="60" w:type="dxa"/>
            </w:tcMar>
            <w:vAlign w:val="top"/>
          </w:tcPr>
          <w:p w14:paraId="5657DE65">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High</w:t>
            </w:r>
          </w:p>
        </w:tc>
        <w:tc>
          <w:tcPr>
            <w:tcW w:w="359" w:type="pct"/>
            <w:tcBorders>
              <w:top w:val="nil"/>
              <w:left w:val="nil"/>
              <w:bottom w:val="nil"/>
              <w:right w:val="nil"/>
            </w:tcBorders>
            <w:shd w:val="clear" w:color="auto" w:fill="FFFFFF"/>
            <w:tcMar>
              <w:top w:w="30" w:type="dxa"/>
              <w:left w:w="60" w:type="dxa"/>
              <w:bottom w:w="30" w:type="dxa"/>
              <w:right w:w="60" w:type="dxa"/>
            </w:tcMar>
            <w:vAlign w:val="top"/>
          </w:tcPr>
          <w:p w14:paraId="564B0AF0">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High</w:t>
            </w:r>
          </w:p>
        </w:tc>
        <w:tc>
          <w:tcPr>
            <w:tcW w:w="359" w:type="pct"/>
            <w:tcBorders>
              <w:top w:val="nil"/>
              <w:left w:val="nil"/>
              <w:bottom w:val="nil"/>
              <w:right w:val="nil"/>
            </w:tcBorders>
            <w:shd w:val="clear" w:color="auto" w:fill="FFFFFF"/>
            <w:tcMar>
              <w:top w:w="30" w:type="dxa"/>
              <w:left w:w="60" w:type="dxa"/>
              <w:bottom w:w="30" w:type="dxa"/>
              <w:right w:w="60" w:type="dxa"/>
            </w:tcMar>
            <w:vAlign w:val="top"/>
          </w:tcPr>
          <w:p w14:paraId="549913E9">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Low</w:t>
            </w:r>
          </w:p>
        </w:tc>
        <w:tc>
          <w:tcPr>
            <w:tcW w:w="478" w:type="pct"/>
            <w:tcBorders>
              <w:top w:val="nil"/>
              <w:left w:val="nil"/>
              <w:bottom w:val="nil"/>
              <w:right w:val="nil"/>
            </w:tcBorders>
            <w:shd w:val="clear" w:color="auto" w:fill="FFFFFF"/>
            <w:tcMar>
              <w:top w:w="30" w:type="dxa"/>
              <w:left w:w="60" w:type="dxa"/>
              <w:bottom w:w="30" w:type="dxa"/>
              <w:right w:w="60" w:type="dxa"/>
            </w:tcMar>
            <w:vAlign w:val="top"/>
          </w:tcPr>
          <w:p w14:paraId="70F6FE29">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High</w:t>
            </w:r>
          </w:p>
        </w:tc>
        <w:tc>
          <w:tcPr>
            <w:tcW w:w="478" w:type="pct"/>
            <w:tcBorders>
              <w:top w:val="nil"/>
              <w:left w:val="nil"/>
              <w:bottom w:val="nil"/>
              <w:right w:val="nil"/>
            </w:tcBorders>
            <w:shd w:val="clear" w:color="auto" w:fill="FFFFFF"/>
            <w:tcMar>
              <w:top w:w="30" w:type="dxa"/>
              <w:left w:w="60" w:type="dxa"/>
              <w:bottom w:w="30" w:type="dxa"/>
              <w:right w:w="60" w:type="dxa"/>
            </w:tcMar>
            <w:vAlign w:val="top"/>
          </w:tcPr>
          <w:p w14:paraId="2E870343">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High</w:t>
            </w:r>
          </w:p>
        </w:tc>
      </w:tr>
      <w:tr w14:paraId="231DB081">
        <w:tc>
          <w:tcPr>
            <w:tcW w:w="539" w:type="pct"/>
            <w:tcBorders>
              <w:top w:val="nil"/>
              <w:left w:val="nil"/>
              <w:bottom w:val="nil"/>
              <w:right w:val="nil"/>
            </w:tcBorders>
            <w:shd w:val="clear" w:color="auto" w:fill="FFFFFF"/>
            <w:tcMar>
              <w:top w:w="30" w:type="dxa"/>
              <w:left w:w="60" w:type="dxa"/>
              <w:bottom w:w="30" w:type="dxa"/>
              <w:right w:w="60" w:type="dxa"/>
            </w:tcMar>
            <w:vAlign w:val="top"/>
          </w:tcPr>
          <w:p w14:paraId="3DD7A2E9">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Ma H</w:t>
            </w:r>
          </w:p>
        </w:tc>
        <w:tc>
          <w:tcPr>
            <w:tcW w:w="230" w:type="pct"/>
            <w:tcBorders>
              <w:top w:val="nil"/>
              <w:left w:val="nil"/>
              <w:bottom w:val="nil"/>
              <w:right w:val="nil"/>
            </w:tcBorders>
            <w:shd w:val="clear" w:color="auto" w:fill="FFFFFF"/>
            <w:tcMar>
              <w:top w:w="30" w:type="dxa"/>
              <w:left w:w="60" w:type="dxa"/>
              <w:bottom w:w="30" w:type="dxa"/>
              <w:right w:w="60" w:type="dxa"/>
            </w:tcMar>
            <w:vAlign w:val="top"/>
          </w:tcPr>
          <w:p w14:paraId="02259E2E">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2023</w:t>
            </w:r>
          </w:p>
        </w:tc>
        <w:tc>
          <w:tcPr>
            <w:tcW w:w="755" w:type="pct"/>
            <w:tcBorders>
              <w:top w:val="nil"/>
              <w:left w:val="nil"/>
              <w:bottom w:val="nil"/>
              <w:right w:val="nil"/>
            </w:tcBorders>
            <w:shd w:val="clear" w:color="auto" w:fill="FFFFFF"/>
            <w:tcMar>
              <w:top w:w="30" w:type="dxa"/>
              <w:left w:w="60" w:type="dxa"/>
              <w:bottom w:w="30" w:type="dxa"/>
              <w:right w:w="60" w:type="dxa"/>
            </w:tcMar>
            <w:vAlign w:val="top"/>
          </w:tcPr>
          <w:p w14:paraId="6C1E6370">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Front Hum Neurosci</w:t>
            </w:r>
          </w:p>
        </w:tc>
        <w:tc>
          <w:tcPr>
            <w:tcW w:w="359" w:type="pct"/>
            <w:tcBorders>
              <w:top w:val="nil"/>
              <w:left w:val="nil"/>
              <w:bottom w:val="nil"/>
              <w:right w:val="nil"/>
            </w:tcBorders>
            <w:shd w:val="clear" w:color="auto" w:fill="FFFFFF"/>
            <w:tcMar>
              <w:top w:w="30" w:type="dxa"/>
              <w:left w:w="60" w:type="dxa"/>
              <w:bottom w:w="30" w:type="dxa"/>
              <w:right w:w="60" w:type="dxa"/>
            </w:tcMar>
            <w:vAlign w:val="top"/>
          </w:tcPr>
          <w:p w14:paraId="40A7941A">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High</w:t>
            </w:r>
          </w:p>
        </w:tc>
        <w:tc>
          <w:tcPr>
            <w:tcW w:w="359" w:type="pct"/>
            <w:tcBorders>
              <w:top w:val="nil"/>
              <w:left w:val="nil"/>
              <w:bottom w:val="nil"/>
              <w:right w:val="nil"/>
            </w:tcBorders>
            <w:shd w:val="clear" w:color="auto" w:fill="FFFFFF"/>
            <w:tcMar>
              <w:top w:w="30" w:type="dxa"/>
              <w:left w:w="60" w:type="dxa"/>
              <w:bottom w:w="30" w:type="dxa"/>
              <w:right w:w="60" w:type="dxa"/>
            </w:tcMar>
            <w:vAlign w:val="top"/>
          </w:tcPr>
          <w:p w14:paraId="344BEA38">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Low</w:t>
            </w:r>
          </w:p>
        </w:tc>
        <w:tc>
          <w:tcPr>
            <w:tcW w:w="359" w:type="pct"/>
            <w:tcBorders>
              <w:top w:val="nil"/>
              <w:left w:val="nil"/>
              <w:bottom w:val="nil"/>
              <w:right w:val="nil"/>
            </w:tcBorders>
            <w:shd w:val="clear" w:color="auto" w:fill="FFFFFF"/>
            <w:tcMar>
              <w:top w:w="30" w:type="dxa"/>
              <w:left w:w="60" w:type="dxa"/>
              <w:bottom w:w="30" w:type="dxa"/>
              <w:right w:w="60" w:type="dxa"/>
            </w:tcMar>
            <w:vAlign w:val="top"/>
          </w:tcPr>
          <w:p w14:paraId="13397CC1">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Low</w:t>
            </w:r>
          </w:p>
        </w:tc>
        <w:tc>
          <w:tcPr>
            <w:tcW w:w="360" w:type="pct"/>
            <w:tcBorders>
              <w:top w:val="nil"/>
              <w:left w:val="nil"/>
              <w:bottom w:val="nil"/>
              <w:right w:val="nil"/>
            </w:tcBorders>
            <w:shd w:val="clear" w:color="auto" w:fill="FFFFFF"/>
            <w:tcMar>
              <w:top w:w="30" w:type="dxa"/>
              <w:left w:w="60" w:type="dxa"/>
              <w:bottom w:w="30" w:type="dxa"/>
              <w:right w:w="60" w:type="dxa"/>
            </w:tcMar>
            <w:vAlign w:val="top"/>
          </w:tcPr>
          <w:p w14:paraId="7BA9665D">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High</w:t>
            </w:r>
          </w:p>
        </w:tc>
        <w:tc>
          <w:tcPr>
            <w:tcW w:w="359" w:type="pct"/>
            <w:tcBorders>
              <w:top w:val="nil"/>
              <w:left w:val="nil"/>
              <w:bottom w:val="nil"/>
              <w:right w:val="nil"/>
            </w:tcBorders>
            <w:shd w:val="clear" w:color="auto" w:fill="FFFFFF"/>
            <w:tcMar>
              <w:top w:w="30" w:type="dxa"/>
              <w:left w:w="60" w:type="dxa"/>
              <w:bottom w:w="30" w:type="dxa"/>
              <w:right w:w="60" w:type="dxa"/>
            </w:tcMar>
            <w:vAlign w:val="top"/>
          </w:tcPr>
          <w:p w14:paraId="10E9F57D">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High</w:t>
            </w:r>
          </w:p>
        </w:tc>
        <w:tc>
          <w:tcPr>
            <w:tcW w:w="359" w:type="pct"/>
            <w:tcBorders>
              <w:top w:val="nil"/>
              <w:left w:val="nil"/>
              <w:bottom w:val="nil"/>
              <w:right w:val="nil"/>
            </w:tcBorders>
            <w:shd w:val="clear" w:color="auto" w:fill="FFFFFF"/>
            <w:tcMar>
              <w:top w:w="30" w:type="dxa"/>
              <w:left w:w="60" w:type="dxa"/>
              <w:bottom w:w="30" w:type="dxa"/>
              <w:right w:w="60" w:type="dxa"/>
            </w:tcMar>
            <w:vAlign w:val="top"/>
          </w:tcPr>
          <w:p w14:paraId="18A4A9ED">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High</w:t>
            </w:r>
          </w:p>
        </w:tc>
        <w:tc>
          <w:tcPr>
            <w:tcW w:w="359" w:type="pct"/>
            <w:tcBorders>
              <w:top w:val="nil"/>
              <w:left w:val="nil"/>
              <w:bottom w:val="nil"/>
              <w:right w:val="nil"/>
            </w:tcBorders>
            <w:shd w:val="clear" w:color="auto" w:fill="FFFFFF"/>
            <w:tcMar>
              <w:top w:w="30" w:type="dxa"/>
              <w:left w:w="60" w:type="dxa"/>
              <w:bottom w:w="30" w:type="dxa"/>
              <w:right w:w="60" w:type="dxa"/>
            </w:tcMar>
            <w:vAlign w:val="top"/>
          </w:tcPr>
          <w:p w14:paraId="5FDF7E28">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Low</w:t>
            </w:r>
          </w:p>
        </w:tc>
        <w:tc>
          <w:tcPr>
            <w:tcW w:w="478" w:type="pct"/>
            <w:tcBorders>
              <w:top w:val="nil"/>
              <w:left w:val="nil"/>
              <w:bottom w:val="nil"/>
              <w:right w:val="nil"/>
            </w:tcBorders>
            <w:shd w:val="clear" w:color="auto" w:fill="FFFFFF"/>
            <w:tcMar>
              <w:top w:w="30" w:type="dxa"/>
              <w:left w:w="60" w:type="dxa"/>
              <w:bottom w:w="30" w:type="dxa"/>
              <w:right w:w="60" w:type="dxa"/>
            </w:tcMar>
            <w:vAlign w:val="top"/>
          </w:tcPr>
          <w:p w14:paraId="4D85BFD8">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High</w:t>
            </w:r>
          </w:p>
        </w:tc>
        <w:tc>
          <w:tcPr>
            <w:tcW w:w="478" w:type="pct"/>
            <w:tcBorders>
              <w:top w:val="nil"/>
              <w:left w:val="nil"/>
              <w:bottom w:val="nil"/>
              <w:right w:val="nil"/>
            </w:tcBorders>
            <w:shd w:val="clear" w:color="auto" w:fill="FFFFFF"/>
            <w:tcMar>
              <w:top w:w="30" w:type="dxa"/>
              <w:left w:w="60" w:type="dxa"/>
              <w:bottom w:w="30" w:type="dxa"/>
              <w:right w:w="60" w:type="dxa"/>
            </w:tcMar>
            <w:vAlign w:val="top"/>
          </w:tcPr>
          <w:p w14:paraId="4E4FA5FC">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High</w:t>
            </w:r>
          </w:p>
        </w:tc>
      </w:tr>
      <w:tr w14:paraId="28E9BA42">
        <w:tc>
          <w:tcPr>
            <w:tcW w:w="539" w:type="pct"/>
            <w:tcBorders>
              <w:top w:val="nil"/>
              <w:left w:val="nil"/>
              <w:bottom w:val="nil"/>
              <w:right w:val="nil"/>
            </w:tcBorders>
            <w:shd w:val="clear" w:color="auto" w:fill="FFFFFF"/>
            <w:tcMar>
              <w:top w:w="30" w:type="dxa"/>
              <w:left w:w="60" w:type="dxa"/>
              <w:bottom w:w="30" w:type="dxa"/>
              <w:right w:w="60" w:type="dxa"/>
            </w:tcMar>
            <w:vAlign w:val="top"/>
          </w:tcPr>
          <w:p w14:paraId="58CB9E64">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Jafari S</w:t>
            </w:r>
          </w:p>
        </w:tc>
        <w:tc>
          <w:tcPr>
            <w:tcW w:w="230" w:type="pct"/>
            <w:tcBorders>
              <w:top w:val="nil"/>
              <w:left w:val="nil"/>
              <w:bottom w:val="nil"/>
              <w:right w:val="nil"/>
            </w:tcBorders>
            <w:shd w:val="clear" w:color="auto" w:fill="FFFFFF"/>
            <w:tcMar>
              <w:top w:w="30" w:type="dxa"/>
              <w:left w:w="60" w:type="dxa"/>
              <w:bottom w:w="30" w:type="dxa"/>
              <w:right w:w="60" w:type="dxa"/>
            </w:tcMar>
            <w:vAlign w:val="top"/>
          </w:tcPr>
          <w:p w14:paraId="77B088F5">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2026</w:t>
            </w:r>
          </w:p>
        </w:tc>
        <w:tc>
          <w:tcPr>
            <w:tcW w:w="755" w:type="pct"/>
            <w:tcBorders>
              <w:top w:val="nil"/>
              <w:left w:val="nil"/>
              <w:bottom w:val="nil"/>
              <w:right w:val="nil"/>
            </w:tcBorders>
            <w:shd w:val="clear" w:color="auto" w:fill="FFFFFF"/>
            <w:tcMar>
              <w:top w:w="30" w:type="dxa"/>
              <w:left w:w="60" w:type="dxa"/>
              <w:bottom w:w="30" w:type="dxa"/>
              <w:right w:w="60" w:type="dxa"/>
            </w:tcMar>
            <w:vAlign w:val="top"/>
          </w:tcPr>
          <w:p w14:paraId="4F2C77E3">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BMC Med Inform Decis Mak</w:t>
            </w:r>
          </w:p>
        </w:tc>
        <w:tc>
          <w:tcPr>
            <w:tcW w:w="359" w:type="pct"/>
            <w:tcBorders>
              <w:top w:val="nil"/>
              <w:left w:val="nil"/>
              <w:bottom w:val="nil"/>
              <w:right w:val="nil"/>
            </w:tcBorders>
            <w:shd w:val="clear" w:color="auto" w:fill="FFFFFF"/>
            <w:tcMar>
              <w:top w:w="30" w:type="dxa"/>
              <w:left w:w="60" w:type="dxa"/>
              <w:bottom w:w="30" w:type="dxa"/>
              <w:right w:w="60" w:type="dxa"/>
            </w:tcMar>
            <w:vAlign w:val="top"/>
          </w:tcPr>
          <w:p w14:paraId="0B905FEB">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High</w:t>
            </w:r>
          </w:p>
        </w:tc>
        <w:tc>
          <w:tcPr>
            <w:tcW w:w="359" w:type="pct"/>
            <w:tcBorders>
              <w:top w:val="nil"/>
              <w:left w:val="nil"/>
              <w:bottom w:val="nil"/>
              <w:right w:val="nil"/>
            </w:tcBorders>
            <w:shd w:val="clear" w:color="auto" w:fill="FFFFFF"/>
            <w:tcMar>
              <w:top w:w="30" w:type="dxa"/>
              <w:left w:w="60" w:type="dxa"/>
              <w:bottom w:w="30" w:type="dxa"/>
              <w:right w:w="60" w:type="dxa"/>
            </w:tcMar>
            <w:vAlign w:val="top"/>
          </w:tcPr>
          <w:p w14:paraId="045E424A">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Low</w:t>
            </w:r>
          </w:p>
        </w:tc>
        <w:tc>
          <w:tcPr>
            <w:tcW w:w="359" w:type="pct"/>
            <w:tcBorders>
              <w:top w:val="nil"/>
              <w:left w:val="nil"/>
              <w:bottom w:val="nil"/>
              <w:right w:val="nil"/>
            </w:tcBorders>
            <w:shd w:val="clear" w:color="auto" w:fill="FFFFFF"/>
            <w:tcMar>
              <w:top w:w="30" w:type="dxa"/>
              <w:left w:w="60" w:type="dxa"/>
              <w:bottom w:w="30" w:type="dxa"/>
              <w:right w:w="60" w:type="dxa"/>
            </w:tcMar>
            <w:vAlign w:val="top"/>
          </w:tcPr>
          <w:p w14:paraId="217E8663">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Low</w:t>
            </w:r>
          </w:p>
        </w:tc>
        <w:tc>
          <w:tcPr>
            <w:tcW w:w="360" w:type="pct"/>
            <w:tcBorders>
              <w:top w:val="nil"/>
              <w:left w:val="nil"/>
              <w:bottom w:val="nil"/>
              <w:right w:val="nil"/>
            </w:tcBorders>
            <w:shd w:val="clear" w:color="auto" w:fill="FFFFFF"/>
            <w:tcMar>
              <w:top w:w="30" w:type="dxa"/>
              <w:left w:w="60" w:type="dxa"/>
              <w:bottom w:w="30" w:type="dxa"/>
              <w:right w:w="60" w:type="dxa"/>
            </w:tcMar>
            <w:vAlign w:val="top"/>
          </w:tcPr>
          <w:p w14:paraId="3652960E">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High</w:t>
            </w:r>
          </w:p>
        </w:tc>
        <w:tc>
          <w:tcPr>
            <w:tcW w:w="359" w:type="pct"/>
            <w:tcBorders>
              <w:top w:val="nil"/>
              <w:left w:val="nil"/>
              <w:bottom w:val="nil"/>
              <w:right w:val="nil"/>
            </w:tcBorders>
            <w:shd w:val="clear" w:color="auto" w:fill="FFFFFF"/>
            <w:tcMar>
              <w:top w:w="30" w:type="dxa"/>
              <w:left w:w="60" w:type="dxa"/>
              <w:bottom w:w="30" w:type="dxa"/>
              <w:right w:w="60" w:type="dxa"/>
            </w:tcMar>
            <w:vAlign w:val="top"/>
          </w:tcPr>
          <w:p w14:paraId="734E64BE">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High</w:t>
            </w:r>
          </w:p>
        </w:tc>
        <w:tc>
          <w:tcPr>
            <w:tcW w:w="359" w:type="pct"/>
            <w:tcBorders>
              <w:top w:val="nil"/>
              <w:left w:val="nil"/>
              <w:bottom w:val="nil"/>
              <w:right w:val="nil"/>
            </w:tcBorders>
            <w:shd w:val="clear" w:color="auto" w:fill="FFFFFF"/>
            <w:tcMar>
              <w:top w:w="30" w:type="dxa"/>
              <w:left w:w="60" w:type="dxa"/>
              <w:bottom w:w="30" w:type="dxa"/>
              <w:right w:w="60" w:type="dxa"/>
            </w:tcMar>
            <w:vAlign w:val="top"/>
          </w:tcPr>
          <w:p w14:paraId="2DB36E40">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High</w:t>
            </w:r>
          </w:p>
        </w:tc>
        <w:tc>
          <w:tcPr>
            <w:tcW w:w="359" w:type="pct"/>
            <w:tcBorders>
              <w:top w:val="nil"/>
              <w:left w:val="nil"/>
              <w:bottom w:val="nil"/>
              <w:right w:val="nil"/>
            </w:tcBorders>
            <w:shd w:val="clear" w:color="auto" w:fill="FFFFFF"/>
            <w:tcMar>
              <w:top w:w="30" w:type="dxa"/>
              <w:left w:w="60" w:type="dxa"/>
              <w:bottom w:w="30" w:type="dxa"/>
              <w:right w:w="60" w:type="dxa"/>
            </w:tcMar>
            <w:vAlign w:val="top"/>
          </w:tcPr>
          <w:p w14:paraId="07E7F1A3">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Low</w:t>
            </w:r>
          </w:p>
        </w:tc>
        <w:tc>
          <w:tcPr>
            <w:tcW w:w="478" w:type="pct"/>
            <w:tcBorders>
              <w:top w:val="nil"/>
              <w:left w:val="nil"/>
              <w:bottom w:val="nil"/>
              <w:right w:val="nil"/>
            </w:tcBorders>
            <w:shd w:val="clear" w:color="auto" w:fill="FFFFFF"/>
            <w:tcMar>
              <w:top w:w="30" w:type="dxa"/>
              <w:left w:w="60" w:type="dxa"/>
              <w:bottom w:w="30" w:type="dxa"/>
              <w:right w:w="60" w:type="dxa"/>
            </w:tcMar>
            <w:vAlign w:val="top"/>
          </w:tcPr>
          <w:p w14:paraId="6073CD65">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High</w:t>
            </w:r>
          </w:p>
        </w:tc>
        <w:tc>
          <w:tcPr>
            <w:tcW w:w="478" w:type="pct"/>
            <w:tcBorders>
              <w:top w:val="nil"/>
              <w:left w:val="nil"/>
              <w:bottom w:val="nil"/>
              <w:right w:val="nil"/>
            </w:tcBorders>
            <w:shd w:val="clear" w:color="auto" w:fill="FFFFFF"/>
            <w:tcMar>
              <w:top w:w="30" w:type="dxa"/>
              <w:left w:w="60" w:type="dxa"/>
              <w:bottom w:w="30" w:type="dxa"/>
              <w:right w:w="60" w:type="dxa"/>
            </w:tcMar>
            <w:vAlign w:val="top"/>
          </w:tcPr>
          <w:p w14:paraId="3F72194A">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High</w:t>
            </w:r>
          </w:p>
        </w:tc>
      </w:tr>
      <w:tr w14:paraId="1C9B31AB">
        <w:tc>
          <w:tcPr>
            <w:tcW w:w="539" w:type="pct"/>
            <w:tcBorders>
              <w:top w:val="nil"/>
              <w:left w:val="nil"/>
              <w:bottom w:val="nil"/>
              <w:right w:val="nil"/>
            </w:tcBorders>
            <w:shd w:val="clear" w:color="auto" w:fill="FFFFFF"/>
            <w:tcMar>
              <w:top w:w="30" w:type="dxa"/>
              <w:left w:w="60" w:type="dxa"/>
              <w:bottom w:w="30" w:type="dxa"/>
              <w:right w:w="60" w:type="dxa"/>
            </w:tcMar>
            <w:vAlign w:val="top"/>
          </w:tcPr>
          <w:p w14:paraId="73FF511C">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Wu F</w:t>
            </w:r>
          </w:p>
        </w:tc>
        <w:tc>
          <w:tcPr>
            <w:tcW w:w="230" w:type="pct"/>
            <w:tcBorders>
              <w:top w:val="nil"/>
              <w:left w:val="nil"/>
              <w:bottom w:val="nil"/>
              <w:right w:val="nil"/>
            </w:tcBorders>
            <w:shd w:val="clear" w:color="auto" w:fill="FFFFFF"/>
            <w:tcMar>
              <w:top w:w="30" w:type="dxa"/>
              <w:left w:w="60" w:type="dxa"/>
              <w:bottom w:w="30" w:type="dxa"/>
              <w:right w:w="60" w:type="dxa"/>
            </w:tcMar>
            <w:vAlign w:val="top"/>
          </w:tcPr>
          <w:p w14:paraId="598133D1">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2025</w:t>
            </w:r>
          </w:p>
        </w:tc>
        <w:tc>
          <w:tcPr>
            <w:tcW w:w="755" w:type="pct"/>
            <w:tcBorders>
              <w:top w:val="nil"/>
              <w:left w:val="nil"/>
              <w:bottom w:val="nil"/>
              <w:right w:val="nil"/>
            </w:tcBorders>
            <w:shd w:val="clear" w:color="auto" w:fill="FFFFFF"/>
            <w:tcMar>
              <w:top w:w="30" w:type="dxa"/>
              <w:left w:w="60" w:type="dxa"/>
              <w:bottom w:w="30" w:type="dxa"/>
              <w:right w:w="60" w:type="dxa"/>
            </w:tcMar>
            <w:vAlign w:val="top"/>
          </w:tcPr>
          <w:p w14:paraId="3DAB4EC7">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IEEE Trans Neural Syst Rehabil Eng</w:t>
            </w:r>
          </w:p>
        </w:tc>
        <w:tc>
          <w:tcPr>
            <w:tcW w:w="359" w:type="pct"/>
            <w:tcBorders>
              <w:top w:val="nil"/>
              <w:left w:val="nil"/>
              <w:bottom w:val="nil"/>
              <w:right w:val="nil"/>
            </w:tcBorders>
            <w:shd w:val="clear" w:color="auto" w:fill="FFFFFF"/>
            <w:tcMar>
              <w:top w:w="30" w:type="dxa"/>
              <w:left w:w="60" w:type="dxa"/>
              <w:bottom w:w="30" w:type="dxa"/>
              <w:right w:w="60" w:type="dxa"/>
            </w:tcMar>
            <w:vAlign w:val="top"/>
          </w:tcPr>
          <w:p w14:paraId="6597FA20">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High</w:t>
            </w:r>
          </w:p>
        </w:tc>
        <w:tc>
          <w:tcPr>
            <w:tcW w:w="359" w:type="pct"/>
            <w:tcBorders>
              <w:top w:val="nil"/>
              <w:left w:val="nil"/>
              <w:bottom w:val="nil"/>
              <w:right w:val="nil"/>
            </w:tcBorders>
            <w:shd w:val="clear" w:color="auto" w:fill="FFFFFF"/>
            <w:tcMar>
              <w:top w:w="30" w:type="dxa"/>
              <w:left w:w="60" w:type="dxa"/>
              <w:bottom w:w="30" w:type="dxa"/>
              <w:right w:w="60" w:type="dxa"/>
            </w:tcMar>
            <w:vAlign w:val="top"/>
          </w:tcPr>
          <w:p w14:paraId="3C727CE9">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Low</w:t>
            </w:r>
          </w:p>
        </w:tc>
        <w:tc>
          <w:tcPr>
            <w:tcW w:w="359" w:type="pct"/>
            <w:tcBorders>
              <w:top w:val="nil"/>
              <w:left w:val="nil"/>
              <w:bottom w:val="nil"/>
              <w:right w:val="nil"/>
            </w:tcBorders>
            <w:shd w:val="clear" w:color="auto" w:fill="FFFFFF"/>
            <w:tcMar>
              <w:top w:w="30" w:type="dxa"/>
              <w:left w:w="60" w:type="dxa"/>
              <w:bottom w:w="30" w:type="dxa"/>
              <w:right w:w="60" w:type="dxa"/>
            </w:tcMar>
            <w:vAlign w:val="top"/>
          </w:tcPr>
          <w:p w14:paraId="1A39201C">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Low</w:t>
            </w:r>
          </w:p>
        </w:tc>
        <w:tc>
          <w:tcPr>
            <w:tcW w:w="360" w:type="pct"/>
            <w:tcBorders>
              <w:top w:val="nil"/>
              <w:left w:val="nil"/>
              <w:bottom w:val="nil"/>
              <w:right w:val="nil"/>
            </w:tcBorders>
            <w:shd w:val="clear" w:color="auto" w:fill="FFFFFF"/>
            <w:tcMar>
              <w:top w:w="30" w:type="dxa"/>
              <w:left w:w="60" w:type="dxa"/>
              <w:bottom w:w="30" w:type="dxa"/>
              <w:right w:w="60" w:type="dxa"/>
            </w:tcMar>
            <w:vAlign w:val="top"/>
          </w:tcPr>
          <w:p w14:paraId="410DD92A">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High</w:t>
            </w:r>
          </w:p>
        </w:tc>
        <w:tc>
          <w:tcPr>
            <w:tcW w:w="359" w:type="pct"/>
            <w:tcBorders>
              <w:top w:val="nil"/>
              <w:left w:val="nil"/>
              <w:bottom w:val="nil"/>
              <w:right w:val="nil"/>
            </w:tcBorders>
            <w:shd w:val="clear" w:color="auto" w:fill="FFFFFF"/>
            <w:tcMar>
              <w:top w:w="30" w:type="dxa"/>
              <w:left w:w="60" w:type="dxa"/>
              <w:bottom w:w="30" w:type="dxa"/>
              <w:right w:w="60" w:type="dxa"/>
            </w:tcMar>
            <w:vAlign w:val="top"/>
          </w:tcPr>
          <w:p w14:paraId="6A3E5847">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High</w:t>
            </w:r>
          </w:p>
        </w:tc>
        <w:tc>
          <w:tcPr>
            <w:tcW w:w="359" w:type="pct"/>
            <w:tcBorders>
              <w:top w:val="nil"/>
              <w:left w:val="nil"/>
              <w:bottom w:val="nil"/>
              <w:right w:val="nil"/>
            </w:tcBorders>
            <w:shd w:val="clear" w:color="auto" w:fill="FFFFFF"/>
            <w:tcMar>
              <w:top w:w="30" w:type="dxa"/>
              <w:left w:w="60" w:type="dxa"/>
              <w:bottom w:w="30" w:type="dxa"/>
              <w:right w:w="60" w:type="dxa"/>
            </w:tcMar>
            <w:vAlign w:val="top"/>
          </w:tcPr>
          <w:p w14:paraId="3F57A126">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High</w:t>
            </w:r>
          </w:p>
        </w:tc>
        <w:tc>
          <w:tcPr>
            <w:tcW w:w="359" w:type="pct"/>
            <w:tcBorders>
              <w:top w:val="nil"/>
              <w:left w:val="nil"/>
              <w:bottom w:val="nil"/>
              <w:right w:val="nil"/>
            </w:tcBorders>
            <w:shd w:val="clear" w:color="auto" w:fill="FFFFFF"/>
            <w:tcMar>
              <w:top w:w="30" w:type="dxa"/>
              <w:left w:w="60" w:type="dxa"/>
              <w:bottom w:w="30" w:type="dxa"/>
              <w:right w:w="60" w:type="dxa"/>
            </w:tcMar>
            <w:vAlign w:val="top"/>
          </w:tcPr>
          <w:p w14:paraId="36A8BCDD">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Low</w:t>
            </w:r>
          </w:p>
        </w:tc>
        <w:tc>
          <w:tcPr>
            <w:tcW w:w="478" w:type="pct"/>
            <w:tcBorders>
              <w:top w:val="nil"/>
              <w:left w:val="nil"/>
              <w:bottom w:val="nil"/>
              <w:right w:val="nil"/>
            </w:tcBorders>
            <w:shd w:val="clear" w:color="auto" w:fill="FFFFFF"/>
            <w:tcMar>
              <w:top w:w="30" w:type="dxa"/>
              <w:left w:w="60" w:type="dxa"/>
              <w:bottom w:w="30" w:type="dxa"/>
              <w:right w:w="60" w:type="dxa"/>
            </w:tcMar>
            <w:vAlign w:val="top"/>
          </w:tcPr>
          <w:p w14:paraId="1792299B">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High</w:t>
            </w:r>
          </w:p>
        </w:tc>
        <w:tc>
          <w:tcPr>
            <w:tcW w:w="478" w:type="pct"/>
            <w:tcBorders>
              <w:top w:val="nil"/>
              <w:left w:val="nil"/>
              <w:bottom w:val="nil"/>
              <w:right w:val="nil"/>
            </w:tcBorders>
            <w:shd w:val="clear" w:color="auto" w:fill="FFFFFF"/>
            <w:tcMar>
              <w:top w:w="30" w:type="dxa"/>
              <w:left w:w="60" w:type="dxa"/>
              <w:bottom w:w="30" w:type="dxa"/>
              <w:right w:w="60" w:type="dxa"/>
            </w:tcMar>
            <w:vAlign w:val="top"/>
          </w:tcPr>
          <w:p w14:paraId="75857650">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High</w:t>
            </w:r>
          </w:p>
        </w:tc>
      </w:tr>
      <w:tr w14:paraId="4A296EA3">
        <w:tc>
          <w:tcPr>
            <w:tcW w:w="539" w:type="pct"/>
            <w:tcBorders>
              <w:top w:val="nil"/>
              <w:left w:val="nil"/>
              <w:bottom w:val="nil"/>
              <w:right w:val="nil"/>
            </w:tcBorders>
            <w:shd w:val="clear" w:color="auto" w:fill="FFFFFF"/>
            <w:tcMar>
              <w:top w:w="30" w:type="dxa"/>
              <w:left w:w="60" w:type="dxa"/>
              <w:bottom w:w="30" w:type="dxa"/>
              <w:right w:w="60" w:type="dxa"/>
            </w:tcMar>
            <w:vAlign w:val="top"/>
          </w:tcPr>
          <w:p w14:paraId="36339D16">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Li Y</w:t>
            </w:r>
          </w:p>
        </w:tc>
        <w:tc>
          <w:tcPr>
            <w:tcW w:w="230" w:type="pct"/>
            <w:tcBorders>
              <w:top w:val="nil"/>
              <w:left w:val="nil"/>
              <w:bottom w:val="nil"/>
              <w:right w:val="nil"/>
            </w:tcBorders>
            <w:shd w:val="clear" w:color="auto" w:fill="FFFFFF"/>
            <w:tcMar>
              <w:top w:w="30" w:type="dxa"/>
              <w:left w:w="60" w:type="dxa"/>
              <w:bottom w:w="30" w:type="dxa"/>
              <w:right w:w="60" w:type="dxa"/>
            </w:tcMar>
            <w:vAlign w:val="top"/>
          </w:tcPr>
          <w:p w14:paraId="1B19FC23">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2025</w:t>
            </w:r>
          </w:p>
        </w:tc>
        <w:tc>
          <w:tcPr>
            <w:tcW w:w="755" w:type="pct"/>
            <w:tcBorders>
              <w:top w:val="nil"/>
              <w:left w:val="nil"/>
              <w:bottom w:val="nil"/>
              <w:right w:val="nil"/>
            </w:tcBorders>
            <w:shd w:val="clear" w:color="auto" w:fill="FFFFFF"/>
            <w:tcMar>
              <w:top w:w="30" w:type="dxa"/>
              <w:left w:w="60" w:type="dxa"/>
              <w:bottom w:w="30" w:type="dxa"/>
              <w:right w:w="60" w:type="dxa"/>
            </w:tcMar>
            <w:vAlign w:val="top"/>
          </w:tcPr>
          <w:p w14:paraId="02E7FE80">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Biomed Signal Process Control</w:t>
            </w:r>
          </w:p>
        </w:tc>
        <w:tc>
          <w:tcPr>
            <w:tcW w:w="359" w:type="pct"/>
            <w:tcBorders>
              <w:top w:val="nil"/>
              <w:left w:val="nil"/>
              <w:bottom w:val="nil"/>
              <w:right w:val="nil"/>
            </w:tcBorders>
            <w:shd w:val="clear" w:color="auto" w:fill="FFFFFF"/>
            <w:tcMar>
              <w:top w:w="30" w:type="dxa"/>
              <w:left w:w="60" w:type="dxa"/>
              <w:bottom w:w="30" w:type="dxa"/>
              <w:right w:w="60" w:type="dxa"/>
            </w:tcMar>
            <w:vAlign w:val="top"/>
          </w:tcPr>
          <w:p w14:paraId="6057C6A6">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High</w:t>
            </w:r>
          </w:p>
        </w:tc>
        <w:tc>
          <w:tcPr>
            <w:tcW w:w="359" w:type="pct"/>
            <w:tcBorders>
              <w:top w:val="nil"/>
              <w:left w:val="nil"/>
              <w:bottom w:val="nil"/>
              <w:right w:val="nil"/>
            </w:tcBorders>
            <w:shd w:val="clear" w:color="auto" w:fill="FFFFFF"/>
            <w:tcMar>
              <w:top w:w="30" w:type="dxa"/>
              <w:left w:w="60" w:type="dxa"/>
              <w:bottom w:w="30" w:type="dxa"/>
              <w:right w:w="60" w:type="dxa"/>
            </w:tcMar>
            <w:vAlign w:val="top"/>
          </w:tcPr>
          <w:p w14:paraId="64103B12">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Low</w:t>
            </w:r>
          </w:p>
        </w:tc>
        <w:tc>
          <w:tcPr>
            <w:tcW w:w="359" w:type="pct"/>
            <w:tcBorders>
              <w:top w:val="nil"/>
              <w:left w:val="nil"/>
              <w:bottom w:val="nil"/>
              <w:right w:val="nil"/>
            </w:tcBorders>
            <w:shd w:val="clear" w:color="auto" w:fill="FFFFFF"/>
            <w:tcMar>
              <w:top w:w="30" w:type="dxa"/>
              <w:left w:w="60" w:type="dxa"/>
              <w:bottom w:w="30" w:type="dxa"/>
              <w:right w:w="60" w:type="dxa"/>
            </w:tcMar>
            <w:vAlign w:val="top"/>
          </w:tcPr>
          <w:p w14:paraId="5ADA3B91">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Low</w:t>
            </w:r>
          </w:p>
        </w:tc>
        <w:tc>
          <w:tcPr>
            <w:tcW w:w="360" w:type="pct"/>
            <w:tcBorders>
              <w:top w:val="nil"/>
              <w:left w:val="nil"/>
              <w:bottom w:val="nil"/>
              <w:right w:val="nil"/>
            </w:tcBorders>
            <w:shd w:val="clear" w:color="auto" w:fill="FFFFFF"/>
            <w:tcMar>
              <w:top w:w="30" w:type="dxa"/>
              <w:left w:w="60" w:type="dxa"/>
              <w:bottom w:w="30" w:type="dxa"/>
              <w:right w:w="60" w:type="dxa"/>
            </w:tcMar>
            <w:vAlign w:val="top"/>
          </w:tcPr>
          <w:p w14:paraId="7AB6C2A2">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High</w:t>
            </w:r>
          </w:p>
        </w:tc>
        <w:tc>
          <w:tcPr>
            <w:tcW w:w="359" w:type="pct"/>
            <w:tcBorders>
              <w:top w:val="nil"/>
              <w:left w:val="nil"/>
              <w:bottom w:val="nil"/>
              <w:right w:val="nil"/>
            </w:tcBorders>
            <w:shd w:val="clear" w:color="auto" w:fill="FFFFFF"/>
            <w:tcMar>
              <w:top w:w="30" w:type="dxa"/>
              <w:left w:w="60" w:type="dxa"/>
              <w:bottom w:w="30" w:type="dxa"/>
              <w:right w:w="60" w:type="dxa"/>
            </w:tcMar>
            <w:vAlign w:val="top"/>
          </w:tcPr>
          <w:p w14:paraId="75C158EB">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High</w:t>
            </w:r>
          </w:p>
        </w:tc>
        <w:tc>
          <w:tcPr>
            <w:tcW w:w="359" w:type="pct"/>
            <w:tcBorders>
              <w:top w:val="nil"/>
              <w:left w:val="nil"/>
              <w:bottom w:val="nil"/>
              <w:right w:val="nil"/>
            </w:tcBorders>
            <w:shd w:val="clear" w:color="auto" w:fill="FFFFFF"/>
            <w:tcMar>
              <w:top w:w="30" w:type="dxa"/>
              <w:left w:w="60" w:type="dxa"/>
              <w:bottom w:w="30" w:type="dxa"/>
              <w:right w:w="60" w:type="dxa"/>
            </w:tcMar>
            <w:vAlign w:val="top"/>
          </w:tcPr>
          <w:p w14:paraId="7E342795">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High</w:t>
            </w:r>
          </w:p>
        </w:tc>
        <w:tc>
          <w:tcPr>
            <w:tcW w:w="359" w:type="pct"/>
            <w:tcBorders>
              <w:top w:val="nil"/>
              <w:left w:val="nil"/>
              <w:bottom w:val="nil"/>
              <w:right w:val="nil"/>
            </w:tcBorders>
            <w:shd w:val="clear" w:color="auto" w:fill="FFFFFF"/>
            <w:tcMar>
              <w:top w:w="30" w:type="dxa"/>
              <w:left w:w="60" w:type="dxa"/>
              <w:bottom w:w="30" w:type="dxa"/>
              <w:right w:w="60" w:type="dxa"/>
            </w:tcMar>
            <w:vAlign w:val="top"/>
          </w:tcPr>
          <w:p w14:paraId="26F2A6BE">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Low</w:t>
            </w:r>
          </w:p>
        </w:tc>
        <w:tc>
          <w:tcPr>
            <w:tcW w:w="478" w:type="pct"/>
            <w:tcBorders>
              <w:top w:val="nil"/>
              <w:left w:val="nil"/>
              <w:bottom w:val="nil"/>
              <w:right w:val="nil"/>
            </w:tcBorders>
            <w:shd w:val="clear" w:color="auto" w:fill="FFFFFF"/>
            <w:tcMar>
              <w:top w:w="30" w:type="dxa"/>
              <w:left w:w="60" w:type="dxa"/>
              <w:bottom w:w="30" w:type="dxa"/>
              <w:right w:w="60" w:type="dxa"/>
            </w:tcMar>
            <w:vAlign w:val="top"/>
          </w:tcPr>
          <w:p w14:paraId="00B6EF44">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High</w:t>
            </w:r>
          </w:p>
        </w:tc>
        <w:tc>
          <w:tcPr>
            <w:tcW w:w="478" w:type="pct"/>
            <w:tcBorders>
              <w:top w:val="nil"/>
              <w:left w:val="nil"/>
              <w:bottom w:val="nil"/>
              <w:right w:val="nil"/>
            </w:tcBorders>
            <w:shd w:val="clear" w:color="auto" w:fill="FFFFFF"/>
            <w:tcMar>
              <w:top w:w="30" w:type="dxa"/>
              <w:left w:w="60" w:type="dxa"/>
              <w:bottom w:w="30" w:type="dxa"/>
              <w:right w:w="60" w:type="dxa"/>
            </w:tcMar>
            <w:vAlign w:val="top"/>
          </w:tcPr>
          <w:p w14:paraId="00B1E0DD">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High</w:t>
            </w:r>
          </w:p>
        </w:tc>
      </w:tr>
      <w:tr w14:paraId="2FA53A46">
        <w:tc>
          <w:tcPr>
            <w:tcW w:w="539" w:type="pct"/>
            <w:tcBorders>
              <w:top w:val="nil"/>
              <w:left w:val="nil"/>
              <w:bottom w:val="nil"/>
              <w:right w:val="nil"/>
            </w:tcBorders>
            <w:shd w:val="clear" w:color="auto" w:fill="FFFFFF"/>
            <w:tcMar>
              <w:top w:w="30" w:type="dxa"/>
              <w:left w:w="60" w:type="dxa"/>
              <w:bottom w:w="30" w:type="dxa"/>
              <w:right w:w="60" w:type="dxa"/>
            </w:tcMar>
            <w:vAlign w:val="top"/>
          </w:tcPr>
          <w:p w14:paraId="2F9EB339">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Li N</w:t>
            </w:r>
          </w:p>
        </w:tc>
        <w:tc>
          <w:tcPr>
            <w:tcW w:w="230" w:type="pct"/>
            <w:tcBorders>
              <w:top w:val="nil"/>
              <w:left w:val="nil"/>
              <w:bottom w:val="nil"/>
              <w:right w:val="nil"/>
            </w:tcBorders>
            <w:shd w:val="clear" w:color="auto" w:fill="FFFFFF"/>
            <w:tcMar>
              <w:top w:w="30" w:type="dxa"/>
              <w:left w:w="60" w:type="dxa"/>
              <w:bottom w:w="30" w:type="dxa"/>
              <w:right w:w="60" w:type="dxa"/>
            </w:tcMar>
            <w:vAlign w:val="top"/>
          </w:tcPr>
          <w:p w14:paraId="058070CD">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2024</w:t>
            </w:r>
          </w:p>
        </w:tc>
        <w:tc>
          <w:tcPr>
            <w:tcW w:w="755" w:type="pct"/>
            <w:tcBorders>
              <w:top w:val="nil"/>
              <w:left w:val="nil"/>
              <w:bottom w:val="nil"/>
              <w:right w:val="nil"/>
            </w:tcBorders>
            <w:shd w:val="clear" w:color="auto" w:fill="FFFFFF"/>
            <w:tcMar>
              <w:top w:w="30" w:type="dxa"/>
              <w:left w:w="60" w:type="dxa"/>
              <w:bottom w:w="30" w:type="dxa"/>
              <w:right w:w="60" w:type="dxa"/>
            </w:tcMar>
            <w:vAlign w:val="top"/>
          </w:tcPr>
          <w:p w14:paraId="6ECB7847">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J Sports Sciences</w:t>
            </w:r>
          </w:p>
        </w:tc>
        <w:tc>
          <w:tcPr>
            <w:tcW w:w="359" w:type="pct"/>
            <w:tcBorders>
              <w:top w:val="nil"/>
              <w:left w:val="nil"/>
              <w:bottom w:val="nil"/>
              <w:right w:val="nil"/>
            </w:tcBorders>
            <w:shd w:val="clear" w:color="auto" w:fill="FFFFFF"/>
            <w:tcMar>
              <w:top w:w="30" w:type="dxa"/>
              <w:left w:w="60" w:type="dxa"/>
              <w:bottom w:w="30" w:type="dxa"/>
              <w:right w:w="60" w:type="dxa"/>
            </w:tcMar>
            <w:vAlign w:val="top"/>
          </w:tcPr>
          <w:p w14:paraId="144BDEEE">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Low</w:t>
            </w:r>
          </w:p>
        </w:tc>
        <w:tc>
          <w:tcPr>
            <w:tcW w:w="359" w:type="pct"/>
            <w:tcBorders>
              <w:top w:val="nil"/>
              <w:left w:val="nil"/>
              <w:bottom w:val="nil"/>
              <w:right w:val="nil"/>
            </w:tcBorders>
            <w:shd w:val="clear" w:color="auto" w:fill="FFFFFF"/>
            <w:tcMar>
              <w:top w:w="30" w:type="dxa"/>
              <w:left w:w="60" w:type="dxa"/>
              <w:bottom w:w="30" w:type="dxa"/>
              <w:right w:w="60" w:type="dxa"/>
            </w:tcMar>
            <w:vAlign w:val="top"/>
          </w:tcPr>
          <w:p w14:paraId="31AE804E">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Low</w:t>
            </w:r>
          </w:p>
        </w:tc>
        <w:tc>
          <w:tcPr>
            <w:tcW w:w="359" w:type="pct"/>
            <w:tcBorders>
              <w:top w:val="nil"/>
              <w:left w:val="nil"/>
              <w:bottom w:val="nil"/>
              <w:right w:val="nil"/>
            </w:tcBorders>
            <w:shd w:val="clear" w:color="auto" w:fill="FFFFFF"/>
            <w:tcMar>
              <w:top w:w="30" w:type="dxa"/>
              <w:left w:w="60" w:type="dxa"/>
              <w:bottom w:w="30" w:type="dxa"/>
              <w:right w:w="60" w:type="dxa"/>
            </w:tcMar>
            <w:vAlign w:val="top"/>
          </w:tcPr>
          <w:p w14:paraId="16BBDD78">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Low</w:t>
            </w:r>
          </w:p>
        </w:tc>
        <w:tc>
          <w:tcPr>
            <w:tcW w:w="360" w:type="pct"/>
            <w:tcBorders>
              <w:top w:val="nil"/>
              <w:left w:val="nil"/>
              <w:bottom w:val="nil"/>
              <w:right w:val="nil"/>
            </w:tcBorders>
            <w:shd w:val="clear" w:color="auto" w:fill="FFFFFF"/>
            <w:tcMar>
              <w:top w:w="30" w:type="dxa"/>
              <w:left w:w="60" w:type="dxa"/>
              <w:bottom w:w="30" w:type="dxa"/>
              <w:right w:w="60" w:type="dxa"/>
            </w:tcMar>
            <w:vAlign w:val="top"/>
          </w:tcPr>
          <w:p w14:paraId="66BE4E3C">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High</w:t>
            </w:r>
          </w:p>
        </w:tc>
        <w:tc>
          <w:tcPr>
            <w:tcW w:w="359" w:type="pct"/>
            <w:tcBorders>
              <w:top w:val="nil"/>
              <w:left w:val="nil"/>
              <w:bottom w:val="nil"/>
              <w:right w:val="nil"/>
            </w:tcBorders>
            <w:shd w:val="clear" w:color="auto" w:fill="FFFFFF"/>
            <w:tcMar>
              <w:top w:w="30" w:type="dxa"/>
              <w:left w:w="60" w:type="dxa"/>
              <w:bottom w:w="30" w:type="dxa"/>
              <w:right w:w="60" w:type="dxa"/>
            </w:tcMar>
            <w:vAlign w:val="top"/>
          </w:tcPr>
          <w:p w14:paraId="55694B91">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High</w:t>
            </w:r>
          </w:p>
        </w:tc>
        <w:tc>
          <w:tcPr>
            <w:tcW w:w="359" w:type="pct"/>
            <w:tcBorders>
              <w:top w:val="nil"/>
              <w:left w:val="nil"/>
              <w:bottom w:val="nil"/>
              <w:right w:val="nil"/>
            </w:tcBorders>
            <w:shd w:val="clear" w:color="auto" w:fill="FFFFFF"/>
            <w:tcMar>
              <w:top w:w="30" w:type="dxa"/>
              <w:left w:w="60" w:type="dxa"/>
              <w:bottom w:w="30" w:type="dxa"/>
              <w:right w:w="60" w:type="dxa"/>
            </w:tcMar>
            <w:vAlign w:val="top"/>
          </w:tcPr>
          <w:p w14:paraId="590DBF59">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Low</w:t>
            </w:r>
          </w:p>
        </w:tc>
        <w:tc>
          <w:tcPr>
            <w:tcW w:w="359" w:type="pct"/>
            <w:tcBorders>
              <w:top w:val="nil"/>
              <w:left w:val="nil"/>
              <w:bottom w:val="nil"/>
              <w:right w:val="nil"/>
            </w:tcBorders>
            <w:shd w:val="clear" w:color="auto" w:fill="FFFFFF"/>
            <w:tcMar>
              <w:top w:w="30" w:type="dxa"/>
              <w:left w:w="60" w:type="dxa"/>
              <w:bottom w:w="30" w:type="dxa"/>
              <w:right w:w="60" w:type="dxa"/>
            </w:tcMar>
            <w:vAlign w:val="top"/>
          </w:tcPr>
          <w:p w14:paraId="778AF2DE">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Low</w:t>
            </w:r>
          </w:p>
        </w:tc>
        <w:tc>
          <w:tcPr>
            <w:tcW w:w="478" w:type="pct"/>
            <w:tcBorders>
              <w:top w:val="nil"/>
              <w:left w:val="nil"/>
              <w:bottom w:val="nil"/>
              <w:right w:val="nil"/>
            </w:tcBorders>
            <w:shd w:val="clear" w:color="auto" w:fill="FFFFFF"/>
            <w:tcMar>
              <w:top w:w="30" w:type="dxa"/>
              <w:left w:w="60" w:type="dxa"/>
              <w:bottom w:w="30" w:type="dxa"/>
              <w:right w:w="60" w:type="dxa"/>
            </w:tcMar>
            <w:vAlign w:val="top"/>
          </w:tcPr>
          <w:p w14:paraId="0F2BC5B5">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High</w:t>
            </w:r>
          </w:p>
        </w:tc>
        <w:tc>
          <w:tcPr>
            <w:tcW w:w="478" w:type="pct"/>
            <w:tcBorders>
              <w:top w:val="nil"/>
              <w:left w:val="nil"/>
              <w:bottom w:val="nil"/>
              <w:right w:val="nil"/>
            </w:tcBorders>
            <w:shd w:val="clear" w:color="auto" w:fill="FFFFFF"/>
            <w:tcMar>
              <w:top w:w="30" w:type="dxa"/>
              <w:left w:w="60" w:type="dxa"/>
              <w:bottom w:w="30" w:type="dxa"/>
              <w:right w:w="60" w:type="dxa"/>
            </w:tcMar>
            <w:vAlign w:val="top"/>
          </w:tcPr>
          <w:p w14:paraId="4687B8C0">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High</w:t>
            </w:r>
          </w:p>
        </w:tc>
      </w:tr>
      <w:tr w14:paraId="6AB8924B">
        <w:tc>
          <w:tcPr>
            <w:tcW w:w="539" w:type="pct"/>
            <w:tcBorders>
              <w:top w:val="nil"/>
              <w:left w:val="nil"/>
              <w:bottom w:val="nil"/>
              <w:right w:val="nil"/>
            </w:tcBorders>
            <w:shd w:val="clear" w:color="auto" w:fill="FFFFFF"/>
            <w:tcMar>
              <w:top w:w="30" w:type="dxa"/>
              <w:left w:w="60" w:type="dxa"/>
              <w:bottom w:w="30" w:type="dxa"/>
              <w:right w:w="60" w:type="dxa"/>
            </w:tcMar>
            <w:vAlign w:val="top"/>
          </w:tcPr>
          <w:p w14:paraId="341E3C97">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Abtahi M</w:t>
            </w:r>
          </w:p>
        </w:tc>
        <w:tc>
          <w:tcPr>
            <w:tcW w:w="230" w:type="pct"/>
            <w:tcBorders>
              <w:top w:val="nil"/>
              <w:left w:val="nil"/>
              <w:bottom w:val="nil"/>
              <w:right w:val="nil"/>
            </w:tcBorders>
            <w:shd w:val="clear" w:color="auto" w:fill="FFFFFF"/>
            <w:tcMar>
              <w:top w:w="30" w:type="dxa"/>
              <w:left w:w="60" w:type="dxa"/>
              <w:bottom w:w="30" w:type="dxa"/>
              <w:right w:w="60" w:type="dxa"/>
            </w:tcMar>
            <w:vAlign w:val="top"/>
          </w:tcPr>
          <w:p w14:paraId="2D8D0240">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2020</w:t>
            </w:r>
          </w:p>
        </w:tc>
        <w:tc>
          <w:tcPr>
            <w:tcW w:w="755" w:type="pct"/>
            <w:tcBorders>
              <w:top w:val="nil"/>
              <w:left w:val="nil"/>
              <w:bottom w:val="nil"/>
              <w:right w:val="nil"/>
            </w:tcBorders>
            <w:shd w:val="clear" w:color="auto" w:fill="FFFFFF"/>
            <w:tcMar>
              <w:top w:w="30" w:type="dxa"/>
              <w:left w:w="60" w:type="dxa"/>
              <w:bottom w:w="30" w:type="dxa"/>
              <w:right w:w="60" w:type="dxa"/>
            </w:tcMar>
            <w:vAlign w:val="top"/>
          </w:tcPr>
          <w:p w14:paraId="79091105">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IEEE Trans Neural Syst Rehabil Eng</w:t>
            </w:r>
          </w:p>
        </w:tc>
        <w:tc>
          <w:tcPr>
            <w:tcW w:w="359" w:type="pct"/>
            <w:tcBorders>
              <w:top w:val="nil"/>
              <w:left w:val="nil"/>
              <w:bottom w:val="nil"/>
              <w:right w:val="nil"/>
            </w:tcBorders>
            <w:shd w:val="clear" w:color="auto" w:fill="FFFFFF"/>
            <w:tcMar>
              <w:top w:w="30" w:type="dxa"/>
              <w:left w:w="60" w:type="dxa"/>
              <w:bottom w:w="30" w:type="dxa"/>
              <w:right w:w="60" w:type="dxa"/>
            </w:tcMar>
            <w:vAlign w:val="top"/>
          </w:tcPr>
          <w:p w14:paraId="2356C2DE">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Low</w:t>
            </w:r>
          </w:p>
        </w:tc>
        <w:tc>
          <w:tcPr>
            <w:tcW w:w="359" w:type="pct"/>
            <w:tcBorders>
              <w:top w:val="nil"/>
              <w:left w:val="nil"/>
              <w:bottom w:val="nil"/>
              <w:right w:val="nil"/>
            </w:tcBorders>
            <w:shd w:val="clear" w:color="auto" w:fill="FFFFFF"/>
            <w:tcMar>
              <w:top w:w="30" w:type="dxa"/>
              <w:left w:w="60" w:type="dxa"/>
              <w:bottom w:w="30" w:type="dxa"/>
              <w:right w:w="60" w:type="dxa"/>
            </w:tcMar>
            <w:vAlign w:val="top"/>
          </w:tcPr>
          <w:p w14:paraId="33DD6765">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Low</w:t>
            </w:r>
          </w:p>
        </w:tc>
        <w:tc>
          <w:tcPr>
            <w:tcW w:w="359" w:type="pct"/>
            <w:tcBorders>
              <w:top w:val="nil"/>
              <w:left w:val="nil"/>
              <w:bottom w:val="nil"/>
              <w:right w:val="nil"/>
            </w:tcBorders>
            <w:shd w:val="clear" w:color="auto" w:fill="FFFFFF"/>
            <w:tcMar>
              <w:top w:w="30" w:type="dxa"/>
              <w:left w:w="60" w:type="dxa"/>
              <w:bottom w:w="30" w:type="dxa"/>
              <w:right w:w="60" w:type="dxa"/>
            </w:tcMar>
            <w:vAlign w:val="top"/>
          </w:tcPr>
          <w:p w14:paraId="3023EC29">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Low</w:t>
            </w:r>
          </w:p>
        </w:tc>
        <w:tc>
          <w:tcPr>
            <w:tcW w:w="360" w:type="pct"/>
            <w:tcBorders>
              <w:top w:val="nil"/>
              <w:left w:val="nil"/>
              <w:bottom w:val="nil"/>
              <w:right w:val="nil"/>
            </w:tcBorders>
            <w:shd w:val="clear" w:color="auto" w:fill="FFFFFF"/>
            <w:tcMar>
              <w:top w:w="30" w:type="dxa"/>
              <w:left w:w="60" w:type="dxa"/>
              <w:bottom w:w="30" w:type="dxa"/>
              <w:right w:w="60" w:type="dxa"/>
            </w:tcMar>
            <w:vAlign w:val="top"/>
          </w:tcPr>
          <w:p w14:paraId="0036A36C">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High</w:t>
            </w:r>
          </w:p>
        </w:tc>
        <w:tc>
          <w:tcPr>
            <w:tcW w:w="359" w:type="pct"/>
            <w:tcBorders>
              <w:top w:val="nil"/>
              <w:left w:val="nil"/>
              <w:bottom w:val="nil"/>
              <w:right w:val="nil"/>
            </w:tcBorders>
            <w:shd w:val="clear" w:color="auto" w:fill="FFFFFF"/>
            <w:tcMar>
              <w:top w:w="30" w:type="dxa"/>
              <w:left w:w="60" w:type="dxa"/>
              <w:bottom w:w="30" w:type="dxa"/>
              <w:right w:w="60" w:type="dxa"/>
            </w:tcMar>
            <w:vAlign w:val="top"/>
          </w:tcPr>
          <w:p w14:paraId="08ED6067">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Low</w:t>
            </w:r>
          </w:p>
        </w:tc>
        <w:tc>
          <w:tcPr>
            <w:tcW w:w="359" w:type="pct"/>
            <w:tcBorders>
              <w:top w:val="nil"/>
              <w:left w:val="nil"/>
              <w:bottom w:val="nil"/>
              <w:right w:val="nil"/>
            </w:tcBorders>
            <w:shd w:val="clear" w:color="auto" w:fill="FFFFFF"/>
            <w:tcMar>
              <w:top w:w="30" w:type="dxa"/>
              <w:left w:w="60" w:type="dxa"/>
              <w:bottom w:w="30" w:type="dxa"/>
              <w:right w:w="60" w:type="dxa"/>
            </w:tcMar>
            <w:vAlign w:val="top"/>
          </w:tcPr>
          <w:p w14:paraId="04E91A75">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High</w:t>
            </w:r>
          </w:p>
        </w:tc>
        <w:tc>
          <w:tcPr>
            <w:tcW w:w="359" w:type="pct"/>
            <w:tcBorders>
              <w:top w:val="nil"/>
              <w:left w:val="nil"/>
              <w:bottom w:val="nil"/>
              <w:right w:val="nil"/>
            </w:tcBorders>
            <w:shd w:val="clear" w:color="auto" w:fill="FFFFFF"/>
            <w:tcMar>
              <w:top w:w="30" w:type="dxa"/>
              <w:left w:w="60" w:type="dxa"/>
              <w:bottom w:w="30" w:type="dxa"/>
              <w:right w:w="60" w:type="dxa"/>
            </w:tcMar>
            <w:vAlign w:val="top"/>
          </w:tcPr>
          <w:p w14:paraId="57217491">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Low</w:t>
            </w:r>
          </w:p>
        </w:tc>
        <w:tc>
          <w:tcPr>
            <w:tcW w:w="478" w:type="pct"/>
            <w:tcBorders>
              <w:top w:val="nil"/>
              <w:left w:val="nil"/>
              <w:bottom w:val="nil"/>
              <w:right w:val="nil"/>
            </w:tcBorders>
            <w:shd w:val="clear" w:color="auto" w:fill="FFFFFF"/>
            <w:tcMar>
              <w:top w:w="30" w:type="dxa"/>
              <w:left w:w="60" w:type="dxa"/>
              <w:bottom w:w="30" w:type="dxa"/>
              <w:right w:w="60" w:type="dxa"/>
            </w:tcMar>
            <w:vAlign w:val="top"/>
          </w:tcPr>
          <w:p w14:paraId="64BC9813">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High</w:t>
            </w:r>
          </w:p>
        </w:tc>
        <w:tc>
          <w:tcPr>
            <w:tcW w:w="478" w:type="pct"/>
            <w:tcBorders>
              <w:top w:val="nil"/>
              <w:left w:val="nil"/>
              <w:bottom w:val="nil"/>
              <w:right w:val="nil"/>
            </w:tcBorders>
            <w:shd w:val="clear" w:color="auto" w:fill="FFFFFF"/>
            <w:tcMar>
              <w:top w:w="30" w:type="dxa"/>
              <w:left w:w="60" w:type="dxa"/>
              <w:bottom w:w="30" w:type="dxa"/>
              <w:right w:w="60" w:type="dxa"/>
            </w:tcMar>
            <w:vAlign w:val="top"/>
          </w:tcPr>
          <w:p w14:paraId="6A481DC3">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High</w:t>
            </w:r>
          </w:p>
        </w:tc>
      </w:tr>
      <w:tr w14:paraId="582A477D">
        <w:tc>
          <w:tcPr>
            <w:tcW w:w="539" w:type="pct"/>
            <w:tcBorders>
              <w:top w:val="nil"/>
              <w:left w:val="nil"/>
              <w:bottom w:val="nil"/>
              <w:right w:val="nil"/>
            </w:tcBorders>
            <w:shd w:val="clear" w:color="auto" w:fill="FFFFFF"/>
            <w:tcMar>
              <w:top w:w="30" w:type="dxa"/>
              <w:left w:w="60" w:type="dxa"/>
              <w:bottom w:w="30" w:type="dxa"/>
              <w:right w:w="60" w:type="dxa"/>
            </w:tcMar>
            <w:vAlign w:val="top"/>
          </w:tcPr>
          <w:p w14:paraId="0B4425C7">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Al-Shargie F</w:t>
            </w:r>
          </w:p>
        </w:tc>
        <w:tc>
          <w:tcPr>
            <w:tcW w:w="230" w:type="pct"/>
            <w:tcBorders>
              <w:top w:val="nil"/>
              <w:left w:val="nil"/>
              <w:bottom w:val="nil"/>
              <w:right w:val="nil"/>
            </w:tcBorders>
            <w:shd w:val="clear" w:color="auto" w:fill="FFFFFF"/>
            <w:tcMar>
              <w:top w:w="30" w:type="dxa"/>
              <w:left w:w="60" w:type="dxa"/>
              <w:bottom w:w="30" w:type="dxa"/>
              <w:right w:w="60" w:type="dxa"/>
            </w:tcMar>
            <w:vAlign w:val="top"/>
          </w:tcPr>
          <w:p w14:paraId="78770506">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2024</w:t>
            </w:r>
          </w:p>
        </w:tc>
        <w:tc>
          <w:tcPr>
            <w:tcW w:w="755" w:type="pct"/>
            <w:tcBorders>
              <w:top w:val="nil"/>
              <w:left w:val="nil"/>
              <w:bottom w:val="nil"/>
              <w:right w:val="nil"/>
            </w:tcBorders>
            <w:shd w:val="clear" w:color="auto" w:fill="FFFFFF"/>
            <w:tcMar>
              <w:top w:w="30" w:type="dxa"/>
              <w:left w:w="60" w:type="dxa"/>
              <w:bottom w:w="30" w:type="dxa"/>
              <w:right w:w="60" w:type="dxa"/>
            </w:tcMar>
            <w:vAlign w:val="top"/>
          </w:tcPr>
          <w:p w14:paraId="1ECD93FC">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IEEE Trans Neural Syst Rehabil Eng</w:t>
            </w:r>
          </w:p>
        </w:tc>
        <w:tc>
          <w:tcPr>
            <w:tcW w:w="359" w:type="pct"/>
            <w:tcBorders>
              <w:top w:val="nil"/>
              <w:left w:val="nil"/>
              <w:bottom w:val="nil"/>
              <w:right w:val="nil"/>
            </w:tcBorders>
            <w:shd w:val="clear" w:color="auto" w:fill="FFFFFF"/>
            <w:tcMar>
              <w:top w:w="30" w:type="dxa"/>
              <w:left w:w="60" w:type="dxa"/>
              <w:bottom w:w="30" w:type="dxa"/>
              <w:right w:w="60" w:type="dxa"/>
            </w:tcMar>
            <w:vAlign w:val="top"/>
          </w:tcPr>
          <w:p w14:paraId="2BE544D7">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Low</w:t>
            </w:r>
          </w:p>
        </w:tc>
        <w:tc>
          <w:tcPr>
            <w:tcW w:w="359" w:type="pct"/>
            <w:tcBorders>
              <w:top w:val="nil"/>
              <w:left w:val="nil"/>
              <w:bottom w:val="nil"/>
              <w:right w:val="nil"/>
            </w:tcBorders>
            <w:shd w:val="clear" w:color="auto" w:fill="FFFFFF"/>
            <w:tcMar>
              <w:top w:w="30" w:type="dxa"/>
              <w:left w:w="60" w:type="dxa"/>
              <w:bottom w:w="30" w:type="dxa"/>
              <w:right w:w="60" w:type="dxa"/>
            </w:tcMar>
            <w:vAlign w:val="top"/>
          </w:tcPr>
          <w:p w14:paraId="3FD2CACD">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Low</w:t>
            </w:r>
          </w:p>
        </w:tc>
        <w:tc>
          <w:tcPr>
            <w:tcW w:w="359" w:type="pct"/>
            <w:tcBorders>
              <w:top w:val="nil"/>
              <w:left w:val="nil"/>
              <w:bottom w:val="nil"/>
              <w:right w:val="nil"/>
            </w:tcBorders>
            <w:shd w:val="clear" w:color="auto" w:fill="FFFFFF"/>
            <w:tcMar>
              <w:top w:w="30" w:type="dxa"/>
              <w:left w:w="60" w:type="dxa"/>
              <w:bottom w:w="30" w:type="dxa"/>
              <w:right w:w="60" w:type="dxa"/>
            </w:tcMar>
            <w:vAlign w:val="top"/>
          </w:tcPr>
          <w:p w14:paraId="3797FE63">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Low</w:t>
            </w:r>
          </w:p>
        </w:tc>
        <w:tc>
          <w:tcPr>
            <w:tcW w:w="360" w:type="pct"/>
            <w:tcBorders>
              <w:top w:val="nil"/>
              <w:left w:val="nil"/>
              <w:bottom w:val="nil"/>
              <w:right w:val="nil"/>
            </w:tcBorders>
            <w:shd w:val="clear" w:color="auto" w:fill="FFFFFF"/>
            <w:tcMar>
              <w:top w:w="30" w:type="dxa"/>
              <w:left w:w="60" w:type="dxa"/>
              <w:bottom w:w="30" w:type="dxa"/>
              <w:right w:w="60" w:type="dxa"/>
            </w:tcMar>
            <w:vAlign w:val="top"/>
          </w:tcPr>
          <w:p w14:paraId="02109FFD">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High</w:t>
            </w:r>
          </w:p>
        </w:tc>
        <w:tc>
          <w:tcPr>
            <w:tcW w:w="359" w:type="pct"/>
            <w:tcBorders>
              <w:top w:val="nil"/>
              <w:left w:val="nil"/>
              <w:bottom w:val="nil"/>
              <w:right w:val="nil"/>
            </w:tcBorders>
            <w:shd w:val="clear" w:color="auto" w:fill="FFFFFF"/>
            <w:tcMar>
              <w:top w:w="30" w:type="dxa"/>
              <w:left w:w="60" w:type="dxa"/>
              <w:bottom w:w="30" w:type="dxa"/>
              <w:right w:w="60" w:type="dxa"/>
            </w:tcMar>
            <w:vAlign w:val="top"/>
          </w:tcPr>
          <w:p w14:paraId="759128D6">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Low</w:t>
            </w:r>
          </w:p>
        </w:tc>
        <w:tc>
          <w:tcPr>
            <w:tcW w:w="359" w:type="pct"/>
            <w:tcBorders>
              <w:top w:val="nil"/>
              <w:left w:val="nil"/>
              <w:bottom w:val="nil"/>
              <w:right w:val="nil"/>
            </w:tcBorders>
            <w:shd w:val="clear" w:color="auto" w:fill="FFFFFF"/>
            <w:tcMar>
              <w:top w:w="30" w:type="dxa"/>
              <w:left w:w="60" w:type="dxa"/>
              <w:bottom w:w="30" w:type="dxa"/>
              <w:right w:w="60" w:type="dxa"/>
            </w:tcMar>
            <w:vAlign w:val="top"/>
          </w:tcPr>
          <w:p w14:paraId="5F1F5369">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High</w:t>
            </w:r>
          </w:p>
        </w:tc>
        <w:tc>
          <w:tcPr>
            <w:tcW w:w="359" w:type="pct"/>
            <w:tcBorders>
              <w:top w:val="nil"/>
              <w:left w:val="nil"/>
              <w:bottom w:val="nil"/>
              <w:right w:val="nil"/>
            </w:tcBorders>
            <w:shd w:val="clear" w:color="auto" w:fill="FFFFFF"/>
            <w:tcMar>
              <w:top w:w="30" w:type="dxa"/>
              <w:left w:w="60" w:type="dxa"/>
              <w:bottom w:w="30" w:type="dxa"/>
              <w:right w:w="60" w:type="dxa"/>
            </w:tcMar>
            <w:vAlign w:val="top"/>
          </w:tcPr>
          <w:p w14:paraId="3309A220">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Low</w:t>
            </w:r>
          </w:p>
        </w:tc>
        <w:tc>
          <w:tcPr>
            <w:tcW w:w="478" w:type="pct"/>
            <w:tcBorders>
              <w:top w:val="nil"/>
              <w:left w:val="nil"/>
              <w:bottom w:val="nil"/>
              <w:right w:val="nil"/>
            </w:tcBorders>
            <w:shd w:val="clear" w:color="auto" w:fill="FFFFFF"/>
            <w:tcMar>
              <w:top w:w="30" w:type="dxa"/>
              <w:left w:w="60" w:type="dxa"/>
              <w:bottom w:w="30" w:type="dxa"/>
              <w:right w:w="60" w:type="dxa"/>
            </w:tcMar>
            <w:vAlign w:val="top"/>
          </w:tcPr>
          <w:p w14:paraId="386D89CA">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High</w:t>
            </w:r>
          </w:p>
        </w:tc>
        <w:tc>
          <w:tcPr>
            <w:tcW w:w="478" w:type="pct"/>
            <w:tcBorders>
              <w:top w:val="nil"/>
              <w:left w:val="nil"/>
              <w:bottom w:val="nil"/>
              <w:right w:val="nil"/>
            </w:tcBorders>
            <w:shd w:val="clear" w:color="auto" w:fill="FFFFFF"/>
            <w:tcMar>
              <w:top w:w="30" w:type="dxa"/>
              <w:left w:w="60" w:type="dxa"/>
              <w:bottom w:w="30" w:type="dxa"/>
              <w:right w:w="60" w:type="dxa"/>
            </w:tcMar>
            <w:vAlign w:val="top"/>
          </w:tcPr>
          <w:p w14:paraId="700B12BF">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High</w:t>
            </w:r>
          </w:p>
        </w:tc>
      </w:tr>
      <w:tr w14:paraId="69FFE511">
        <w:tc>
          <w:tcPr>
            <w:tcW w:w="539" w:type="pct"/>
            <w:tcBorders>
              <w:top w:val="nil"/>
              <w:left w:val="nil"/>
              <w:bottom w:val="nil"/>
              <w:right w:val="nil"/>
            </w:tcBorders>
            <w:shd w:val="clear" w:color="auto" w:fill="FFFFFF"/>
            <w:tcMar>
              <w:top w:w="30" w:type="dxa"/>
              <w:left w:w="60" w:type="dxa"/>
              <w:bottom w:w="30" w:type="dxa"/>
              <w:right w:w="60" w:type="dxa"/>
            </w:tcMar>
            <w:vAlign w:val="top"/>
          </w:tcPr>
          <w:p w14:paraId="0901FD98">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Robinson N</w:t>
            </w:r>
          </w:p>
        </w:tc>
        <w:tc>
          <w:tcPr>
            <w:tcW w:w="230" w:type="pct"/>
            <w:tcBorders>
              <w:top w:val="nil"/>
              <w:left w:val="nil"/>
              <w:bottom w:val="nil"/>
              <w:right w:val="nil"/>
            </w:tcBorders>
            <w:shd w:val="clear" w:color="auto" w:fill="FFFFFF"/>
            <w:tcMar>
              <w:top w:w="30" w:type="dxa"/>
              <w:left w:w="60" w:type="dxa"/>
              <w:bottom w:w="30" w:type="dxa"/>
              <w:right w:w="60" w:type="dxa"/>
            </w:tcMar>
            <w:vAlign w:val="top"/>
          </w:tcPr>
          <w:p w14:paraId="09BBB190">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2016</w:t>
            </w:r>
          </w:p>
        </w:tc>
        <w:tc>
          <w:tcPr>
            <w:tcW w:w="755" w:type="pct"/>
            <w:tcBorders>
              <w:top w:val="nil"/>
              <w:left w:val="nil"/>
              <w:bottom w:val="nil"/>
              <w:right w:val="nil"/>
            </w:tcBorders>
            <w:shd w:val="clear" w:color="auto" w:fill="FFFFFF"/>
            <w:tcMar>
              <w:top w:w="30" w:type="dxa"/>
              <w:left w:w="60" w:type="dxa"/>
              <w:bottom w:w="30" w:type="dxa"/>
              <w:right w:w="60" w:type="dxa"/>
            </w:tcMar>
            <w:vAlign w:val="top"/>
          </w:tcPr>
          <w:p w14:paraId="7DD49D71">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PLOS ONE</w:t>
            </w:r>
          </w:p>
        </w:tc>
        <w:tc>
          <w:tcPr>
            <w:tcW w:w="359" w:type="pct"/>
            <w:tcBorders>
              <w:top w:val="nil"/>
              <w:left w:val="nil"/>
              <w:bottom w:val="nil"/>
              <w:right w:val="nil"/>
            </w:tcBorders>
            <w:shd w:val="clear" w:color="auto" w:fill="FFFFFF"/>
            <w:tcMar>
              <w:top w:w="30" w:type="dxa"/>
              <w:left w:w="60" w:type="dxa"/>
              <w:bottom w:w="30" w:type="dxa"/>
              <w:right w:w="60" w:type="dxa"/>
            </w:tcMar>
            <w:vAlign w:val="top"/>
          </w:tcPr>
          <w:p w14:paraId="7FC8235C">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High</w:t>
            </w:r>
          </w:p>
        </w:tc>
        <w:tc>
          <w:tcPr>
            <w:tcW w:w="359" w:type="pct"/>
            <w:tcBorders>
              <w:top w:val="nil"/>
              <w:left w:val="nil"/>
              <w:bottom w:val="nil"/>
              <w:right w:val="nil"/>
            </w:tcBorders>
            <w:shd w:val="clear" w:color="auto" w:fill="FFFFFF"/>
            <w:tcMar>
              <w:top w:w="30" w:type="dxa"/>
              <w:left w:w="60" w:type="dxa"/>
              <w:bottom w:w="30" w:type="dxa"/>
              <w:right w:w="60" w:type="dxa"/>
            </w:tcMar>
            <w:vAlign w:val="top"/>
          </w:tcPr>
          <w:p w14:paraId="1F086E34">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Low</w:t>
            </w:r>
          </w:p>
        </w:tc>
        <w:tc>
          <w:tcPr>
            <w:tcW w:w="359" w:type="pct"/>
            <w:tcBorders>
              <w:top w:val="nil"/>
              <w:left w:val="nil"/>
              <w:bottom w:val="nil"/>
              <w:right w:val="nil"/>
            </w:tcBorders>
            <w:shd w:val="clear" w:color="auto" w:fill="FFFFFF"/>
            <w:tcMar>
              <w:top w:w="30" w:type="dxa"/>
              <w:left w:w="60" w:type="dxa"/>
              <w:bottom w:w="30" w:type="dxa"/>
              <w:right w:w="60" w:type="dxa"/>
            </w:tcMar>
            <w:vAlign w:val="top"/>
          </w:tcPr>
          <w:p w14:paraId="14BA896E">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Low</w:t>
            </w:r>
          </w:p>
        </w:tc>
        <w:tc>
          <w:tcPr>
            <w:tcW w:w="360" w:type="pct"/>
            <w:tcBorders>
              <w:top w:val="nil"/>
              <w:left w:val="nil"/>
              <w:bottom w:val="nil"/>
              <w:right w:val="nil"/>
            </w:tcBorders>
            <w:shd w:val="clear" w:color="auto" w:fill="FFFFFF"/>
            <w:tcMar>
              <w:top w:w="30" w:type="dxa"/>
              <w:left w:w="60" w:type="dxa"/>
              <w:bottom w:w="30" w:type="dxa"/>
              <w:right w:w="60" w:type="dxa"/>
            </w:tcMar>
            <w:vAlign w:val="top"/>
          </w:tcPr>
          <w:p w14:paraId="4BDB57DE">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High</w:t>
            </w:r>
          </w:p>
        </w:tc>
        <w:tc>
          <w:tcPr>
            <w:tcW w:w="359" w:type="pct"/>
            <w:tcBorders>
              <w:top w:val="nil"/>
              <w:left w:val="nil"/>
              <w:bottom w:val="nil"/>
              <w:right w:val="nil"/>
            </w:tcBorders>
            <w:shd w:val="clear" w:color="auto" w:fill="FFFFFF"/>
            <w:tcMar>
              <w:top w:w="30" w:type="dxa"/>
              <w:left w:w="60" w:type="dxa"/>
              <w:bottom w:w="30" w:type="dxa"/>
              <w:right w:w="60" w:type="dxa"/>
            </w:tcMar>
            <w:vAlign w:val="top"/>
          </w:tcPr>
          <w:p w14:paraId="703DD161">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High</w:t>
            </w:r>
          </w:p>
        </w:tc>
        <w:tc>
          <w:tcPr>
            <w:tcW w:w="359" w:type="pct"/>
            <w:tcBorders>
              <w:top w:val="nil"/>
              <w:left w:val="nil"/>
              <w:bottom w:val="nil"/>
              <w:right w:val="nil"/>
            </w:tcBorders>
            <w:shd w:val="clear" w:color="auto" w:fill="FFFFFF"/>
            <w:tcMar>
              <w:top w:w="30" w:type="dxa"/>
              <w:left w:w="60" w:type="dxa"/>
              <w:bottom w:w="30" w:type="dxa"/>
              <w:right w:w="60" w:type="dxa"/>
            </w:tcMar>
            <w:vAlign w:val="top"/>
          </w:tcPr>
          <w:p w14:paraId="5ABEB01B">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High</w:t>
            </w:r>
          </w:p>
        </w:tc>
        <w:tc>
          <w:tcPr>
            <w:tcW w:w="359" w:type="pct"/>
            <w:tcBorders>
              <w:top w:val="nil"/>
              <w:left w:val="nil"/>
              <w:bottom w:val="nil"/>
              <w:right w:val="nil"/>
            </w:tcBorders>
            <w:shd w:val="clear" w:color="auto" w:fill="FFFFFF"/>
            <w:tcMar>
              <w:top w:w="30" w:type="dxa"/>
              <w:left w:w="60" w:type="dxa"/>
              <w:bottom w:w="30" w:type="dxa"/>
              <w:right w:w="60" w:type="dxa"/>
            </w:tcMar>
            <w:vAlign w:val="top"/>
          </w:tcPr>
          <w:p w14:paraId="726A270E">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Low</w:t>
            </w:r>
          </w:p>
        </w:tc>
        <w:tc>
          <w:tcPr>
            <w:tcW w:w="478" w:type="pct"/>
            <w:tcBorders>
              <w:top w:val="nil"/>
              <w:left w:val="nil"/>
              <w:bottom w:val="nil"/>
              <w:right w:val="nil"/>
            </w:tcBorders>
            <w:shd w:val="clear" w:color="auto" w:fill="FFFFFF"/>
            <w:tcMar>
              <w:top w:w="30" w:type="dxa"/>
              <w:left w:w="60" w:type="dxa"/>
              <w:bottom w:w="30" w:type="dxa"/>
              <w:right w:w="60" w:type="dxa"/>
            </w:tcMar>
            <w:vAlign w:val="top"/>
          </w:tcPr>
          <w:p w14:paraId="7CB9E69D">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High</w:t>
            </w:r>
          </w:p>
        </w:tc>
        <w:tc>
          <w:tcPr>
            <w:tcW w:w="478" w:type="pct"/>
            <w:tcBorders>
              <w:top w:val="nil"/>
              <w:left w:val="nil"/>
              <w:bottom w:val="nil"/>
              <w:right w:val="nil"/>
            </w:tcBorders>
            <w:shd w:val="clear" w:color="auto" w:fill="FFFFFF"/>
            <w:tcMar>
              <w:top w:w="30" w:type="dxa"/>
              <w:left w:w="60" w:type="dxa"/>
              <w:bottom w:w="30" w:type="dxa"/>
              <w:right w:w="60" w:type="dxa"/>
            </w:tcMar>
            <w:vAlign w:val="top"/>
          </w:tcPr>
          <w:p w14:paraId="4798F5FA">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High</w:t>
            </w:r>
          </w:p>
        </w:tc>
      </w:tr>
      <w:tr w14:paraId="2C23B8EE">
        <w:tc>
          <w:tcPr>
            <w:tcW w:w="539" w:type="pct"/>
            <w:tcBorders>
              <w:top w:val="nil"/>
              <w:left w:val="nil"/>
              <w:bottom w:val="nil"/>
              <w:right w:val="nil"/>
            </w:tcBorders>
            <w:shd w:val="clear" w:color="auto" w:fill="FFFFFF"/>
            <w:tcMar>
              <w:top w:w="30" w:type="dxa"/>
              <w:left w:w="60" w:type="dxa"/>
              <w:bottom w:w="30" w:type="dxa"/>
              <w:right w:w="60" w:type="dxa"/>
            </w:tcMar>
            <w:vAlign w:val="top"/>
          </w:tcPr>
          <w:p w14:paraId="1DEA4E61">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Li C</w:t>
            </w:r>
          </w:p>
        </w:tc>
        <w:tc>
          <w:tcPr>
            <w:tcW w:w="230" w:type="pct"/>
            <w:tcBorders>
              <w:top w:val="nil"/>
              <w:left w:val="nil"/>
              <w:bottom w:val="nil"/>
              <w:right w:val="nil"/>
            </w:tcBorders>
            <w:shd w:val="clear" w:color="auto" w:fill="FFFFFF"/>
            <w:tcMar>
              <w:top w:w="30" w:type="dxa"/>
              <w:left w:w="60" w:type="dxa"/>
              <w:bottom w:w="30" w:type="dxa"/>
              <w:right w:w="60" w:type="dxa"/>
            </w:tcMar>
            <w:vAlign w:val="top"/>
          </w:tcPr>
          <w:p w14:paraId="20233ECD">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2021</w:t>
            </w:r>
          </w:p>
        </w:tc>
        <w:tc>
          <w:tcPr>
            <w:tcW w:w="755" w:type="pct"/>
            <w:tcBorders>
              <w:top w:val="nil"/>
              <w:left w:val="nil"/>
              <w:bottom w:val="nil"/>
              <w:right w:val="nil"/>
            </w:tcBorders>
            <w:shd w:val="clear" w:color="auto" w:fill="FFFFFF"/>
            <w:tcMar>
              <w:top w:w="30" w:type="dxa"/>
              <w:left w:w="60" w:type="dxa"/>
              <w:bottom w:w="30" w:type="dxa"/>
              <w:right w:w="60" w:type="dxa"/>
            </w:tcMar>
            <w:vAlign w:val="top"/>
          </w:tcPr>
          <w:p w14:paraId="6F8D3841">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Electronics (MDPI)</w:t>
            </w:r>
          </w:p>
        </w:tc>
        <w:tc>
          <w:tcPr>
            <w:tcW w:w="359" w:type="pct"/>
            <w:tcBorders>
              <w:top w:val="nil"/>
              <w:left w:val="nil"/>
              <w:bottom w:val="nil"/>
              <w:right w:val="nil"/>
            </w:tcBorders>
            <w:shd w:val="clear" w:color="auto" w:fill="FFFFFF"/>
            <w:tcMar>
              <w:top w:w="30" w:type="dxa"/>
              <w:left w:w="60" w:type="dxa"/>
              <w:bottom w:w="30" w:type="dxa"/>
              <w:right w:w="60" w:type="dxa"/>
            </w:tcMar>
            <w:vAlign w:val="top"/>
          </w:tcPr>
          <w:p w14:paraId="48F82C39">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High</w:t>
            </w:r>
          </w:p>
        </w:tc>
        <w:tc>
          <w:tcPr>
            <w:tcW w:w="359" w:type="pct"/>
            <w:tcBorders>
              <w:top w:val="nil"/>
              <w:left w:val="nil"/>
              <w:bottom w:val="nil"/>
              <w:right w:val="nil"/>
            </w:tcBorders>
            <w:shd w:val="clear" w:color="auto" w:fill="FFFFFF"/>
            <w:tcMar>
              <w:top w:w="30" w:type="dxa"/>
              <w:left w:w="60" w:type="dxa"/>
              <w:bottom w:w="30" w:type="dxa"/>
              <w:right w:w="60" w:type="dxa"/>
            </w:tcMar>
            <w:vAlign w:val="top"/>
          </w:tcPr>
          <w:p w14:paraId="542245EB">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Low</w:t>
            </w:r>
          </w:p>
        </w:tc>
        <w:tc>
          <w:tcPr>
            <w:tcW w:w="359" w:type="pct"/>
            <w:tcBorders>
              <w:top w:val="nil"/>
              <w:left w:val="nil"/>
              <w:bottom w:val="nil"/>
              <w:right w:val="nil"/>
            </w:tcBorders>
            <w:shd w:val="clear" w:color="auto" w:fill="FFFFFF"/>
            <w:tcMar>
              <w:top w:w="30" w:type="dxa"/>
              <w:left w:w="60" w:type="dxa"/>
              <w:bottom w:w="30" w:type="dxa"/>
              <w:right w:w="60" w:type="dxa"/>
            </w:tcMar>
            <w:vAlign w:val="top"/>
          </w:tcPr>
          <w:p w14:paraId="795C5A39">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Low</w:t>
            </w:r>
          </w:p>
        </w:tc>
        <w:tc>
          <w:tcPr>
            <w:tcW w:w="360" w:type="pct"/>
            <w:tcBorders>
              <w:top w:val="nil"/>
              <w:left w:val="nil"/>
              <w:bottom w:val="nil"/>
              <w:right w:val="nil"/>
            </w:tcBorders>
            <w:shd w:val="clear" w:color="auto" w:fill="FFFFFF"/>
            <w:tcMar>
              <w:top w:w="30" w:type="dxa"/>
              <w:left w:w="60" w:type="dxa"/>
              <w:bottom w:w="30" w:type="dxa"/>
              <w:right w:w="60" w:type="dxa"/>
            </w:tcMar>
            <w:vAlign w:val="top"/>
          </w:tcPr>
          <w:p w14:paraId="6F702CC6">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High</w:t>
            </w:r>
          </w:p>
        </w:tc>
        <w:tc>
          <w:tcPr>
            <w:tcW w:w="359" w:type="pct"/>
            <w:tcBorders>
              <w:top w:val="nil"/>
              <w:left w:val="nil"/>
              <w:bottom w:val="nil"/>
              <w:right w:val="nil"/>
            </w:tcBorders>
            <w:shd w:val="clear" w:color="auto" w:fill="FFFFFF"/>
            <w:tcMar>
              <w:top w:w="30" w:type="dxa"/>
              <w:left w:w="60" w:type="dxa"/>
              <w:bottom w:w="30" w:type="dxa"/>
              <w:right w:w="60" w:type="dxa"/>
            </w:tcMar>
            <w:vAlign w:val="top"/>
          </w:tcPr>
          <w:p w14:paraId="2F587C8E">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High</w:t>
            </w:r>
          </w:p>
        </w:tc>
        <w:tc>
          <w:tcPr>
            <w:tcW w:w="359" w:type="pct"/>
            <w:tcBorders>
              <w:top w:val="nil"/>
              <w:left w:val="nil"/>
              <w:bottom w:val="nil"/>
              <w:right w:val="nil"/>
            </w:tcBorders>
            <w:shd w:val="clear" w:color="auto" w:fill="FFFFFF"/>
            <w:tcMar>
              <w:top w:w="30" w:type="dxa"/>
              <w:left w:w="60" w:type="dxa"/>
              <w:bottom w:w="30" w:type="dxa"/>
              <w:right w:w="60" w:type="dxa"/>
            </w:tcMar>
            <w:vAlign w:val="top"/>
          </w:tcPr>
          <w:p w14:paraId="771BB0B4">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High</w:t>
            </w:r>
          </w:p>
        </w:tc>
        <w:tc>
          <w:tcPr>
            <w:tcW w:w="359" w:type="pct"/>
            <w:tcBorders>
              <w:top w:val="nil"/>
              <w:left w:val="nil"/>
              <w:bottom w:val="nil"/>
              <w:right w:val="nil"/>
            </w:tcBorders>
            <w:shd w:val="clear" w:color="auto" w:fill="FFFFFF"/>
            <w:tcMar>
              <w:top w:w="30" w:type="dxa"/>
              <w:left w:w="60" w:type="dxa"/>
              <w:bottom w:w="30" w:type="dxa"/>
              <w:right w:w="60" w:type="dxa"/>
            </w:tcMar>
            <w:vAlign w:val="top"/>
          </w:tcPr>
          <w:p w14:paraId="34A4B662">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Low</w:t>
            </w:r>
          </w:p>
        </w:tc>
        <w:tc>
          <w:tcPr>
            <w:tcW w:w="478" w:type="pct"/>
            <w:tcBorders>
              <w:top w:val="nil"/>
              <w:left w:val="nil"/>
              <w:bottom w:val="nil"/>
              <w:right w:val="nil"/>
            </w:tcBorders>
            <w:shd w:val="clear" w:color="auto" w:fill="FFFFFF"/>
            <w:tcMar>
              <w:top w:w="30" w:type="dxa"/>
              <w:left w:w="60" w:type="dxa"/>
              <w:bottom w:w="30" w:type="dxa"/>
              <w:right w:w="60" w:type="dxa"/>
            </w:tcMar>
            <w:vAlign w:val="top"/>
          </w:tcPr>
          <w:p w14:paraId="1DC9113A">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High</w:t>
            </w:r>
          </w:p>
        </w:tc>
        <w:tc>
          <w:tcPr>
            <w:tcW w:w="478" w:type="pct"/>
            <w:tcBorders>
              <w:top w:val="nil"/>
              <w:left w:val="nil"/>
              <w:bottom w:val="nil"/>
              <w:right w:val="nil"/>
            </w:tcBorders>
            <w:shd w:val="clear" w:color="auto" w:fill="FFFFFF"/>
            <w:tcMar>
              <w:top w:w="30" w:type="dxa"/>
              <w:left w:w="60" w:type="dxa"/>
              <w:bottom w:w="30" w:type="dxa"/>
              <w:right w:w="60" w:type="dxa"/>
            </w:tcMar>
            <w:vAlign w:val="top"/>
          </w:tcPr>
          <w:p w14:paraId="2120ECFA">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High</w:t>
            </w:r>
          </w:p>
        </w:tc>
      </w:tr>
      <w:tr w14:paraId="24D1808A">
        <w:tc>
          <w:tcPr>
            <w:tcW w:w="539" w:type="pct"/>
            <w:tcBorders>
              <w:top w:val="nil"/>
              <w:left w:val="nil"/>
              <w:bottom w:val="nil"/>
              <w:right w:val="nil"/>
            </w:tcBorders>
            <w:shd w:val="clear" w:color="auto" w:fill="FFFFFF"/>
            <w:tcMar>
              <w:top w:w="30" w:type="dxa"/>
              <w:left w:w="60" w:type="dxa"/>
              <w:bottom w:w="30" w:type="dxa"/>
              <w:right w:w="60" w:type="dxa"/>
            </w:tcMar>
            <w:vAlign w:val="top"/>
          </w:tcPr>
          <w:p w14:paraId="596F05A9">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Dale R</w:t>
            </w:r>
          </w:p>
        </w:tc>
        <w:tc>
          <w:tcPr>
            <w:tcW w:w="230" w:type="pct"/>
            <w:tcBorders>
              <w:top w:val="nil"/>
              <w:left w:val="nil"/>
              <w:bottom w:val="nil"/>
              <w:right w:val="nil"/>
            </w:tcBorders>
            <w:shd w:val="clear" w:color="auto" w:fill="FFFFFF"/>
            <w:tcMar>
              <w:top w:w="30" w:type="dxa"/>
              <w:left w:w="60" w:type="dxa"/>
              <w:bottom w:w="30" w:type="dxa"/>
              <w:right w:w="60" w:type="dxa"/>
            </w:tcMar>
            <w:vAlign w:val="top"/>
          </w:tcPr>
          <w:p w14:paraId="33EBFE9D">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2023</w:t>
            </w:r>
          </w:p>
        </w:tc>
        <w:tc>
          <w:tcPr>
            <w:tcW w:w="755" w:type="pct"/>
            <w:tcBorders>
              <w:top w:val="nil"/>
              <w:left w:val="nil"/>
              <w:bottom w:val="nil"/>
              <w:right w:val="nil"/>
            </w:tcBorders>
            <w:shd w:val="clear" w:color="auto" w:fill="FFFFFF"/>
            <w:tcMar>
              <w:top w:w="30" w:type="dxa"/>
              <w:left w:w="60" w:type="dxa"/>
              <w:bottom w:w="30" w:type="dxa"/>
              <w:right w:w="60" w:type="dxa"/>
            </w:tcMar>
            <w:vAlign w:val="top"/>
          </w:tcPr>
          <w:p w14:paraId="4F6FBD8D">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IEEE Open J Eng Med Biol</w:t>
            </w:r>
          </w:p>
        </w:tc>
        <w:tc>
          <w:tcPr>
            <w:tcW w:w="359" w:type="pct"/>
            <w:tcBorders>
              <w:top w:val="nil"/>
              <w:left w:val="nil"/>
              <w:bottom w:val="nil"/>
              <w:right w:val="nil"/>
            </w:tcBorders>
            <w:shd w:val="clear" w:color="auto" w:fill="FFFFFF"/>
            <w:tcMar>
              <w:top w:w="30" w:type="dxa"/>
              <w:left w:w="60" w:type="dxa"/>
              <w:bottom w:w="30" w:type="dxa"/>
              <w:right w:w="60" w:type="dxa"/>
            </w:tcMar>
            <w:vAlign w:val="top"/>
          </w:tcPr>
          <w:p w14:paraId="22AACA85">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High</w:t>
            </w:r>
          </w:p>
        </w:tc>
        <w:tc>
          <w:tcPr>
            <w:tcW w:w="359" w:type="pct"/>
            <w:tcBorders>
              <w:top w:val="nil"/>
              <w:left w:val="nil"/>
              <w:bottom w:val="nil"/>
              <w:right w:val="nil"/>
            </w:tcBorders>
            <w:shd w:val="clear" w:color="auto" w:fill="FFFFFF"/>
            <w:tcMar>
              <w:top w:w="30" w:type="dxa"/>
              <w:left w:w="60" w:type="dxa"/>
              <w:bottom w:w="30" w:type="dxa"/>
              <w:right w:w="60" w:type="dxa"/>
            </w:tcMar>
            <w:vAlign w:val="top"/>
          </w:tcPr>
          <w:p w14:paraId="427DCF93">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Low</w:t>
            </w:r>
          </w:p>
        </w:tc>
        <w:tc>
          <w:tcPr>
            <w:tcW w:w="359" w:type="pct"/>
            <w:tcBorders>
              <w:top w:val="nil"/>
              <w:left w:val="nil"/>
              <w:bottom w:val="nil"/>
              <w:right w:val="nil"/>
            </w:tcBorders>
            <w:shd w:val="clear" w:color="auto" w:fill="FFFFFF"/>
            <w:tcMar>
              <w:top w:w="30" w:type="dxa"/>
              <w:left w:w="60" w:type="dxa"/>
              <w:bottom w:w="30" w:type="dxa"/>
              <w:right w:w="60" w:type="dxa"/>
            </w:tcMar>
            <w:vAlign w:val="top"/>
          </w:tcPr>
          <w:p w14:paraId="37352659">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Low</w:t>
            </w:r>
          </w:p>
        </w:tc>
        <w:tc>
          <w:tcPr>
            <w:tcW w:w="360" w:type="pct"/>
            <w:tcBorders>
              <w:top w:val="nil"/>
              <w:left w:val="nil"/>
              <w:bottom w:val="nil"/>
              <w:right w:val="nil"/>
            </w:tcBorders>
            <w:shd w:val="clear" w:color="auto" w:fill="FFFFFF"/>
            <w:tcMar>
              <w:top w:w="30" w:type="dxa"/>
              <w:left w:w="60" w:type="dxa"/>
              <w:bottom w:w="30" w:type="dxa"/>
              <w:right w:w="60" w:type="dxa"/>
            </w:tcMar>
            <w:vAlign w:val="top"/>
          </w:tcPr>
          <w:p w14:paraId="29E64AA1">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High</w:t>
            </w:r>
          </w:p>
        </w:tc>
        <w:tc>
          <w:tcPr>
            <w:tcW w:w="359" w:type="pct"/>
            <w:tcBorders>
              <w:top w:val="nil"/>
              <w:left w:val="nil"/>
              <w:bottom w:val="nil"/>
              <w:right w:val="nil"/>
            </w:tcBorders>
            <w:shd w:val="clear" w:color="auto" w:fill="FFFFFF"/>
            <w:tcMar>
              <w:top w:w="30" w:type="dxa"/>
              <w:left w:w="60" w:type="dxa"/>
              <w:bottom w:w="30" w:type="dxa"/>
              <w:right w:w="60" w:type="dxa"/>
            </w:tcMar>
            <w:vAlign w:val="top"/>
          </w:tcPr>
          <w:p w14:paraId="24B3CF16">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High</w:t>
            </w:r>
          </w:p>
        </w:tc>
        <w:tc>
          <w:tcPr>
            <w:tcW w:w="359" w:type="pct"/>
            <w:tcBorders>
              <w:top w:val="nil"/>
              <w:left w:val="nil"/>
              <w:bottom w:val="nil"/>
              <w:right w:val="nil"/>
            </w:tcBorders>
            <w:shd w:val="clear" w:color="auto" w:fill="FFFFFF"/>
            <w:tcMar>
              <w:top w:w="30" w:type="dxa"/>
              <w:left w:w="60" w:type="dxa"/>
              <w:bottom w:w="30" w:type="dxa"/>
              <w:right w:w="60" w:type="dxa"/>
            </w:tcMar>
            <w:vAlign w:val="top"/>
          </w:tcPr>
          <w:p w14:paraId="3B0132A6">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High</w:t>
            </w:r>
          </w:p>
        </w:tc>
        <w:tc>
          <w:tcPr>
            <w:tcW w:w="359" w:type="pct"/>
            <w:tcBorders>
              <w:top w:val="nil"/>
              <w:left w:val="nil"/>
              <w:bottom w:val="nil"/>
              <w:right w:val="nil"/>
            </w:tcBorders>
            <w:shd w:val="clear" w:color="auto" w:fill="FFFFFF"/>
            <w:tcMar>
              <w:top w:w="30" w:type="dxa"/>
              <w:left w:w="60" w:type="dxa"/>
              <w:bottom w:w="30" w:type="dxa"/>
              <w:right w:w="60" w:type="dxa"/>
            </w:tcMar>
            <w:vAlign w:val="top"/>
          </w:tcPr>
          <w:p w14:paraId="4B931451">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Low</w:t>
            </w:r>
          </w:p>
        </w:tc>
        <w:tc>
          <w:tcPr>
            <w:tcW w:w="478" w:type="pct"/>
            <w:tcBorders>
              <w:top w:val="nil"/>
              <w:left w:val="nil"/>
              <w:bottom w:val="nil"/>
              <w:right w:val="nil"/>
            </w:tcBorders>
            <w:shd w:val="clear" w:color="auto" w:fill="FFFFFF"/>
            <w:tcMar>
              <w:top w:w="30" w:type="dxa"/>
              <w:left w:w="60" w:type="dxa"/>
              <w:bottom w:w="30" w:type="dxa"/>
              <w:right w:w="60" w:type="dxa"/>
            </w:tcMar>
            <w:vAlign w:val="top"/>
          </w:tcPr>
          <w:p w14:paraId="0FE366C4">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High</w:t>
            </w:r>
          </w:p>
        </w:tc>
        <w:tc>
          <w:tcPr>
            <w:tcW w:w="478" w:type="pct"/>
            <w:tcBorders>
              <w:top w:val="nil"/>
              <w:left w:val="nil"/>
              <w:bottom w:val="nil"/>
              <w:right w:val="nil"/>
            </w:tcBorders>
            <w:shd w:val="clear" w:color="auto" w:fill="FFFFFF"/>
            <w:tcMar>
              <w:top w:w="30" w:type="dxa"/>
              <w:left w:w="60" w:type="dxa"/>
              <w:bottom w:w="30" w:type="dxa"/>
              <w:right w:w="60" w:type="dxa"/>
            </w:tcMar>
            <w:vAlign w:val="top"/>
          </w:tcPr>
          <w:p w14:paraId="63AD1D37">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High</w:t>
            </w:r>
          </w:p>
        </w:tc>
      </w:tr>
      <w:tr w14:paraId="2DEF012D">
        <w:tc>
          <w:tcPr>
            <w:tcW w:w="539" w:type="pct"/>
            <w:tcBorders>
              <w:top w:val="nil"/>
              <w:left w:val="nil"/>
              <w:right w:val="nil"/>
            </w:tcBorders>
            <w:shd w:val="clear" w:color="auto" w:fill="FFFFFF"/>
            <w:tcMar>
              <w:top w:w="30" w:type="dxa"/>
              <w:left w:w="60" w:type="dxa"/>
              <w:bottom w:w="30" w:type="dxa"/>
              <w:right w:w="60" w:type="dxa"/>
            </w:tcMar>
            <w:vAlign w:val="top"/>
          </w:tcPr>
          <w:p w14:paraId="214EDA5E">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Kim J</w:t>
            </w:r>
          </w:p>
        </w:tc>
        <w:tc>
          <w:tcPr>
            <w:tcW w:w="230" w:type="pct"/>
            <w:tcBorders>
              <w:top w:val="nil"/>
              <w:left w:val="nil"/>
              <w:right w:val="nil"/>
            </w:tcBorders>
            <w:shd w:val="clear" w:color="auto" w:fill="FFFFFF"/>
            <w:tcMar>
              <w:top w:w="30" w:type="dxa"/>
              <w:left w:w="60" w:type="dxa"/>
              <w:bottom w:w="30" w:type="dxa"/>
              <w:right w:w="60" w:type="dxa"/>
            </w:tcMar>
            <w:vAlign w:val="top"/>
          </w:tcPr>
          <w:p w14:paraId="039F1E39">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2024</w:t>
            </w:r>
          </w:p>
        </w:tc>
        <w:tc>
          <w:tcPr>
            <w:tcW w:w="755" w:type="pct"/>
            <w:tcBorders>
              <w:top w:val="nil"/>
              <w:left w:val="nil"/>
              <w:right w:val="nil"/>
            </w:tcBorders>
            <w:shd w:val="clear" w:color="auto" w:fill="FFFFFF"/>
            <w:tcMar>
              <w:top w:w="30" w:type="dxa"/>
              <w:left w:w="60" w:type="dxa"/>
              <w:bottom w:w="30" w:type="dxa"/>
              <w:right w:w="60" w:type="dxa"/>
            </w:tcMar>
            <w:vAlign w:val="top"/>
          </w:tcPr>
          <w:p w14:paraId="30C99E63">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J NeuroEngineering Rehabil</w:t>
            </w:r>
          </w:p>
        </w:tc>
        <w:tc>
          <w:tcPr>
            <w:tcW w:w="359" w:type="pct"/>
            <w:tcBorders>
              <w:top w:val="nil"/>
              <w:left w:val="nil"/>
              <w:right w:val="nil"/>
            </w:tcBorders>
            <w:shd w:val="clear" w:color="auto" w:fill="FFFFFF"/>
            <w:tcMar>
              <w:top w:w="30" w:type="dxa"/>
              <w:left w:w="60" w:type="dxa"/>
              <w:bottom w:w="30" w:type="dxa"/>
              <w:right w:w="60" w:type="dxa"/>
            </w:tcMar>
            <w:vAlign w:val="top"/>
          </w:tcPr>
          <w:p w14:paraId="4FC7E12A">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Low</w:t>
            </w:r>
          </w:p>
        </w:tc>
        <w:tc>
          <w:tcPr>
            <w:tcW w:w="359" w:type="pct"/>
            <w:tcBorders>
              <w:top w:val="nil"/>
              <w:left w:val="nil"/>
              <w:right w:val="nil"/>
            </w:tcBorders>
            <w:shd w:val="clear" w:color="auto" w:fill="FFFFFF"/>
            <w:tcMar>
              <w:top w:w="30" w:type="dxa"/>
              <w:left w:w="60" w:type="dxa"/>
              <w:bottom w:w="30" w:type="dxa"/>
              <w:right w:w="60" w:type="dxa"/>
            </w:tcMar>
            <w:vAlign w:val="top"/>
          </w:tcPr>
          <w:p w14:paraId="7DA2FB08">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High</w:t>
            </w:r>
          </w:p>
        </w:tc>
        <w:tc>
          <w:tcPr>
            <w:tcW w:w="359" w:type="pct"/>
            <w:tcBorders>
              <w:top w:val="nil"/>
              <w:left w:val="nil"/>
              <w:right w:val="nil"/>
            </w:tcBorders>
            <w:shd w:val="clear" w:color="auto" w:fill="FFFFFF"/>
            <w:tcMar>
              <w:top w:w="30" w:type="dxa"/>
              <w:left w:w="60" w:type="dxa"/>
              <w:bottom w:w="30" w:type="dxa"/>
              <w:right w:w="60" w:type="dxa"/>
            </w:tcMar>
            <w:vAlign w:val="top"/>
          </w:tcPr>
          <w:p w14:paraId="57A68D5C">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Low</w:t>
            </w:r>
          </w:p>
        </w:tc>
        <w:tc>
          <w:tcPr>
            <w:tcW w:w="360" w:type="pct"/>
            <w:tcBorders>
              <w:top w:val="nil"/>
              <w:left w:val="nil"/>
              <w:right w:val="nil"/>
            </w:tcBorders>
            <w:shd w:val="clear" w:color="auto" w:fill="FFFFFF"/>
            <w:tcMar>
              <w:top w:w="30" w:type="dxa"/>
              <w:left w:w="60" w:type="dxa"/>
              <w:bottom w:w="30" w:type="dxa"/>
              <w:right w:w="60" w:type="dxa"/>
            </w:tcMar>
            <w:vAlign w:val="top"/>
          </w:tcPr>
          <w:p w14:paraId="70CCD2C2">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High</w:t>
            </w:r>
          </w:p>
        </w:tc>
        <w:tc>
          <w:tcPr>
            <w:tcW w:w="359" w:type="pct"/>
            <w:tcBorders>
              <w:top w:val="nil"/>
              <w:left w:val="nil"/>
              <w:right w:val="nil"/>
            </w:tcBorders>
            <w:shd w:val="clear" w:color="auto" w:fill="FFFFFF"/>
            <w:tcMar>
              <w:top w:w="30" w:type="dxa"/>
              <w:left w:w="60" w:type="dxa"/>
              <w:bottom w:w="30" w:type="dxa"/>
              <w:right w:w="60" w:type="dxa"/>
            </w:tcMar>
            <w:vAlign w:val="top"/>
          </w:tcPr>
          <w:p w14:paraId="58292A8E">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Low</w:t>
            </w:r>
          </w:p>
        </w:tc>
        <w:tc>
          <w:tcPr>
            <w:tcW w:w="359" w:type="pct"/>
            <w:tcBorders>
              <w:top w:val="nil"/>
              <w:left w:val="nil"/>
              <w:right w:val="nil"/>
            </w:tcBorders>
            <w:shd w:val="clear" w:color="auto" w:fill="FFFFFF"/>
            <w:tcMar>
              <w:top w:w="30" w:type="dxa"/>
              <w:left w:w="60" w:type="dxa"/>
              <w:bottom w:w="30" w:type="dxa"/>
              <w:right w:w="60" w:type="dxa"/>
            </w:tcMar>
            <w:vAlign w:val="top"/>
          </w:tcPr>
          <w:p w14:paraId="754FE2FD">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High</w:t>
            </w:r>
          </w:p>
        </w:tc>
        <w:tc>
          <w:tcPr>
            <w:tcW w:w="359" w:type="pct"/>
            <w:tcBorders>
              <w:top w:val="nil"/>
              <w:left w:val="nil"/>
              <w:right w:val="nil"/>
            </w:tcBorders>
            <w:shd w:val="clear" w:color="auto" w:fill="FFFFFF"/>
            <w:tcMar>
              <w:top w:w="30" w:type="dxa"/>
              <w:left w:w="60" w:type="dxa"/>
              <w:bottom w:w="30" w:type="dxa"/>
              <w:right w:w="60" w:type="dxa"/>
            </w:tcMar>
            <w:vAlign w:val="top"/>
          </w:tcPr>
          <w:p w14:paraId="4094591E">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Low</w:t>
            </w:r>
          </w:p>
        </w:tc>
        <w:tc>
          <w:tcPr>
            <w:tcW w:w="478" w:type="pct"/>
            <w:tcBorders>
              <w:top w:val="nil"/>
              <w:left w:val="nil"/>
              <w:right w:val="nil"/>
            </w:tcBorders>
            <w:shd w:val="clear" w:color="auto" w:fill="FFFFFF"/>
            <w:tcMar>
              <w:top w:w="30" w:type="dxa"/>
              <w:left w:w="60" w:type="dxa"/>
              <w:bottom w:w="30" w:type="dxa"/>
              <w:right w:w="60" w:type="dxa"/>
            </w:tcMar>
            <w:vAlign w:val="top"/>
          </w:tcPr>
          <w:p w14:paraId="514DD681">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High</w:t>
            </w:r>
          </w:p>
        </w:tc>
        <w:tc>
          <w:tcPr>
            <w:tcW w:w="478" w:type="pct"/>
            <w:tcBorders>
              <w:top w:val="nil"/>
              <w:left w:val="nil"/>
              <w:right w:val="nil"/>
            </w:tcBorders>
            <w:shd w:val="clear" w:color="auto" w:fill="FFFFFF"/>
            <w:tcMar>
              <w:top w:w="30" w:type="dxa"/>
              <w:left w:w="60" w:type="dxa"/>
              <w:bottom w:w="30" w:type="dxa"/>
              <w:right w:w="60" w:type="dxa"/>
            </w:tcMar>
            <w:vAlign w:val="top"/>
          </w:tcPr>
          <w:p w14:paraId="548C8444">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High</w:t>
            </w:r>
          </w:p>
        </w:tc>
      </w:tr>
    </w:tbl>
    <w:p w14:paraId="5381D834">
      <w:pPr>
        <w:keepNext w:val="0"/>
        <w:keepLines w:val="0"/>
        <w:pageBreakBefore w:val="0"/>
        <w:widowControl w:val="0"/>
        <w:kinsoku/>
        <w:wordWrap/>
        <w:overflowPunct/>
        <w:topLinePunct w:val="0"/>
        <w:autoSpaceDE/>
        <w:autoSpaceDN/>
        <w:bidi w:val="0"/>
        <w:adjustRightInd/>
        <w:snapToGrid/>
        <w:textAlignment w:val="auto"/>
        <w:rPr>
          <w:rFonts w:hint="default" w:ascii="Times New Roman Regular" w:hAnsi="Times New Roman Regular" w:cs="Times New Roman Regular"/>
          <w:color w:val="auto"/>
        </w:rPr>
      </w:pPr>
      <w:r>
        <w:rPr>
          <w:rFonts w:hint="default" w:ascii="Times New Roman Regular" w:hAnsi="Times New Roman Regular" w:eastAsia="Arial" w:cs="Times New Roman Regular"/>
          <w:b/>
          <w:bCs/>
          <w:i w:val="0"/>
          <w:iCs w:val="0"/>
          <w:color w:val="auto"/>
          <w:sz w:val="15"/>
          <w:szCs w:val="15"/>
        </w:rPr>
        <w:t xml:space="preserve">Rating key:  </w:t>
      </w:r>
      <w:r>
        <w:rPr>
          <w:rFonts w:hint="default" w:ascii="Times New Roman Regular" w:hAnsi="Times New Roman Regular" w:eastAsia="Arial" w:cs="Times New Roman Regular"/>
          <w:b w:val="0"/>
          <w:bCs w:val="0"/>
          <w:i w:val="0"/>
          <w:iCs w:val="0"/>
          <w:color w:val="auto"/>
          <w:sz w:val="15"/>
          <w:szCs w:val="15"/>
        </w:rPr>
        <w:t xml:space="preserve">Low </w:t>
      </w:r>
      <w:r>
        <w:rPr>
          <w:rFonts w:hint="default" w:ascii="Times New Roman Regular" w:hAnsi="Times New Roman Regular" w:eastAsia="Arial" w:cs="Times New Roman Regular"/>
          <w:b w:val="0"/>
          <w:bCs w:val="0"/>
          <w:i w:val="0"/>
          <w:iCs w:val="0"/>
          <w:color w:val="auto"/>
          <w:sz w:val="15"/>
          <w:szCs w:val="15"/>
        </w:rPr>
        <w:t>(green)</w:t>
      </w:r>
      <w:r>
        <w:rPr>
          <w:rFonts w:hint="default" w:ascii="Times New Roman Regular" w:hAnsi="Times New Roman Regular" w:eastAsia="Arial" w:cs="Times New Roman Regular"/>
          <w:b w:val="0"/>
          <w:bCs w:val="0"/>
          <w:i w:val="0"/>
          <w:iCs w:val="0"/>
          <w:color w:val="auto"/>
          <w:sz w:val="15"/>
          <w:szCs w:val="15"/>
        </w:rPr>
        <w:t xml:space="preserve">  ·  Some concerns/Unclear </w:t>
      </w:r>
      <w:r>
        <w:rPr>
          <w:rFonts w:hint="default" w:ascii="Times New Roman Regular" w:hAnsi="Times New Roman Regular" w:eastAsia="Arial" w:cs="Times New Roman Regular"/>
          <w:b w:val="0"/>
          <w:bCs w:val="0"/>
          <w:i w:val="0"/>
          <w:iCs w:val="0"/>
          <w:color w:val="auto"/>
          <w:sz w:val="15"/>
          <w:szCs w:val="15"/>
        </w:rPr>
        <w:t>(amber)</w:t>
      </w:r>
      <w:r>
        <w:rPr>
          <w:rFonts w:hint="default" w:ascii="Times New Roman Regular" w:hAnsi="Times New Roman Regular" w:eastAsia="Arial" w:cs="Times New Roman Regular"/>
          <w:b w:val="0"/>
          <w:bCs w:val="0"/>
          <w:i w:val="0"/>
          <w:iCs w:val="0"/>
          <w:color w:val="auto"/>
          <w:sz w:val="15"/>
          <w:szCs w:val="15"/>
        </w:rPr>
        <w:t xml:space="preserve">  ·  High </w:t>
      </w:r>
      <w:r>
        <w:rPr>
          <w:rFonts w:hint="default" w:ascii="Times New Roman Regular" w:hAnsi="Times New Roman Regular" w:eastAsia="Arial" w:cs="Times New Roman Regular"/>
          <w:b w:val="0"/>
          <w:bCs w:val="0"/>
          <w:i w:val="0"/>
          <w:iCs w:val="0"/>
          <w:color w:val="auto"/>
          <w:sz w:val="15"/>
          <w:szCs w:val="15"/>
        </w:rPr>
        <w:t>(red)</w:t>
      </w:r>
      <w:r>
        <w:rPr>
          <w:rFonts w:hint="default" w:ascii="Times New Roman Regular" w:hAnsi="Times New Roman Regular" w:eastAsia="Arial" w:cs="Times New Roman Regular"/>
          <w:b w:val="0"/>
          <w:bCs w:val="0"/>
          <w:i w:val="0"/>
          <w:iCs w:val="0"/>
          <w:color w:val="auto"/>
          <w:sz w:val="15"/>
          <w:szCs w:val="15"/>
        </w:rPr>
        <w:t>.  Domains: D1 Participants, D2 Predictors, D3 Outcome, D4 Analysis.</w:t>
      </w:r>
    </w:p>
    <w:p w14:paraId="0438B343">
      <w:pPr>
        <w:keepNext w:val="0"/>
        <w:keepLines w:val="0"/>
        <w:pageBreakBefore w:val="0"/>
        <w:widowControl w:val="0"/>
        <w:kinsoku/>
        <w:wordWrap/>
        <w:overflowPunct/>
        <w:topLinePunct w:val="0"/>
        <w:autoSpaceDE/>
        <w:autoSpaceDN/>
        <w:bidi w:val="0"/>
        <w:adjustRightInd/>
        <w:snapToGrid/>
        <w:textAlignment w:val="auto"/>
        <w:rPr>
          <w:rFonts w:hint="default" w:ascii="Times New Roman Regular" w:hAnsi="Times New Roman Regular" w:eastAsia="Arial" w:cs="Times New Roman Regular"/>
          <w:b/>
          <w:bCs/>
          <w:i w:val="0"/>
          <w:iCs w:val="0"/>
          <w:color w:val="auto"/>
          <w:sz w:val="20"/>
          <w:szCs w:val="20"/>
        </w:rPr>
      </w:pPr>
    </w:p>
    <w:p w14:paraId="31D1D4E7">
      <w:pPr>
        <w:keepNext w:val="0"/>
        <w:keepLines w:val="0"/>
        <w:pageBreakBefore w:val="0"/>
        <w:widowControl w:val="0"/>
        <w:kinsoku/>
        <w:wordWrap/>
        <w:overflowPunct/>
        <w:topLinePunct w:val="0"/>
        <w:autoSpaceDE/>
        <w:autoSpaceDN/>
        <w:bidi w:val="0"/>
        <w:adjustRightInd/>
        <w:snapToGrid/>
        <w:textAlignment w:val="auto"/>
        <w:rPr>
          <w:rFonts w:hint="default" w:ascii="Times New Roman Regular" w:hAnsi="Times New Roman Regular" w:cs="Times New Roman Regular"/>
          <w:color w:val="auto"/>
        </w:rPr>
      </w:pPr>
      <w:r>
        <w:rPr>
          <w:rFonts w:hint="default" w:ascii="Times New Roman Regular" w:hAnsi="Times New Roman Regular" w:eastAsia="Arial" w:cs="Times New Roman Regular"/>
          <w:b/>
          <w:bCs/>
          <w:i w:val="0"/>
          <w:iCs w:val="0"/>
          <w:color w:val="auto"/>
          <w:sz w:val="20"/>
          <w:szCs w:val="20"/>
        </w:rPr>
        <w:t>Domain-level rating counts across included studies</w:t>
      </w:r>
    </w:p>
    <w:tbl>
      <w:tblPr>
        <w:tblStyle w:val="11"/>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 w:type="dxa"/>
          <w:bottom w:w="0" w:type="dxa"/>
          <w:right w:w="10" w:type="dxa"/>
        </w:tblCellMar>
      </w:tblPr>
      <w:tblGrid>
        <w:gridCol w:w="5604"/>
        <w:gridCol w:w="2133"/>
        <w:gridCol w:w="2133"/>
        <w:gridCol w:w="2133"/>
        <w:gridCol w:w="2534"/>
      </w:tblGrid>
      <w:tr w14:paraId="69DA24BF">
        <w:trPr>
          <w:tblHeader/>
        </w:trPr>
        <w:tc>
          <w:tcPr>
            <w:tcW w:w="1926" w:type="pct"/>
            <w:tcBorders>
              <w:left w:val="nil"/>
              <w:bottom w:val="single" w:color="auto" w:sz="4" w:space="0"/>
              <w:right w:val="nil"/>
              <w:tl2br w:val="nil"/>
            </w:tcBorders>
            <w:shd w:val="clear" w:color="auto" w:fill="FFFFFF"/>
            <w:tcMar>
              <w:top w:w="40" w:type="dxa"/>
              <w:left w:w="70" w:type="dxa"/>
              <w:bottom w:w="40" w:type="dxa"/>
              <w:right w:w="70" w:type="dxa"/>
            </w:tcMar>
            <w:vAlign w:val="center"/>
          </w:tcPr>
          <w:p w14:paraId="75743D79">
            <w:pPr>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i w:val="0"/>
                <w:iCs w:val="0"/>
                <w:color w:val="000000"/>
                <w:sz w:val="16"/>
                <w:szCs w:val="16"/>
              </w:rPr>
              <w:t>Domain</w:t>
            </w:r>
          </w:p>
        </w:tc>
        <w:tc>
          <w:tcPr>
            <w:tcW w:w="733" w:type="pct"/>
            <w:tcBorders>
              <w:left w:val="nil"/>
              <w:bottom w:val="single" w:color="auto" w:sz="4" w:space="0"/>
              <w:right w:val="nil"/>
            </w:tcBorders>
            <w:shd w:val="clear" w:color="auto" w:fill="FFFFFF"/>
            <w:tcMar>
              <w:top w:w="40" w:type="dxa"/>
              <w:left w:w="70" w:type="dxa"/>
              <w:bottom w:w="40" w:type="dxa"/>
              <w:right w:w="70" w:type="dxa"/>
            </w:tcMar>
            <w:vAlign w:val="center"/>
          </w:tcPr>
          <w:p w14:paraId="3EE0C4B3">
            <w:pPr>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i w:val="0"/>
                <w:iCs w:val="0"/>
                <w:color w:val="000000"/>
                <w:sz w:val="16"/>
                <w:szCs w:val="16"/>
              </w:rPr>
              <w:t>Low</w:t>
            </w:r>
          </w:p>
        </w:tc>
        <w:tc>
          <w:tcPr>
            <w:tcW w:w="733" w:type="pct"/>
            <w:tcBorders>
              <w:left w:val="nil"/>
              <w:bottom w:val="single" w:color="auto" w:sz="4" w:space="0"/>
              <w:right w:val="nil"/>
            </w:tcBorders>
            <w:shd w:val="clear" w:color="auto" w:fill="FFFFFF"/>
            <w:tcMar>
              <w:top w:w="40" w:type="dxa"/>
              <w:left w:w="70" w:type="dxa"/>
              <w:bottom w:w="40" w:type="dxa"/>
              <w:right w:w="70" w:type="dxa"/>
            </w:tcMar>
            <w:vAlign w:val="center"/>
          </w:tcPr>
          <w:p w14:paraId="04CF97B8">
            <w:pPr>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i w:val="0"/>
                <w:iCs w:val="0"/>
                <w:color w:val="000000"/>
                <w:sz w:val="16"/>
                <w:szCs w:val="16"/>
              </w:rPr>
              <w:t>High</w:t>
            </w:r>
          </w:p>
        </w:tc>
        <w:tc>
          <w:tcPr>
            <w:tcW w:w="733" w:type="pct"/>
            <w:tcBorders>
              <w:left w:val="nil"/>
              <w:bottom w:val="single" w:color="auto" w:sz="4" w:space="0"/>
              <w:right w:val="nil"/>
            </w:tcBorders>
            <w:shd w:val="clear" w:color="auto" w:fill="FFFFFF"/>
            <w:tcMar>
              <w:top w:w="40" w:type="dxa"/>
              <w:left w:w="70" w:type="dxa"/>
              <w:bottom w:w="40" w:type="dxa"/>
              <w:right w:w="70" w:type="dxa"/>
            </w:tcMar>
            <w:vAlign w:val="center"/>
          </w:tcPr>
          <w:p w14:paraId="0C6FE785">
            <w:pPr>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i w:val="0"/>
                <w:iCs w:val="0"/>
                <w:color w:val="000000"/>
                <w:sz w:val="16"/>
                <w:szCs w:val="16"/>
              </w:rPr>
              <w:t>Unclear</w:t>
            </w:r>
          </w:p>
        </w:tc>
        <w:tc>
          <w:tcPr>
            <w:tcW w:w="871" w:type="pct"/>
            <w:tcBorders>
              <w:left w:val="nil"/>
              <w:bottom w:val="single" w:color="auto" w:sz="4" w:space="0"/>
              <w:right w:val="nil"/>
            </w:tcBorders>
            <w:shd w:val="clear" w:color="auto" w:fill="FFFFFF"/>
            <w:tcMar>
              <w:top w:w="40" w:type="dxa"/>
              <w:left w:w="70" w:type="dxa"/>
              <w:bottom w:w="40" w:type="dxa"/>
              <w:right w:w="70" w:type="dxa"/>
            </w:tcMar>
            <w:vAlign w:val="center"/>
          </w:tcPr>
          <w:p w14:paraId="7F895608">
            <w:pPr>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i w:val="0"/>
                <w:iCs w:val="0"/>
                <w:color w:val="000000"/>
                <w:sz w:val="16"/>
                <w:szCs w:val="16"/>
              </w:rPr>
              <w:t>Total scored</w:t>
            </w:r>
          </w:p>
        </w:tc>
      </w:tr>
      <w:tr w14:paraId="6056CD52">
        <w:tc>
          <w:tcPr>
            <w:tcW w:w="1926" w:type="pct"/>
            <w:tcBorders>
              <w:top w:val="single" w:color="auto" w:sz="4" w:space="0"/>
              <w:left w:val="nil"/>
              <w:bottom w:val="nil"/>
              <w:right w:val="nil"/>
            </w:tcBorders>
            <w:shd w:val="clear" w:color="auto" w:fill="FFFFFF"/>
            <w:tcMar>
              <w:top w:w="30" w:type="dxa"/>
              <w:left w:w="70" w:type="dxa"/>
              <w:bottom w:w="30" w:type="dxa"/>
              <w:right w:w="70" w:type="dxa"/>
            </w:tcMar>
            <w:vAlign w:val="center"/>
          </w:tcPr>
          <w:p w14:paraId="47FF631B">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5"/>
                <w:szCs w:val="15"/>
              </w:rPr>
              <w:t>D1 Participants — ROB</w:t>
            </w:r>
          </w:p>
        </w:tc>
        <w:tc>
          <w:tcPr>
            <w:tcW w:w="733" w:type="pct"/>
            <w:tcBorders>
              <w:top w:val="single" w:color="auto" w:sz="4" w:space="0"/>
              <w:left w:val="nil"/>
              <w:bottom w:val="nil"/>
              <w:right w:val="nil"/>
            </w:tcBorders>
            <w:shd w:val="clear" w:color="auto" w:fill="FFFFFF"/>
            <w:tcMar>
              <w:top w:w="30" w:type="dxa"/>
              <w:left w:w="70" w:type="dxa"/>
              <w:bottom w:w="30" w:type="dxa"/>
              <w:right w:w="70" w:type="dxa"/>
            </w:tcMar>
            <w:vAlign w:val="center"/>
          </w:tcPr>
          <w:p w14:paraId="77920278">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5"/>
                <w:szCs w:val="15"/>
              </w:rPr>
              <w:t>17</w:t>
            </w:r>
          </w:p>
        </w:tc>
        <w:tc>
          <w:tcPr>
            <w:tcW w:w="733" w:type="pct"/>
            <w:tcBorders>
              <w:top w:val="single" w:color="auto" w:sz="4" w:space="0"/>
              <w:left w:val="nil"/>
              <w:bottom w:val="nil"/>
              <w:right w:val="nil"/>
            </w:tcBorders>
            <w:shd w:val="clear" w:color="auto" w:fill="FFFFFF"/>
            <w:tcMar>
              <w:top w:w="30" w:type="dxa"/>
              <w:left w:w="70" w:type="dxa"/>
              <w:bottom w:w="30" w:type="dxa"/>
              <w:right w:w="70" w:type="dxa"/>
            </w:tcMar>
            <w:vAlign w:val="center"/>
          </w:tcPr>
          <w:p w14:paraId="1FBF5907">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5"/>
                <w:szCs w:val="15"/>
              </w:rPr>
              <w:t>25</w:t>
            </w:r>
          </w:p>
        </w:tc>
        <w:tc>
          <w:tcPr>
            <w:tcW w:w="733" w:type="pct"/>
            <w:tcBorders>
              <w:top w:val="single" w:color="auto" w:sz="4" w:space="0"/>
              <w:left w:val="nil"/>
              <w:bottom w:val="nil"/>
              <w:right w:val="nil"/>
            </w:tcBorders>
            <w:shd w:val="clear" w:color="auto" w:fill="FFFFFF"/>
            <w:tcMar>
              <w:top w:w="30" w:type="dxa"/>
              <w:left w:w="70" w:type="dxa"/>
              <w:bottom w:w="30" w:type="dxa"/>
              <w:right w:w="70" w:type="dxa"/>
            </w:tcMar>
            <w:vAlign w:val="center"/>
          </w:tcPr>
          <w:p w14:paraId="41DEBD79">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5"/>
                <w:szCs w:val="15"/>
              </w:rPr>
              <w:t>0</w:t>
            </w:r>
          </w:p>
        </w:tc>
        <w:tc>
          <w:tcPr>
            <w:tcW w:w="871" w:type="pct"/>
            <w:tcBorders>
              <w:top w:val="single" w:color="auto" w:sz="4" w:space="0"/>
              <w:left w:val="nil"/>
              <w:bottom w:val="nil"/>
              <w:right w:val="nil"/>
            </w:tcBorders>
            <w:shd w:val="clear" w:color="auto" w:fill="FFFFFF"/>
            <w:tcMar>
              <w:top w:w="30" w:type="dxa"/>
              <w:left w:w="70" w:type="dxa"/>
              <w:bottom w:w="30" w:type="dxa"/>
              <w:right w:w="70" w:type="dxa"/>
            </w:tcMar>
            <w:vAlign w:val="center"/>
          </w:tcPr>
          <w:p w14:paraId="39F4A471">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5"/>
                <w:szCs w:val="15"/>
              </w:rPr>
              <w:t>42</w:t>
            </w:r>
          </w:p>
        </w:tc>
      </w:tr>
      <w:tr w14:paraId="5ECC127E">
        <w:tc>
          <w:tcPr>
            <w:tcW w:w="1926" w:type="pct"/>
            <w:tcBorders>
              <w:top w:val="nil"/>
              <w:left w:val="nil"/>
              <w:bottom w:val="nil"/>
              <w:right w:val="nil"/>
            </w:tcBorders>
            <w:shd w:val="clear" w:color="auto" w:fill="FFFFFF"/>
            <w:tcMar>
              <w:top w:w="30" w:type="dxa"/>
              <w:left w:w="70" w:type="dxa"/>
              <w:bottom w:w="30" w:type="dxa"/>
              <w:right w:w="70" w:type="dxa"/>
            </w:tcMar>
            <w:vAlign w:val="center"/>
          </w:tcPr>
          <w:p w14:paraId="440EAD9A">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5"/>
                <w:szCs w:val="15"/>
              </w:rPr>
              <w:t>D2 Predictors — ROB</w:t>
            </w:r>
          </w:p>
        </w:tc>
        <w:tc>
          <w:tcPr>
            <w:tcW w:w="733" w:type="pct"/>
            <w:tcBorders>
              <w:top w:val="nil"/>
              <w:left w:val="nil"/>
              <w:bottom w:val="nil"/>
              <w:right w:val="nil"/>
            </w:tcBorders>
            <w:shd w:val="clear" w:color="auto" w:fill="FFFFFF"/>
            <w:tcMar>
              <w:top w:w="30" w:type="dxa"/>
              <w:left w:w="70" w:type="dxa"/>
              <w:bottom w:w="30" w:type="dxa"/>
              <w:right w:w="70" w:type="dxa"/>
            </w:tcMar>
            <w:vAlign w:val="center"/>
          </w:tcPr>
          <w:p w14:paraId="0CA8C57D">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5"/>
                <w:szCs w:val="15"/>
              </w:rPr>
              <w:t>36</w:t>
            </w:r>
          </w:p>
        </w:tc>
        <w:tc>
          <w:tcPr>
            <w:tcW w:w="733" w:type="pct"/>
            <w:tcBorders>
              <w:top w:val="nil"/>
              <w:left w:val="nil"/>
              <w:bottom w:val="nil"/>
              <w:right w:val="nil"/>
            </w:tcBorders>
            <w:shd w:val="clear" w:color="auto" w:fill="FFFFFF"/>
            <w:tcMar>
              <w:top w:w="30" w:type="dxa"/>
              <w:left w:w="70" w:type="dxa"/>
              <w:bottom w:w="30" w:type="dxa"/>
              <w:right w:w="70" w:type="dxa"/>
            </w:tcMar>
            <w:vAlign w:val="center"/>
          </w:tcPr>
          <w:p w14:paraId="58195473">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5"/>
                <w:szCs w:val="15"/>
              </w:rPr>
              <w:t>6</w:t>
            </w:r>
          </w:p>
        </w:tc>
        <w:tc>
          <w:tcPr>
            <w:tcW w:w="733" w:type="pct"/>
            <w:tcBorders>
              <w:top w:val="nil"/>
              <w:left w:val="nil"/>
              <w:bottom w:val="nil"/>
              <w:right w:val="nil"/>
            </w:tcBorders>
            <w:shd w:val="clear" w:color="auto" w:fill="FFFFFF"/>
            <w:tcMar>
              <w:top w:w="30" w:type="dxa"/>
              <w:left w:w="70" w:type="dxa"/>
              <w:bottom w:w="30" w:type="dxa"/>
              <w:right w:w="70" w:type="dxa"/>
            </w:tcMar>
            <w:vAlign w:val="center"/>
          </w:tcPr>
          <w:p w14:paraId="777FAD50">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5"/>
                <w:szCs w:val="15"/>
              </w:rPr>
              <w:t>0</w:t>
            </w:r>
          </w:p>
        </w:tc>
        <w:tc>
          <w:tcPr>
            <w:tcW w:w="871" w:type="pct"/>
            <w:tcBorders>
              <w:top w:val="nil"/>
              <w:left w:val="nil"/>
              <w:bottom w:val="nil"/>
              <w:right w:val="nil"/>
            </w:tcBorders>
            <w:shd w:val="clear" w:color="auto" w:fill="FFFFFF"/>
            <w:tcMar>
              <w:top w:w="30" w:type="dxa"/>
              <w:left w:w="70" w:type="dxa"/>
              <w:bottom w:w="30" w:type="dxa"/>
              <w:right w:w="70" w:type="dxa"/>
            </w:tcMar>
            <w:vAlign w:val="center"/>
          </w:tcPr>
          <w:p w14:paraId="3071021B">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5"/>
                <w:szCs w:val="15"/>
              </w:rPr>
              <w:t>42</w:t>
            </w:r>
          </w:p>
        </w:tc>
      </w:tr>
      <w:tr w14:paraId="604AC293">
        <w:tc>
          <w:tcPr>
            <w:tcW w:w="1926" w:type="pct"/>
            <w:tcBorders>
              <w:top w:val="nil"/>
              <w:left w:val="nil"/>
              <w:bottom w:val="nil"/>
              <w:right w:val="nil"/>
            </w:tcBorders>
            <w:shd w:val="clear" w:color="auto" w:fill="FFFFFF"/>
            <w:tcMar>
              <w:top w:w="30" w:type="dxa"/>
              <w:left w:w="70" w:type="dxa"/>
              <w:bottom w:w="30" w:type="dxa"/>
              <w:right w:w="70" w:type="dxa"/>
            </w:tcMar>
            <w:vAlign w:val="center"/>
          </w:tcPr>
          <w:p w14:paraId="44F54436">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5"/>
                <w:szCs w:val="15"/>
              </w:rPr>
              <w:t>D3 Outcome — ROB</w:t>
            </w:r>
          </w:p>
        </w:tc>
        <w:tc>
          <w:tcPr>
            <w:tcW w:w="733" w:type="pct"/>
            <w:tcBorders>
              <w:top w:val="nil"/>
              <w:left w:val="nil"/>
              <w:bottom w:val="nil"/>
              <w:right w:val="nil"/>
            </w:tcBorders>
            <w:shd w:val="clear" w:color="auto" w:fill="FFFFFF"/>
            <w:tcMar>
              <w:top w:w="30" w:type="dxa"/>
              <w:left w:w="70" w:type="dxa"/>
              <w:bottom w:w="30" w:type="dxa"/>
              <w:right w:w="70" w:type="dxa"/>
            </w:tcMar>
            <w:vAlign w:val="center"/>
          </w:tcPr>
          <w:p w14:paraId="5E25C1B3">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5"/>
                <w:szCs w:val="15"/>
              </w:rPr>
              <w:t>40</w:t>
            </w:r>
          </w:p>
        </w:tc>
        <w:tc>
          <w:tcPr>
            <w:tcW w:w="733" w:type="pct"/>
            <w:tcBorders>
              <w:top w:val="nil"/>
              <w:left w:val="nil"/>
              <w:bottom w:val="nil"/>
              <w:right w:val="nil"/>
            </w:tcBorders>
            <w:shd w:val="clear" w:color="auto" w:fill="FFFFFF"/>
            <w:tcMar>
              <w:top w:w="30" w:type="dxa"/>
              <w:left w:w="70" w:type="dxa"/>
              <w:bottom w:w="30" w:type="dxa"/>
              <w:right w:w="70" w:type="dxa"/>
            </w:tcMar>
            <w:vAlign w:val="center"/>
          </w:tcPr>
          <w:p w14:paraId="37399FEA">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5"/>
                <w:szCs w:val="15"/>
              </w:rPr>
              <w:t>2</w:t>
            </w:r>
          </w:p>
        </w:tc>
        <w:tc>
          <w:tcPr>
            <w:tcW w:w="733" w:type="pct"/>
            <w:tcBorders>
              <w:top w:val="nil"/>
              <w:left w:val="nil"/>
              <w:bottom w:val="nil"/>
              <w:right w:val="nil"/>
            </w:tcBorders>
            <w:shd w:val="clear" w:color="auto" w:fill="FFFFFF"/>
            <w:tcMar>
              <w:top w:w="30" w:type="dxa"/>
              <w:left w:w="70" w:type="dxa"/>
              <w:bottom w:w="30" w:type="dxa"/>
              <w:right w:w="70" w:type="dxa"/>
            </w:tcMar>
            <w:vAlign w:val="center"/>
          </w:tcPr>
          <w:p w14:paraId="4BA95741">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5"/>
                <w:szCs w:val="15"/>
              </w:rPr>
              <w:t>0</w:t>
            </w:r>
          </w:p>
        </w:tc>
        <w:tc>
          <w:tcPr>
            <w:tcW w:w="871" w:type="pct"/>
            <w:tcBorders>
              <w:top w:val="nil"/>
              <w:left w:val="nil"/>
              <w:bottom w:val="nil"/>
              <w:right w:val="nil"/>
            </w:tcBorders>
            <w:shd w:val="clear" w:color="auto" w:fill="FFFFFF"/>
            <w:tcMar>
              <w:top w:w="30" w:type="dxa"/>
              <w:left w:w="70" w:type="dxa"/>
              <w:bottom w:w="30" w:type="dxa"/>
              <w:right w:w="70" w:type="dxa"/>
            </w:tcMar>
            <w:vAlign w:val="center"/>
          </w:tcPr>
          <w:p w14:paraId="2917050F">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5"/>
                <w:szCs w:val="15"/>
              </w:rPr>
              <w:t>42</w:t>
            </w:r>
          </w:p>
        </w:tc>
      </w:tr>
      <w:tr w14:paraId="3B9291D6">
        <w:tc>
          <w:tcPr>
            <w:tcW w:w="1926" w:type="pct"/>
            <w:tcBorders>
              <w:top w:val="nil"/>
              <w:left w:val="nil"/>
              <w:bottom w:val="nil"/>
              <w:right w:val="nil"/>
            </w:tcBorders>
            <w:shd w:val="clear" w:color="auto" w:fill="FFFFFF"/>
            <w:tcMar>
              <w:top w:w="30" w:type="dxa"/>
              <w:left w:w="70" w:type="dxa"/>
              <w:bottom w:w="30" w:type="dxa"/>
              <w:right w:w="70" w:type="dxa"/>
            </w:tcMar>
            <w:vAlign w:val="center"/>
          </w:tcPr>
          <w:p w14:paraId="291C0211">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5"/>
                <w:szCs w:val="15"/>
              </w:rPr>
              <w:t>D4 Analysis — ROB</w:t>
            </w:r>
          </w:p>
        </w:tc>
        <w:tc>
          <w:tcPr>
            <w:tcW w:w="733" w:type="pct"/>
            <w:tcBorders>
              <w:top w:val="nil"/>
              <w:left w:val="nil"/>
              <w:bottom w:val="nil"/>
              <w:right w:val="nil"/>
            </w:tcBorders>
            <w:shd w:val="clear" w:color="auto" w:fill="FFFFFF"/>
            <w:tcMar>
              <w:top w:w="30" w:type="dxa"/>
              <w:left w:w="70" w:type="dxa"/>
              <w:bottom w:w="30" w:type="dxa"/>
              <w:right w:w="70" w:type="dxa"/>
            </w:tcMar>
            <w:vAlign w:val="center"/>
          </w:tcPr>
          <w:p w14:paraId="315BDA80">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5"/>
                <w:szCs w:val="15"/>
              </w:rPr>
              <w:t>0</w:t>
            </w:r>
          </w:p>
        </w:tc>
        <w:tc>
          <w:tcPr>
            <w:tcW w:w="733" w:type="pct"/>
            <w:tcBorders>
              <w:top w:val="nil"/>
              <w:left w:val="nil"/>
              <w:bottom w:val="nil"/>
              <w:right w:val="nil"/>
            </w:tcBorders>
            <w:shd w:val="clear" w:color="auto" w:fill="FFFFFF"/>
            <w:tcMar>
              <w:top w:w="30" w:type="dxa"/>
              <w:left w:w="70" w:type="dxa"/>
              <w:bottom w:w="30" w:type="dxa"/>
              <w:right w:w="70" w:type="dxa"/>
            </w:tcMar>
            <w:vAlign w:val="center"/>
          </w:tcPr>
          <w:p w14:paraId="7C3F8583">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5"/>
                <w:szCs w:val="15"/>
              </w:rPr>
              <w:t>42</w:t>
            </w:r>
          </w:p>
        </w:tc>
        <w:tc>
          <w:tcPr>
            <w:tcW w:w="733" w:type="pct"/>
            <w:tcBorders>
              <w:top w:val="nil"/>
              <w:left w:val="nil"/>
              <w:bottom w:val="nil"/>
              <w:right w:val="nil"/>
            </w:tcBorders>
            <w:shd w:val="clear" w:color="auto" w:fill="FFFFFF"/>
            <w:tcMar>
              <w:top w:w="30" w:type="dxa"/>
              <w:left w:w="70" w:type="dxa"/>
              <w:bottom w:w="30" w:type="dxa"/>
              <w:right w:w="70" w:type="dxa"/>
            </w:tcMar>
            <w:vAlign w:val="center"/>
          </w:tcPr>
          <w:p w14:paraId="43E4B4D7">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5"/>
                <w:szCs w:val="15"/>
              </w:rPr>
              <w:t>0</w:t>
            </w:r>
          </w:p>
        </w:tc>
        <w:tc>
          <w:tcPr>
            <w:tcW w:w="871" w:type="pct"/>
            <w:tcBorders>
              <w:top w:val="nil"/>
              <w:left w:val="nil"/>
              <w:bottom w:val="nil"/>
              <w:right w:val="nil"/>
            </w:tcBorders>
            <w:shd w:val="clear" w:color="auto" w:fill="FFFFFF"/>
            <w:tcMar>
              <w:top w:w="30" w:type="dxa"/>
              <w:left w:w="70" w:type="dxa"/>
              <w:bottom w:w="30" w:type="dxa"/>
              <w:right w:w="70" w:type="dxa"/>
            </w:tcMar>
            <w:vAlign w:val="center"/>
          </w:tcPr>
          <w:p w14:paraId="638A8597">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5"/>
                <w:szCs w:val="15"/>
              </w:rPr>
              <w:t>42</w:t>
            </w:r>
          </w:p>
        </w:tc>
      </w:tr>
      <w:tr w14:paraId="7FDEC3E2">
        <w:tc>
          <w:tcPr>
            <w:tcW w:w="1926" w:type="pct"/>
            <w:tcBorders>
              <w:top w:val="nil"/>
              <w:left w:val="nil"/>
              <w:bottom w:val="nil"/>
              <w:right w:val="nil"/>
            </w:tcBorders>
            <w:shd w:val="clear" w:color="auto" w:fill="FFFFFF"/>
            <w:tcMar>
              <w:top w:w="30" w:type="dxa"/>
              <w:left w:w="70" w:type="dxa"/>
              <w:bottom w:w="30" w:type="dxa"/>
              <w:right w:w="70" w:type="dxa"/>
            </w:tcMar>
            <w:vAlign w:val="center"/>
          </w:tcPr>
          <w:p w14:paraId="481EC682">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5"/>
                <w:szCs w:val="15"/>
              </w:rPr>
              <w:t>D1 Participants — Applicability</w:t>
            </w:r>
          </w:p>
        </w:tc>
        <w:tc>
          <w:tcPr>
            <w:tcW w:w="733" w:type="pct"/>
            <w:tcBorders>
              <w:top w:val="nil"/>
              <w:left w:val="nil"/>
              <w:bottom w:val="nil"/>
              <w:right w:val="nil"/>
            </w:tcBorders>
            <w:shd w:val="clear" w:color="auto" w:fill="FFFFFF"/>
            <w:tcMar>
              <w:top w:w="30" w:type="dxa"/>
              <w:left w:w="70" w:type="dxa"/>
              <w:bottom w:w="30" w:type="dxa"/>
              <w:right w:w="70" w:type="dxa"/>
            </w:tcMar>
            <w:vAlign w:val="center"/>
          </w:tcPr>
          <w:p w14:paraId="0039EAE4">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5"/>
                <w:szCs w:val="15"/>
              </w:rPr>
              <w:t>13</w:t>
            </w:r>
          </w:p>
        </w:tc>
        <w:tc>
          <w:tcPr>
            <w:tcW w:w="733" w:type="pct"/>
            <w:tcBorders>
              <w:top w:val="nil"/>
              <w:left w:val="nil"/>
              <w:bottom w:val="nil"/>
              <w:right w:val="nil"/>
            </w:tcBorders>
            <w:shd w:val="clear" w:color="auto" w:fill="FFFFFF"/>
            <w:tcMar>
              <w:top w:w="30" w:type="dxa"/>
              <w:left w:w="70" w:type="dxa"/>
              <w:bottom w:w="30" w:type="dxa"/>
              <w:right w:w="70" w:type="dxa"/>
            </w:tcMar>
            <w:vAlign w:val="center"/>
          </w:tcPr>
          <w:p w14:paraId="5A173682">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5"/>
                <w:szCs w:val="15"/>
              </w:rPr>
              <w:t>29</w:t>
            </w:r>
          </w:p>
        </w:tc>
        <w:tc>
          <w:tcPr>
            <w:tcW w:w="733" w:type="pct"/>
            <w:tcBorders>
              <w:top w:val="nil"/>
              <w:left w:val="nil"/>
              <w:bottom w:val="nil"/>
              <w:right w:val="nil"/>
            </w:tcBorders>
            <w:shd w:val="clear" w:color="auto" w:fill="FFFFFF"/>
            <w:tcMar>
              <w:top w:w="30" w:type="dxa"/>
              <w:left w:w="70" w:type="dxa"/>
              <w:bottom w:w="30" w:type="dxa"/>
              <w:right w:w="70" w:type="dxa"/>
            </w:tcMar>
            <w:vAlign w:val="center"/>
          </w:tcPr>
          <w:p w14:paraId="7A4BBCA6">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5"/>
                <w:szCs w:val="15"/>
              </w:rPr>
              <w:t>0</w:t>
            </w:r>
          </w:p>
        </w:tc>
        <w:tc>
          <w:tcPr>
            <w:tcW w:w="871" w:type="pct"/>
            <w:tcBorders>
              <w:top w:val="nil"/>
              <w:left w:val="nil"/>
              <w:bottom w:val="nil"/>
              <w:right w:val="nil"/>
            </w:tcBorders>
            <w:shd w:val="clear" w:color="auto" w:fill="FFFFFF"/>
            <w:tcMar>
              <w:top w:w="30" w:type="dxa"/>
              <w:left w:w="70" w:type="dxa"/>
              <w:bottom w:w="30" w:type="dxa"/>
              <w:right w:w="70" w:type="dxa"/>
            </w:tcMar>
            <w:vAlign w:val="center"/>
          </w:tcPr>
          <w:p w14:paraId="233437A8">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5"/>
                <w:szCs w:val="15"/>
              </w:rPr>
              <w:t>42</w:t>
            </w:r>
          </w:p>
        </w:tc>
      </w:tr>
      <w:tr w14:paraId="5EBA9261">
        <w:tc>
          <w:tcPr>
            <w:tcW w:w="1926" w:type="pct"/>
            <w:tcBorders>
              <w:top w:val="nil"/>
              <w:left w:val="nil"/>
              <w:bottom w:val="nil"/>
              <w:right w:val="nil"/>
            </w:tcBorders>
            <w:shd w:val="clear" w:color="auto" w:fill="FFFFFF"/>
            <w:tcMar>
              <w:top w:w="30" w:type="dxa"/>
              <w:left w:w="70" w:type="dxa"/>
              <w:bottom w:w="30" w:type="dxa"/>
              <w:right w:w="70" w:type="dxa"/>
            </w:tcMar>
            <w:vAlign w:val="center"/>
          </w:tcPr>
          <w:p w14:paraId="70E11A5F">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5"/>
                <w:szCs w:val="15"/>
              </w:rPr>
              <w:t>D2 Predictors — Applicability</w:t>
            </w:r>
          </w:p>
        </w:tc>
        <w:tc>
          <w:tcPr>
            <w:tcW w:w="733" w:type="pct"/>
            <w:tcBorders>
              <w:top w:val="nil"/>
              <w:left w:val="nil"/>
              <w:bottom w:val="nil"/>
              <w:right w:val="nil"/>
            </w:tcBorders>
            <w:shd w:val="clear" w:color="auto" w:fill="FFFFFF"/>
            <w:tcMar>
              <w:top w:w="30" w:type="dxa"/>
              <w:left w:w="70" w:type="dxa"/>
              <w:bottom w:w="30" w:type="dxa"/>
              <w:right w:w="70" w:type="dxa"/>
            </w:tcMar>
            <w:vAlign w:val="center"/>
          </w:tcPr>
          <w:p w14:paraId="60318ABD">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5"/>
                <w:szCs w:val="15"/>
              </w:rPr>
              <w:t>8</w:t>
            </w:r>
          </w:p>
        </w:tc>
        <w:tc>
          <w:tcPr>
            <w:tcW w:w="733" w:type="pct"/>
            <w:tcBorders>
              <w:top w:val="nil"/>
              <w:left w:val="nil"/>
              <w:bottom w:val="nil"/>
              <w:right w:val="nil"/>
            </w:tcBorders>
            <w:shd w:val="clear" w:color="auto" w:fill="FFFFFF"/>
            <w:tcMar>
              <w:top w:w="30" w:type="dxa"/>
              <w:left w:w="70" w:type="dxa"/>
              <w:bottom w:w="30" w:type="dxa"/>
              <w:right w:w="70" w:type="dxa"/>
            </w:tcMar>
            <w:vAlign w:val="center"/>
          </w:tcPr>
          <w:p w14:paraId="073A8F24">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5"/>
                <w:szCs w:val="15"/>
              </w:rPr>
              <w:t>34</w:t>
            </w:r>
          </w:p>
        </w:tc>
        <w:tc>
          <w:tcPr>
            <w:tcW w:w="733" w:type="pct"/>
            <w:tcBorders>
              <w:top w:val="nil"/>
              <w:left w:val="nil"/>
              <w:bottom w:val="nil"/>
              <w:right w:val="nil"/>
            </w:tcBorders>
            <w:shd w:val="clear" w:color="auto" w:fill="FFFFFF"/>
            <w:tcMar>
              <w:top w:w="30" w:type="dxa"/>
              <w:left w:w="70" w:type="dxa"/>
              <w:bottom w:w="30" w:type="dxa"/>
              <w:right w:w="70" w:type="dxa"/>
            </w:tcMar>
            <w:vAlign w:val="center"/>
          </w:tcPr>
          <w:p w14:paraId="45B34C63">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5"/>
                <w:szCs w:val="15"/>
              </w:rPr>
              <w:t>0</w:t>
            </w:r>
          </w:p>
        </w:tc>
        <w:tc>
          <w:tcPr>
            <w:tcW w:w="871" w:type="pct"/>
            <w:tcBorders>
              <w:top w:val="nil"/>
              <w:left w:val="nil"/>
              <w:bottom w:val="nil"/>
              <w:right w:val="nil"/>
            </w:tcBorders>
            <w:shd w:val="clear" w:color="auto" w:fill="FFFFFF"/>
            <w:tcMar>
              <w:top w:w="30" w:type="dxa"/>
              <w:left w:w="70" w:type="dxa"/>
              <w:bottom w:w="30" w:type="dxa"/>
              <w:right w:w="70" w:type="dxa"/>
            </w:tcMar>
            <w:vAlign w:val="center"/>
          </w:tcPr>
          <w:p w14:paraId="1CDBC24A">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5"/>
                <w:szCs w:val="15"/>
              </w:rPr>
              <w:t>42</w:t>
            </w:r>
          </w:p>
        </w:tc>
      </w:tr>
      <w:tr w14:paraId="76C32767">
        <w:tc>
          <w:tcPr>
            <w:tcW w:w="1926" w:type="pct"/>
            <w:tcBorders>
              <w:top w:val="nil"/>
              <w:left w:val="nil"/>
              <w:bottom w:val="nil"/>
              <w:right w:val="nil"/>
            </w:tcBorders>
            <w:shd w:val="clear" w:color="auto" w:fill="FFFFFF"/>
            <w:tcMar>
              <w:top w:w="30" w:type="dxa"/>
              <w:left w:w="70" w:type="dxa"/>
              <w:bottom w:w="30" w:type="dxa"/>
              <w:right w:w="70" w:type="dxa"/>
            </w:tcMar>
            <w:vAlign w:val="center"/>
          </w:tcPr>
          <w:p w14:paraId="03095C39">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5"/>
                <w:szCs w:val="15"/>
              </w:rPr>
              <w:t>D3 Outcome — Applicability</w:t>
            </w:r>
          </w:p>
        </w:tc>
        <w:tc>
          <w:tcPr>
            <w:tcW w:w="733" w:type="pct"/>
            <w:tcBorders>
              <w:top w:val="nil"/>
              <w:left w:val="nil"/>
              <w:bottom w:val="nil"/>
              <w:right w:val="nil"/>
            </w:tcBorders>
            <w:shd w:val="clear" w:color="auto" w:fill="FFFFFF"/>
            <w:tcMar>
              <w:top w:w="30" w:type="dxa"/>
              <w:left w:w="70" w:type="dxa"/>
              <w:bottom w:w="30" w:type="dxa"/>
              <w:right w:w="70" w:type="dxa"/>
            </w:tcMar>
            <w:vAlign w:val="center"/>
          </w:tcPr>
          <w:p w14:paraId="729EF291">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5"/>
                <w:szCs w:val="15"/>
              </w:rPr>
              <w:t>38</w:t>
            </w:r>
          </w:p>
        </w:tc>
        <w:tc>
          <w:tcPr>
            <w:tcW w:w="733" w:type="pct"/>
            <w:tcBorders>
              <w:top w:val="nil"/>
              <w:left w:val="nil"/>
              <w:bottom w:val="nil"/>
              <w:right w:val="nil"/>
            </w:tcBorders>
            <w:shd w:val="clear" w:color="auto" w:fill="FFFFFF"/>
            <w:tcMar>
              <w:top w:w="30" w:type="dxa"/>
              <w:left w:w="70" w:type="dxa"/>
              <w:bottom w:w="30" w:type="dxa"/>
              <w:right w:w="70" w:type="dxa"/>
            </w:tcMar>
            <w:vAlign w:val="center"/>
          </w:tcPr>
          <w:p w14:paraId="7B333AF5">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5"/>
                <w:szCs w:val="15"/>
              </w:rPr>
              <w:t>4</w:t>
            </w:r>
          </w:p>
        </w:tc>
        <w:tc>
          <w:tcPr>
            <w:tcW w:w="733" w:type="pct"/>
            <w:tcBorders>
              <w:top w:val="nil"/>
              <w:left w:val="nil"/>
              <w:bottom w:val="nil"/>
              <w:right w:val="nil"/>
            </w:tcBorders>
            <w:shd w:val="clear" w:color="auto" w:fill="FFFFFF"/>
            <w:tcMar>
              <w:top w:w="30" w:type="dxa"/>
              <w:left w:w="70" w:type="dxa"/>
              <w:bottom w:w="30" w:type="dxa"/>
              <w:right w:w="70" w:type="dxa"/>
            </w:tcMar>
            <w:vAlign w:val="center"/>
          </w:tcPr>
          <w:p w14:paraId="2186212C">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5"/>
                <w:szCs w:val="15"/>
              </w:rPr>
              <w:t>0</w:t>
            </w:r>
          </w:p>
        </w:tc>
        <w:tc>
          <w:tcPr>
            <w:tcW w:w="871" w:type="pct"/>
            <w:tcBorders>
              <w:top w:val="nil"/>
              <w:left w:val="nil"/>
              <w:bottom w:val="nil"/>
              <w:right w:val="nil"/>
            </w:tcBorders>
            <w:shd w:val="clear" w:color="auto" w:fill="FFFFFF"/>
            <w:tcMar>
              <w:top w:w="30" w:type="dxa"/>
              <w:left w:w="70" w:type="dxa"/>
              <w:bottom w:w="30" w:type="dxa"/>
              <w:right w:w="70" w:type="dxa"/>
            </w:tcMar>
            <w:vAlign w:val="center"/>
          </w:tcPr>
          <w:p w14:paraId="2D29B163">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5"/>
                <w:szCs w:val="15"/>
              </w:rPr>
              <w:t>42</w:t>
            </w:r>
          </w:p>
        </w:tc>
      </w:tr>
      <w:tr w14:paraId="04889C1E">
        <w:tc>
          <w:tcPr>
            <w:tcW w:w="1926" w:type="pct"/>
            <w:tcBorders>
              <w:top w:val="nil"/>
              <w:left w:val="nil"/>
              <w:bottom w:val="nil"/>
              <w:right w:val="nil"/>
            </w:tcBorders>
            <w:shd w:val="clear" w:color="auto" w:fill="FFFFFF"/>
            <w:tcMar>
              <w:top w:w="30" w:type="dxa"/>
              <w:left w:w="70" w:type="dxa"/>
              <w:bottom w:w="30" w:type="dxa"/>
              <w:right w:w="70" w:type="dxa"/>
            </w:tcMar>
            <w:vAlign w:val="center"/>
          </w:tcPr>
          <w:p w14:paraId="3E2B0019">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5"/>
                <w:szCs w:val="15"/>
              </w:rPr>
              <w:t>Overall ROB</w:t>
            </w:r>
          </w:p>
        </w:tc>
        <w:tc>
          <w:tcPr>
            <w:tcW w:w="733" w:type="pct"/>
            <w:tcBorders>
              <w:top w:val="nil"/>
              <w:left w:val="nil"/>
              <w:bottom w:val="nil"/>
              <w:right w:val="nil"/>
            </w:tcBorders>
            <w:shd w:val="clear" w:color="auto" w:fill="FFFFFF"/>
            <w:tcMar>
              <w:top w:w="30" w:type="dxa"/>
              <w:left w:w="70" w:type="dxa"/>
              <w:bottom w:w="30" w:type="dxa"/>
              <w:right w:w="70" w:type="dxa"/>
            </w:tcMar>
            <w:vAlign w:val="center"/>
          </w:tcPr>
          <w:p w14:paraId="6D53F6E2">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5"/>
                <w:szCs w:val="15"/>
              </w:rPr>
              <w:t>0</w:t>
            </w:r>
          </w:p>
        </w:tc>
        <w:tc>
          <w:tcPr>
            <w:tcW w:w="733" w:type="pct"/>
            <w:tcBorders>
              <w:top w:val="nil"/>
              <w:left w:val="nil"/>
              <w:bottom w:val="nil"/>
              <w:right w:val="nil"/>
            </w:tcBorders>
            <w:shd w:val="clear" w:color="auto" w:fill="FFFFFF"/>
            <w:tcMar>
              <w:top w:w="30" w:type="dxa"/>
              <w:left w:w="70" w:type="dxa"/>
              <w:bottom w:w="30" w:type="dxa"/>
              <w:right w:w="70" w:type="dxa"/>
            </w:tcMar>
            <w:vAlign w:val="center"/>
          </w:tcPr>
          <w:p w14:paraId="4992FF5B">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5"/>
                <w:szCs w:val="15"/>
              </w:rPr>
              <w:t>42</w:t>
            </w:r>
          </w:p>
        </w:tc>
        <w:tc>
          <w:tcPr>
            <w:tcW w:w="733" w:type="pct"/>
            <w:tcBorders>
              <w:top w:val="nil"/>
              <w:left w:val="nil"/>
              <w:bottom w:val="nil"/>
              <w:right w:val="nil"/>
            </w:tcBorders>
            <w:shd w:val="clear" w:color="auto" w:fill="FFFFFF"/>
            <w:tcMar>
              <w:top w:w="30" w:type="dxa"/>
              <w:left w:w="70" w:type="dxa"/>
              <w:bottom w:w="30" w:type="dxa"/>
              <w:right w:w="70" w:type="dxa"/>
            </w:tcMar>
            <w:vAlign w:val="center"/>
          </w:tcPr>
          <w:p w14:paraId="4C1FC196">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5"/>
                <w:szCs w:val="15"/>
              </w:rPr>
              <w:t>0</w:t>
            </w:r>
          </w:p>
        </w:tc>
        <w:tc>
          <w:tcPr>
            <w:tcW w:w="871" w:type="pct"/>
            <w:tcBorders>
              <w:top w:val="nil"/>
              <w:left w:val="nil"/>
              <w:bottom w:val="nil"/>
              <w:right w:val="nil"/>
            </w:tcBorders>
            <w:shd w:val="clear" w:color="auto" w:fill="FFFFFF"/>
            <w:tcMar>
              <w:top w:w="30" w:type="dxa"/>
              <w:left w:w="70" w:type="dxa"/>
              <w:bottom w:w="30" w:type="dxa"/>
              <w:right w:w="70" w:type="dxa"/>
            </w:tcMar>
            <w:vAlign w:val="center"/>
          </w:tcPr>
          <w:p w14:paraId="5D6C71D9">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5"/>
                <w:szCs w:val="15"/>
              </w:rPr>
              <w:t>42</w:t>
            </w:r>
          </w:p>
        </w:tc>
      </w:tr>
      <w:tr w14:paraId="7949A262">
        <w:tc>
          <w:tcPr>
            <w:tcW w:w="1926" w:type="pct"/>
            <w:tcBorders>
              <w:top w:val="nil"/>
              <w:left w:val="nil"/>
              <w:right w:val="nil"/>
            </w:tcBorders>
            <w:shd w:val="clear" w:color="auto" w:fill="FFFFFF"/>
            <w:tcMar>
              <w:top w:w="30" w:type="dxa"/>
              <w:left w:w="70" w:type="dxa"/>
              <w:bottom w:w="30" w:type="dxa"/>
              <w:right w:w="70" w:type="dxa"/>
            </w:tcMar>
            <w:vAlign w:val="center"/>
          </w:tcPr>
          <w:p w14:paraId="6F5E0757">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5"/>
                <w:szCs w:val="15"/>
              </w:rPr>
              <w:t>Overall applicability</w:t>
            </w:r>
          </w:p>
        </w:tc>
        <w:tc>
          <w:tcPr>
            <w:tcW w:w="733" w:type="pct"/>
            <w:tcBorders>
              <w:top w:val="nil"/>
              <w:left w:val="nil"/>
              <w:right w:val="nil"/>
            </w:tcBorders>
            <w:shd w:val="clear" w:color="auto" w:fill="FFFFFF"/>
            <w:tcMar>
              <w:top w:w="30" w:type="dxa"/>
              <w:left w:w="70" w:type="dxa"/>
              <w:bottom w:w="30" w:type="dxa"/>
              <w:right w:w="70" w:type="dxa"/>
            </w:tcMar>
            <w:vAlign w:val="center"/>
          </w:tcPr>
          <w:p w14:paraId="545C9821">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5"/>
                <w:szCs w:val="15"/>
              </w:rPr>
              <w:t>3</w:t>
            </w:r>
          </w:p>
        </w:tc>
        <w:tc>
          <w:tcPr>
            <w:tcW w:w="733" w:type="pct"/>
            <w:tcBorders>
              <w:top w:val="nil"/>
              <w:left w:val="nil"/>
              <w:right w:val="nil"/>
            </w:tcBorders>
            <w:shd w:val="clear" w:color="auto" w:fill="FFFFFF"/>
            <w:tcMar>
              <w:top w:w="30" w:type="dxa"/>
              <w:left w:w="70" w:type="dxa"/>
              <w:bottom w:w="30" w:type="dxa"/>
              <w:right w:w="70" w:type="dxa"/>
            </w:tcMar>
            <w:vAlign w:val="center"/>
          </w:tcPr>
          <w:p w14:paraId="426904F6">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5"/>
                <w:szCs w:val="15"/>
              </w:rPr>
              <w:t>39</w:t>
            </w:r>
          </w:p>
        </w:tc>
        <w:tc>
          <w:tcPr>
            <w:tcW w:w="733" w:type="pct"/>
            <w:tcBorders>
              <w:top w:val="nil"/>
              <w:left w:val="nil"/>
              <w:right w:val="nil"/>
            </w:tcBorders>
            <w:shd w:val="clear" w:color="auto" w:fill="FFFFFF"/>
            <w:tcMar>
              <w:top w:w="30" w:type="dxa"/>
              <w:left w:w="70" w:type="dxa"/>
              <w:bottom w:w="30" w:type="dxa"/>
              <w:right w:w="70" w:type="dxa"/>
            </w:tcMar>
            <w:vAlign w:val="center"/>
          </w:tcPr>
          <w:p w14:paraId="27F3AD02">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5"/>
                <w:szCs w:val="15"/>
              </w:rPr>
              <w:t>0</w:t>
            </w:r>
          </w:p>
        </w:tc>
        <w:tc>
          <w:tcPr>
            <w:tcW w:w="871" w:type="pct"/>
            <w:tcBorders>
              <w:top w:val="nil"/>
              <w:left w:val="nil"/>
              <w:right w:val="nil"/>
            </w:tcBorders>
            <w:shd w:val="clear" w:color="auto" w:fill="FFFFFF"/>
            <w:tcMar>
              <w:top w:w="30" w:type="dxa"/>
              <w:left w:w="70" w:type="dxa"/>
              <w:bottom w:w="30" w:type="dxa"/>
              <w:right w:w="70" w:type="dxa"/>
            </w:tcMar>
            <w:vAlign w:val="center"/>
          </w:tcPr>
          <w:p w14:paraId="07A6BACD">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5"/>
                <w:szCs w:val="15"/>
              </w:rPr>
              <w:t>42</w:t>
            </w:r>
          </w:p>
        </w:tc>
      </w:tr>
    </w:tbl>
    <w:p w14:paraId="5DFC6522">
      <w:pPr>
        <w:keepNext w:val="0"/>
        <w:keepLines w:val="0"/>
        <w:pageBreakBefore w:val="0"/>
        <w:widowControl w:val="0"/>
        <w:kinsoku/>
        <w:wordWrap/>
        <w:overflowPunct/>
        <w:topLinePunct w:val="0"/>
        <w:autoSpaceDE/>
        <w:autoSpaceDN/>
        <w:bidi w:val="0"/>
        <w:adjustRightInd/>
        <w:snapToGrid/>
        <w:textAlignment w:val="auto"/>
        <w:rPr>
          <w:rFonts w:hint="default" w:ascii="Times New Roman Regular" w:hAnsi="Times New Roman Regular" w:cs="Times New Roman Regular"/>
          <w:color w:val="auto"/>
        </w:rPr>
      </w:pPr>
      <w:r>
        <w:rPr>
          <w:rFonts w:hint="default" w:ascii="Times New Roman Regular" w:hAnsi="Times New Roman Regular" w:eastAsia="Arial" w:cs="Times New Roman Regular"/>
          <w:b w:val="0"/>
          <w:bCs w:val="0"/>
          <w:i/>
          <w:iCs/>
          <w:color w:val="auto"/>
          <w:sz w:val="15"/>
          <w:szCs w:val="15"/>
        </w:rPr>
        <w:t>Note. N = 42 included studies. D4 Analysis was rated High risk of bias for all studies.</w:t>
      </w:r>
    </w:p>
    <w:p w14:paraId="743FFA59">
      <w:pPr>
        <w:keepNext w:val="0"/>
        <w:keepLines w:val="0"/>
        <w:pageBreakBefore w:val="0"/>
        <w:widowControl w:val="0"/>
        <w:kinsoku/>
        <w:wordWrap/>
        <w:overflowPunct/>
        <w:topLinePunct w:val="0"/>
        <w:autoSpaceDE/>
        <w:autoSpaceDN/>
        <w:bidi w:val="0"/>
        <w:adjustRightInd/>
        <w:snapToGrid/>
        <w:textAlignment w:val="auto"/>
        <w:rPr>
          <w:rFonts w:hint="default" w:ascii="Times New Roman Regular" w:hAnsi="Times New Roman Regular" w:cs="Times New Roman Regular"/>
          <w:color w:val="auto"/>
        </w:rPr>
        <w:sectPr>
          <w:pgSz w:w="15840" w:h="12240" w:orient="landscape"/>
          <w:pgMar w:top="720" w:right="720" w:bottom="720" w:left="720" w:header="708" w:footer="708" w:gutter="0"/>
          <w:cols w:space="720" w:num="1"/>
          <w:docGrid w:linePitch="360" w:charSpace="0"/>
        </w:sectPr>
      </w:pPr>
    </w:p>
    <w:p w14:paraId="522B1338">
      <w:pPr>
        <w:keepNext w:val="0"/>
        <w:keepLines w:val="0"/>
        <w:pageBreakBefore w:val="0"/>
        <w:widowControl w:val="0"/>
        <w:kinsoku/>
        <w:wordWrap/>
        <w:overflowPunct/>
        <w:topLinePunct w:val="0"/>
        <w:autoSpaceDE/>
        <w:autoSpaceDN/>
        <w:bidi w:val="0"/>
        <w:adjustRightInd/>
        <w:snapToGrid/>
        <w:textAlignment w:val="auto"/>
        <w:rPr>
          <w:rFonts w:hint="default" w:ascii="Times New Roman Regular" w:hAnsi="Times New Roman Regular" w:cs="Times New Roman Regular"/>
          <w:color w:val="auto"/>
        </w:rPr>
      </w:pPr>
      <w:r>
        <w:rPr>
          <w:rFonts w:hint="default" w:ascii="Times New Roman Regular" w:hAnsi="Times New Roman Regular" w:eastAsia="Arial" w:cs="Times New Roman Regular"/>
          <w:b/>
          <w:bCs/>
          <w:i w:val="0"/>
          <w:iCs w:val="0"/>
          <w:color w:val="auto"/>
          <w:sz w:val="20"/>
          <w:szCs w:val="20"/>
        </w:rPr>
        <w:t>Per-study judgment rationale</w:t>
      </w:r>
    </w:p>
    <w:tbl>
      <w:tblPr>
        <w:tblStyle w:val="1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 w:type="dxa"/>
          <w:bottom w:w="0" w:type="dxa"/>
          <w:right w:w="10" w:type="dxa"/>
        </w:tblCellMar>
      </w:tblPr>
      <w:tblGrid>
        <w:gridCol w:w="1410"/>
        <w:gridCol w:w="845"/>
        <w:gridCol w:w="870"/>
        <w:gridCol w:w="10675"/>
      </w:tblGrid>
      <w:tr w14:paraId="1AAB127D">
        <w:trPr>
          <w:trHeight w:val="105" w:hRule="atLeast"/>
          <w:tblHeader/>
        </w:trPr>
        <w:tc>
          <w:tcPr>
            <w:tcW w:w="511" w:type="pct"/>
            <w:tcBorders>
              <w:left w:val="nil"/>
              <w:bottom w:val="single" w:color="auto" w:sz="4" w:space="0"/>
              <w:right w:val="nil"/>
              <w:tl2br w:val="nil"/>
            </w:tcBorders>
            <w:shd w:val="clear" w:color="auto" w:fill="FFFFFF"/>
            <w:tcMar>
              <w:top w:w="40" w:type="dxa"/>
              <w:left w:w="60" w:type="dxa"/>
              <w:bottom w:w="40" w:type="dxa"/>
              <w:right w:w="60" w:type="dxa"/>
            </w:tcMar>
            <w:vAlign w:val="top"/>
          </w:tcPr>
          <w:p w14:paraId="53A86548">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i w:val="0"/>
                <w:iCs w:val="0"/>
                <w:color w:val="000000"/>
                <w:sz w:val="15"/>
                <w:szCs w:val="15"/>
              </w:rPr>
              <w:t>Study</w:t>
            </w:r>
          </w:p>
        </w:tc>
        <w:tc>
          <w:tcPr>
            <w:tcW w:w="306" w:type="pct"/>
            <w:tcBorders>
              <w:left w:val="nil"/>
              <w:bottom w:val="single" w:color="auto" w:sz="4" w:space="0"/>
              <w:right w:val="nil"/>
            </w:tcBorders>
            <w:shd w:val="clear" w:color="auto" w:fill="FFFFFF"/>
            <w:tcMar>
              <w:top w:w="40" w:type="dxa"/>
              <w:left w:w="60" w:type="dxa"/>
              <w:bottom w:w="40" w:type="dxa"/>
              <w:right w:w="60" w:type="dxa"/>
            </w:tcMar>
            <w:vAlign w:val="top"/>
          </w:tcPr>
          <w:p w14:paraId="2E6CB584">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i w:val="0"/>
                <w:iCs w:val="0"/>
                <w:color w:val="000000"/>
                <w:sz w:val="15"/>
                <w:szCs w:val="15"/>
              </w:rPr>
              <w:t>Overall ROB</w:t>
            </w:r>
          </w:p>
        </w:tc>
        <w:tc>
          <w:tcPr>
            <w:tcW w:w="315" w:type="pct"/>
            <w:tcBorders>
              <w:left w:val="nil"/>
              <w:bottom w:val="single" w:color="auto" w:sz="4" w:space="0"/>
              <w:right w:val="nil"/>
            </w:tcBorders>
            <w:shd w:val="clear" w:color="auto" w:fill="FFFFFF"/>
            <w:tcMar>
              <w:top w:w="40" w:type="dxa"/>
              <w:left w:w="60" w:type="dxa"/>
              <w:bottom w:w="40" w:type="dxa"/>
              <w:right w:w="60" w:type="dxa"/>
            </w:tcMar>
            <w:vAlign w:val="top"/>
          </w:tcPr>
          <w:p w14:paraId="72852E9D">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i w:val="0"/>
                <w:iCs w:val="0"/>
                <w:color w:val="000000"/>
                <w:sz w:val="15"/>
                <w:szCs w:val="15"/>
              </w:rPr>
              <w:t>Overall applic.</w:t>
            </w:r>
          </w:p>
        </w:tc>
        <w:tc>
          <w:tcPr>
            <w:tcW w:w="3866" w:type="pct"/>
            <w:tcBorders>
              <w:left w:val="nil"/>
              <w:bottom w:val="single" w:color="auto" w:sz="4" w:space="0"/>
              <w:right w:val="nil"/>
            </w:tcBorders>
            <w:shd w:val="clear" w:color="auto" w:fill="FFFFFF"/>
            <w:tcMar>
              <w:top w:w="40" w:type="dxa"/>
              <w:left w:w="60" w:type="dxa"/>
              <w:bottom w:w="40" w:type="dxa"/>
              <w:right w:w="60" w:type="dxa"/>
            </w:tcMar>
            <w:vAlign w:val="top"/>
          </w:tcPr>
          <w:p w14:paraId="01840729">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i w:val="0"/>
                <w:iCs w:val="0"/>
                <w:color w:val="000000"/>
                <w:sz w:val="15"/>
                <w:szCs w:val="15"/>
              </w:rPr>
              <w:t>Comments / rationale</w:t>
            </w:r>
          </w:p>
        </w:tc>
      </w:tr>
      <w:tr w14:paraId="5A6CB1AC">
        <w:tc>
          <w:tcPr>
            <w:tcW w:w="511" w:type="pct"/>
            <w:tcBorders>
              <w:top w:val="single" w:color="auto" w:sz="4" w:space="0"/>
              <w:left w:val="nil"/>
              <w:bottom w:val="nil"/>
              <w:right w:val="nil"/>
            </w:tcBorders>
            <w:shd w:val="clear" w:color="auto" w:fill="FFFFFF"/>
            <w:tcMar>
              <w:top w:w="30" w:type="dxa"/>
              <w:left w:w="60" w:type="dxa"/>
              <w:bottom w:w="30" w:type="dxa"/>
              <w:right w:w="60" w:type="dxa"/>
            </w:tcMar>
            <w:vAlign w:val="top"/>
          </w:tcPr>
          <w:p w14:paraId="5E933832">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i w:val="0"/>
                <w:iCs w:val="0"/>
                <w:color w:val="000000"/>
                <w:sz w:val="15"/>
                <w:szCs w:val="15"/>
              </w:rPr>
              <w:t>Chen H (2022)</w:t>
            </w:r>
          </w:p>
        </w:tc>
        <w:tc>
          <w:tcPr>
            <w:tcW w:w="306" w:type="pct"/>
            <w:tcBorders>
              <w:top w:val="single" w:color="auto" w:sz="4" w:space="0"/>
              <w:left w:val="nil"/>
              <w:bottom w:val="nil"/>
              <w:right w:val="nil"/>
            </w:tcBorders>
            <w:shd w:val="clear" w:color="auto" w:fill="FFFFFF"/>
            <w:tcMar>
              <w:top w:w="30" w:type="dxa"/>
              <w:left w:w="60" w:type="dxa"/>
              <w:bottom w:w="30" w:type="dxa"/>
              <w:right w:w="60" w:type="dxa"/>
            </w:tcMar>
            <w:vAlign w:val="top"/>
          </w:tcPr>
          <w:p w14:paraId="613ADC44">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5"/>
                <w:szCs w:val="15"/>
              </w:rPr>
              <w:t>High</w:t>
            </w:r>
          </w:p>
        </w:tc>
        <w:tc>
          <w:tcPr>
            <w:tcW w:w="315" w:type="pct"/>
            <w:tcBorders>
              <w:top w:val="single" w:color="auto" w:sz="4" w:space="0"/>
              <w:left w:val="nil"/>
              <w:bottom w:val="nil"/>
              <w:right w:val="nil"/>
            </w:tcBorders>
            <w:shd w:val="clear" w:color="auto" w:fill="FFFFFF"/>
            <w:tcMar>
              <w:top w:w="30" w:type="dxa"/>
              <w:left w:w="60" w:type="dxa"/>
              <w:bottom w:w="30" w:type="dxa"/>
              <w:right w:w="60" w:type="dxa"/>
            </w:tcMar>
            <w:vAlign w:val="top"/>
          </w:tcPr>
          <w:p w14:paraId="5886B1C5">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5"/>
                <w:szCs w:val="15"/>
              </w:rPr>
              <w:t>High</w:t>
            </w:r>
          </w:p>
        </w:tc>
        <w:tc>
          <w:tcPr>
            <w:tcW w:w="3866" w:type="pct"/>
            <w:tcBorders>
              <w:top w:val="single" w:color="auto" w:sz="4" w:space="0"/>
              <w:left w:val="nil"/>
              <w:bottom w:val="nil"/>
              <w:right w:val="nil"/>
            </w:tcBorders>
            <w:shd w:val="clear" w:color="auto" w:fill="FFFFFF"/>
            <w:tcMar>
              <w:top w:w="40" w:type="dxa"/>
              <w:left w:w="70" w:type="dxa"/>
              <w:bottom w:w="40" w:type="dxa"/>
              <w:right w:w="70" w:type="dxa"/>
            </w:tcMar>
            <w:vAlign w:val="top"/>
          </w:tcPr>
          <w:p w14:paraId="46AEE247">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Healthy young (n=12) and older (n=12) recruited with clear inclusion criteria; same NIRS device (OctaMon M, 760/850 nm) and biceps brachii placement across groups, predictors assessed blind to outcome by design. Outcome (age group) is objective. Analysis domain is High: very small sample (n=24) for SVM with multiple features, leave-one-out cross-validation only, no external validation, candidate predictors were selected based on the same statistical tests used for the classification (data-driven feature selection without correction), and class balance/calibration not reported. Applicability concerns are High because the target review population is Paralympic/adaptive-sport athletes and clinical rehabilitation populations, whereas this study classifies healthy aging in upper-limb biceps brachii during encircling exercise; the outcome (young vs old) is also not the clinical impairment construct of interest.</w:t>
            </w:r>
          </w:p>
        </w:tc>
      </w:tr>
      <w:tr w14:paraId="2EF429B9">
        <w:tc>
          <w:tcPr>
            <w:tcW w:w="511" w:type="pct"/>
            <w:tcBorders>
              <w:top w:val="nil"/>
              <w:left w:val="nil"/>
              <w:bottom w:val="nil"/>
              <w:right w:val="nil"/>
            </w:tcBorders>
            <w:shd w:val="clear" w:color="auto" w:fill="FFFFFF"/>
            <w:tcMar>
              <w:top w:w="30" w:type="dxa"/>
              <w:left w:w="60" w:type="dxa"/>
              <w:bottom w:w="30" w:type="dxa"/>
              <w:right w:w="60" w:type="dxa"/>
            </w:tcMar>
            <w:vAlign w:val="top"/>
          </w:tcPr>
          <w:p w14:paraId="3F205AF3">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i w:val="0"/>
                <w:iCs w:val="0"/>
                <w:color w:val="000000"/>
                <w:sz w:val="15"/>
                <w:szCs w:val="15"/>
              </w:rPr>
              <w:t>Chen X (2023)</w:t>
            </w:r>
          </w:p>
        </w:tc>
        <w:tc>
          <w:tcPr>
            <w:tcW w:w="306" w:type="pct"/>
            <w:tcBorders>
              <w:top w:val="nil"/>
              <w:left w:val="nil"/>
              <w:bottom w:val="nil"/>
              <w:right w:val="nil"/>
            </w:tcBorders>
            <w:shd w:val="clear" w:color="auto" w:fill="FFFFFF"/>
            <w:tcMar>
              <w:top w:w="30" w:type="dxa"/>
              <w:left w:w="60" w:type="dxa"/>
              <w:bottom w:w="30" w:type="dxa"/>
              <w:right w:w="60" w:type="dxa"/>
            </w:tcMar>
            <w:vAlign w:val="top"/>
          </w:tcPr>
          <w:p w14:paraId="39D20559">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5"/>
                <w:szCs w:val="15"/>
              </w:rPr>
              <w:t>High</w:t>
            </w:r>
          </w:p>
        </w:tc>
        <w:tc>
          <w:tcPr>
            <w:tcW w:w="315" w:type="pct"/>
            <w:tcBorders>
              <w:top w:val="nil"/>
              <w:left w:val="nil"/>
              <w:bottom w:val="nil"/>
              <w:right w:val="nil"/>
            </w:tcBorders>
            <w:shd w:val="clear" w:color="auto" w:fill="FFFFFF"/>
            <w:tcMar>
              <w:top w:w="30" w:type="dxa"/>
              <w:left w:w="60" w:type="dxa"/>
              <w:bottom w:w="30" w:type="dxa"/>
              <w:right w:w="60" w:type="dxa"/>
            </w:tcMar>
            <w:vAlign w:val="top"/>
          </w:tcPr>
          <w:p w14:paraId="358DAF8D">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5"/>
                <w:szCs w:val="15"/>
              </w:rPr>
              <w:t>Low</w:t>
            </w:r>
          </w:p>
        </w:tc>
        <w:tc>
          <w:tcPr>
            <w:tcW w:w="3866" w:type="pct"/>
            <w:tcBorders>
              <w:top w:val="nil"/>
              <w:left w:val="nil"/>
              <w:bottom w:val="nil"/>
              <w:right w:val="nil"/>
            </w:tcBorders>
            <w:shd w:val="clear" w:color="auto" w:fill="FFFFFF"/>
            <w:tcMar>
              <w:top w:w="40" w:type="dxa"/>
              <w:left w:w="70" w:type="dxa"/>
              <w:bottom w:w="40" w:type="dxa"/>
              <w:right w:w="70" w:type="dxa"/>
            </w:tcMar>
            <w:vAlign w:val="top"/>
          </w:tcPr>
          <w:p w14:paraId="66F4CD39">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Stroke survivors (n=6) recruited with explicit inclusion criteria (BS &gt;II, within 1 year, no severe spasticity); however healthy subjects performed simulated compensatory movements with an orthotic restricting motion, which is a contrived surrogate for true post-stroke compensation, raising Participants ROB. NIRS predictors (six trunk muscles, wireless multichannel system) acquired uniformly with described preprocessing and DBSI signal improvement; outcome (compensatory category: NC/LF/TR/SE) defined by movement task and therapist guidance. Analysis domain is High: very small stroke sample (n=6) split via 10-fold CV with no external validation, samples generated by sliding windows produce highly correlated observations that inflate accuracy, no per-subject leave-one-out evaluation reported, and class balance/calibration not addressed. Applicability is acceptable for the broader rehabilitation-engineering scope of the review, since the m</w:t>
            </w:r>
            <w:bookmarkStart w:id="0" w:name="_GoBack"/>
            <w:bookmarkEnd w:id="0"/>
            <w:r>
              <w:rPr>
                <w:rFonts w:hint="default" w:ascii="Times New Roman Regular" w:hAnsi="Times New Roman Regular" w:eastAsia="Arial" w:cs="Times New Roman Regular"/>
                <w:b w:val="0"/>
                <w:bCs w:val="0"/>
                <w:i w:val="0"/>
                <w:iCs w:val="0"/>
                <w:color w:val="000000"/>
                <w:sz w:val="14"/>
                <w:szCs w:val="14"/>
              </w:rPr>
              <w:t>uscle-NIRS + ML classification of movement quality fits the predictor and outcome constructs of interest.</w:t>
            </w:r>
          </w:p>
        </w:tc>
      </w:tr>
      <w:tr w14:paraId="352CD39F">
        <w:tc>
          <w:tcPr>
            <w:tcW w:w="511" w:type="pct"/>
            <w:tcBorders>
              <w:top w:val="nil"/>
              <w:left w:val="nil"/>
              <w:bottom w:val="nil"/>
              <w:right w:val="nil"/>
            </w:tcBorders>
            <w:shd w:val="clear" w:color="auto" w:fill="FFFFFF"/>
            <w:tcMar>
              <w:top w:w="30" w:type="dxa"/>
              <w:left w:w="60" w:type="dxa"/>
              <w:bottom w:w="30" w:type="dxa"/>
              <w:right w:w="60" w:type="dxa"/>
            </w:tcMar>
            <w:vAlign w:val="top"/>
          </w:tcPr>
          <w:p w14:paraId="14ADF5A1">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i w:val="0"/>
                <w:iCs w:val="0"/>
                <w:color w:val="000000"/>
                <w:sz w:val="15"/>
                <w:szCs w:val="15"/>
              </w:rPr>
              <w:t>Huang J (2026)</w:t>
            </w:r>
          </w:p>
        </w:tc>
        <w:tc>
          <w:tcPr>
            <w:tcW w:w="306" w:type="pct"/>
            <w:tcBorders>
              <w:top w:val="nil"/>
              <w:left w:val="nil"/>
              <w:bottom w:val="nil"/>
              <w:right w:val="nil"/>
            </w:tcBorders>
            <w:shd w:val="clear" w:color="auto" w:fill="FFFFFF"/>
            <w:tcMar>
              <w:top w:w="30" w:type="dxa"/>
              <w:left w:w="60" w:type="dxa"/>
              <w:bottom w:w="30" w:type="dxa"/>
              <w:right w:w="60" w:type="dxa"/>
            </w:tcMar>
            <w:vAlign w:val="top"/>
          </w:tcPr>
          <w:p w14:paraId="4A897DB1">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5"/>
                <w:szCs w:val="15"/>
              </w:rPr>
              <w:t>High</w:t>
            </w:r>
          </w:p>
        </w:tc>
        <w:tc>
          <w:tcPr>
            <w:tcW w:w="315" w:type="pct"/>
            <w:tcBorders>
              <w:top w:val="nil"/>
              <w:left w:val="nil"/>
              <w:bottom w:val="nil"/>
              <w:right w:val="nil"/>
            </w:tcBorders>
            <w:shd w:val="clear" w:color="auto" w:fill="FFFFFF"/>
            <w:tcMar>
              <w:top w:w="30" w:type="dxa"/>
              <w:left w:w="60" w:type="dxa"/>
              <w:bottom w:w="30" w:type="dxa"/>
              <w:right w:w="60" w:type="dxa"/>
            </w:tcMar>
            <w:vAlign w:val="top"/>
          </w:tcPr>
          <w:p w14:paraId="3888D4D9">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5"/>
                <w:szCs w:val="15"/>
              </w:rPr>
              <w:t>High</w:t>
            </w:r>
          </w:p>
        </w:tc>
        <w:tc>
          <w:tcPr>
            <w:tcW w:w="3866" w:type="pct"/>
            <w:tcBorders>
              <w:top w:val="nil"/>
              <w:left w:val="nil"/>
              <w:bottom w:val="nil"/>
              <w:right w:val="nil"/>
            </w:tcBorders>
            <w:shd w:val="clear" w:color="auto" w:fill="FFFFFF"/>
            <w:tcMar>
              <w:top w:w="40" w:type="dxa"/>
              <w:left w:w="70" w:type="dxa"/>
              <w:bottom w:w="40" w:type="dxa"/>
              <w:right w:w="70" w:type="dxa"/>
            </w:tcMar>
            <w:vAlign w:val="top"/>
          </w:tcPr>
          <w:p w14:paraId="0050191C">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Only 11 healthy young adult males (23.8 ± 1.25 years) recruited; no patients with chronic low back pain or musculoskeletal disorders included despite the stated clinical motivation, so Participants ROB and applicability are High for the review’s rehabilitation populations. Hybrid 60-channel sEMG–NIRS array applied uniformly with detailed preprocessing (ICA, notch, bandpass, tPCA, modified Beer–Lambert), giving Low Predictors ROB. Outcome is the Borg RPE-derived fatigue label (3-level FAT-3 and 15-level FAT-15); RPE is subjective, self-reported, and used both as the supervisory label and as the construct being predicted, raising Outcome ROB. Analysis domain is High: deep DCHANet (~11.17M parameters) trained on 11 subjects, sliding-window samples create dependence between training and test folds, no external validation, and the cross-subject 5-fold scheme still mixes time-window samples from the same subject across folds in the subject-wise setup. Applicability is High because the target population (Paralympic athletes, stroke survivors, low back pain patients) is not represented and FAT-15 granularity is unlikely to map directly onto the review’s clinical fatigue endpoints.</w:t>
            </w:r>
          </w:p>
        </w:tc>
      </w:tr>
      <w:tr w14:paraId="3D505769">
        <w:tc>
          <w:tcPr>
            <w:tcW w:w="511" w:type="pct"/>
            <w:tcBorders>
              <w:top w:val="nil"/>
              <w:left w:val="nil"/>
              <w:bottom w:val="nil"/>
              <w:right w:val="nil"/>
            </w:tcBorders>
            <w:shd w:val="clear" w:color="auto" w:fill="FFFFFF"/>
            <w:tcMar>
              <w:top w:w="30" w:type="dxa"/>
              <w:left w:w="60" w:type="dxa"/>
              <w:bottom w:w="30" w:type="dxa"/>
              <w:right w:w="60" w:type="dxa"/>
            </w:tcMar>
            <w:vAlign w:val="top"/>
          </w:tcPr>
          <w:p w14:paraId="54BF8B1F">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i w:val="0"/>
                <w:iCs w:val="0"/>
                <w:color w:val="000000"/>
                <w:sz w:val="15"/>
                <w:szCs w:val="15"/>
              </w:rPr>
              <w:t>Huang Y-K (2018)</w:t>
            </w:r>
          </w:p>
        </w:tc>
        <w:tc>
          <w:tcPr>
            <w:tcW w:w="306" w:type="pct"/>
            <w:tcBorders>
              <w:top w:val="nil"/>
              <w:left w:val="nil"/>
              <w:bottom w:val="nil"/>
              <w:right w:val="nil"/>
            </w:tcBorders>
            <w:shd w:val="clear" w:color="auto" w:fill="FFFFFF"/>
            <w:tcMar>
              <w:top w:w="30" w:type="dxa"/>
              <w:left w:w="60" w:type="dxa"/>
              <w:bottom w:w="30" w:type="dxa"/>
              <w:right w:w="60" w:type="dxa"/>
            </w:tcMar>
            <w:vAlign w:val="top"/>
          </w:tcPr>
          <w:p w14:paraId="693A41DF">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5"/>
                <w:szCs w:val="15"/>
              </w:rPr>
              <w:t>High</w:t>
            </w:r>
          </w:p>
        </w:tc>
        <w:tc>
          <w:tcPr>
            <w:tcW w:w="315" w:type="pct"/>
            <w:tcBorders>
              <w:top w:val="nil"/>
              <w:left w:val="nil"/>
              <w:bottom w:val="nil"/>
              <w:right w:val="nil"/>
            </w:tcBorders>
            <w:shd w:val="clear" w:color="auto" w:fill="FFFFFF"/>
            <w:tcMar>
              <w:top w:w="30" w:type="dxa"/>
              <w:left w:w="60" w:type="dxa"/>
              <w:bottom w:w="30" w:type="dxa"/>
              <w:right w:w="60" w:type="dxa"/>
            </w:tcMar>
            <w:vAlign w:val="top"/>
          </w:tcPr>
          <w:p w14:paraId="3E447A97">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5"/>
                <w:szCs w:val="15"/>
              </w:rPr>
              <w:t>High</w:t>
            </w:r>
          </w:p>
        </w:tc>
        <w:tc>
          <w:tcPr>
            <w:tcW w:w="3866" w:type="pct"/>
            <w:tcBorders>
              <w:top w:val="nil"/>
              <w:left w:val="nil"/>
              <w:bottom w:val="nil"/>
              <w:right w:val="nil"/>
            </w:tcBorders>
            <w:shd w:val="clear" w:color="auto" w:fill="FFFFFF"/>
            <w:tcMar>
              <w:top w:w="40" w:type="dxa"/>
              <w:left w:w="70" w:type="dxa"/>
              <w:bottom w:w="40" w:type="dxa"/>
              <w:right w:w="70" w:type="dxa"/>
            </w:tcMar>
            <w:vAlign w:val="top"/>
          </w:tcPr>
          <w:p w14:paraId="09920585">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Diabetic foot patients (n=30, including PAOD with/without PTA and non-PAOD subgroups) and healthy controls (n=15) recruited with IRB approval and clinical/ultrasound diagnosis, giving Low Participants ROB. Custom wireless tri-wavelength (640/700/910 nm) optical device applied uniformly to the foot dorsum across groups; HbT and StO2 derived via modified Beer–Lambert with multi-wavelength Gaussian normal solution. Outcome (group membership and Buerger’s exercise rehabilitation status) is objective and physician-confirmed. Analysis domain is High: only 2 input features (HbT, StO2) fed to an RBFNN, hyperparameters tuned on the training set with no clear independent test, the training-set F-measure (86.9%) and test-set F-measure (80.0%) reported but the small test split and single train/test partition give an unstable performance estimate, no external validation, and calibration not assessed. Applicability is High for the review because the target population is Paralympic and adaptive-sport athletes and stroke/rehabilitation cohorts rather than diabetic peripheral vascular disease, and the outcome (vascular rehabilitation status of diabetic foot) is outside the review’s skeletal muscle oxygenation impairment construct.</w:t>
            </w:r>
          </w:p>
        </w:tc>
      </w:tr>
      <w:tr w14:paraId="0E54390F">
        <w:tc>
          <w:tcPr>
            <w:tcW w:w="511" w:type="pct"/>
            <w:tcBorders>
              <w:top w:val="nil"/>
              <w:left w:val="nil"/>
              <w:bottom w:val="nil"/>
              <w:right w:val="nil"/>
            </w:tcBorders>
            <w:shd w:val="clear" w:color="auto" w:fill="FFFFFF"/>
            <w:tcMar>
              <w:top w:w="30" w:type="dxa"/>
              <w:left w:w="60" w:type="dxa"/>
              <w:bottom w:w="30" w:type="dxa"/>
              <w:right w:w="60" w:type="dxa"/>
            </w:tcMar>
            <w:vAlign w:val="top"/>
          </w:tcPr>
          <w:p w14:paraId="221428BC">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i w:val="0"/>
                <w:iCs w:val="0"/>
                <w:color w:val="000000"/>
                <w:sz w:val="15"/>
                <w:szCs w:val="15"/>
              </w:rPr>
              <w:t>Liang J (2023)</w:t>
            </w:r>
          </w:p>
        </w:tc>
        <w:tc>
          <w:tcPr>
            <w:tcW w:w="306" w:type="pct"/>
            <w:tcBorders>
              <w:top w:val="nil"/>
              <w:left w:val="nil"/>
              <w:bottom w:val="nil"/>
              <w:right w:val="nil"/>
            </w:tcBorders>
            <w:shd w:val="clear" w:color="auto" w:fill="FFFFFF"/>
            <w:tcMar>
              <w:top w:w="30" w:type="dxa"/>
              <w:left w:w="60" w:type="dxa"/>
              <w:bottom w:w="30" w:type="dxa"/>
              <w:right w:w="60" w:type="dxa"/>
            </w:tcMar>
            <w:vAlign w:val="top"/>
          </w:tcPr>
          <w:p w14:paraId="2600B93F">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5"/>
                <w:szCs w:val="15"/>
              </w:rPr>
              <w:t>High</w:t>
            </w:r>
          </w:p>
        </w:tc>
        <w:tc>
          <w:tcPr>
            <w:tcW w:w="315" w:type="pct"/>
            <w:tcBorders>
              <w:top w:val="nil"/>
              <w:left w:val="nil"/>
              <w:bottom w:val="nil"/>
              <w:right w:val="nil"/>
            </w:tcBorders>
            <w:shd w:val="clear" w:color="auto" w:fill="FFFFFF"/>
            <w:tcMar>
              <w:top w:w="30" w:type="dxa"/>
              <w:left w:w="60" w:type="dxa"/>
              <w:bottom w:w="30" w:type="dxa"/>
              <w:right w:w="60" w:type="dxa"/>
            </w:tcMar>
            <w:vAlign w:val="top"/>
          </w:tcPr>
          <w:p w14:paraId="5590831D">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5"/>
                <w:szCs w:val="15"/>
              </w:rPr>
              <w:t>Low</w:t>
            </w:r>
          </w:p>
        </w:tc>
        <w:tc>
          <w:tcPr>
            <w:tcW w:w="3866" w:type="pct"/>
            <w:tcBorders>
              <w:top w:val="nil"/>
              <w:left w:val="nil"/>
              <w:bottom w:val="nil"/>
              <w:right w:val="nil"/>
            </w:tcBorders>
            <w:shd w:val="clear" w:color="auto" w:fill="FFFFFF"/>
            <w:tcMar>
              <w:top w:w="40" w:type="dxa"/>
              <w:left w:w="70" w:type="dxa"/>
              <w:bottom w:w="40" w:type="dxa"/>
              <w:right w:w="70" w:type="dxa"/>
            </w:tcMar>
            <w:vAlign w:val="top"/>
          </w:tcPr>
          <w:p w14:paraId="6D555835">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Stroke patients (n=21) and healthy controls (n=14) recruited from two hospitals with explicit clinical inclusion criteria; Brunnstrom staging used as the reference standard, providing Low ROB for Participants and Outcome. NIRS (OctaMon M, 760/850 nm) applied uniformly to bilateral biceps brachii or vastus lateralis under standardised passive and active circular exercise. Predictors (23 selected hemodynamic and entropy features, with D-S evidence-theory fusion of affected and non-affected sides) extracted with a clear pipeline. Analysis domain is High: small subject pool (n=35) with sliding-window features expanding the dataset, conventional 80/20 train–test split rather than subject-wise cross-validation (so windows from the same subject can appear in both train and test), no external validation, hyperparameters tuned on the same data as evaluation, near-perfect accuracies (98.7–99.6%) suggest optimistic estimation through window-level data leakage, and calibration of predicted probabilities not reported. Applicability is Low because the constructs (NIRS-derived muscle oxygenation features + ML for impairment classification in stroke) align well with the review’s scope of skeletal muscle oxygenation impairment and interpretable ML in clinical/adaptive populations.</w:t>
            </w:r>
          </w:p>
        </w:tc>
      </w:tr>
      <w:tr w14:paraId="208EEC4E">
        <w:tc>
          <w:tcPr>
            <w:tcW w:w="511" w:type="pct"/>
            <w:tcBorders>
              <w:top w:val="nil"/>
              <w:left w:val="nil"/>
              <w:bottom w:val="nil"/>
              <w:right w:val="nil"/>
            </w:tcBorders>
            <w:shd w:val="clear" w:color="auto" w:fill="FFFFFF"/>
            <w:tcMar>
              <w:top w:w="30" w:type="dxa"/>
              <w:left w:w="60" w:type="dxa"/>
              <w:bottom w:w="30" w:type="dxa"/>
              <w:right w:w="60" w:type="dxa"/>
            </w:tcMar>
            <w:vAlign w:val="top"/>
          </w:tcPr>
          <w:p w14:paraId="4F91011E">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i w:val="0"/>
                <w:iCs w:val="0"/>
                <w:color w:val="000000"/>
                <w:sz w:val="15"/>
                <w:szCs w:val="15"/>
              </w:rPr>
              <w:t>Perpetuini D (2022)</w:t>
            </w:r>
          </w:p>
        </w:tc>
        <w:tc>
          <w:tcPr>
            <w:tcW w:w="306" w:type="pct"/>
            <w:tcBorders>
              <w:top w:val="nil"/>
              <w:left w:val="nil"/>
              <w:bottom w:val="nil"/>
              <w:right w:val="nil"/>
            </w:tcBorders>
            <w:shd w:val="clear" w:color="auto" w:fill="FFFFFF"/>
            <w:tcMar>
              <w:top w:w="30" w:type="dxa"/>
              <w:left w:w="60" w:type="dxa"/>
              <w:bottom w:w="30" w:type="dxa"/>
              <w:right w:w="60" w:type="dxa"/>
            </w:tcMar>
            <w:vAlign w:val="top"/>
          </w:tcPr>
          <w:p w14:paraId="55649A9E">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5"/>
                <w:szCs w:val="15"/>
              </w:rPr>
              <w:t>High</w:t>
            </w:r>
          </w:p>
        </w:tc>
        <w:tc>
          <w:tcPr>
            <w:tcW w:w="315" w:type="pct"/>
            <w:tcBorders>
              <w:top w:val="nil"/>
              <w:left w:val="nil"/>
              <w:bottom w:val="nil"/>
              <w:right w:val="nil"/>
            </w:tcBorders>
            <w:shd w:val="clear" w:color="auto" w:fill="FFFFFF"/>
            <w:tcMar>
              <w:top w:w="30" w:type="dxa"/>
              <w:left w:w="60" w:type="dxa"/>
              <w:bottom w:w="30" w:type="dxa"/>
              <w:right w:w="60" w:type="dxa"/>
            </w:tcMar>
            <w:vAlign w:val="top"/>
          </w:tcPr>
          <w:p w14:paraId="66E9E6E0">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5"/>
                <w:szCs w:val="15"/>
              </w:rPr>
              <w:t>High</w:t>
            </w:r>
          </w:p>
        </w:tc>
        <w:tc>
          <w:tcPr>
            <w:tcW w:w="3866" w:type="pct"/>
            <w:tcBorders>
              <w:top w:val="nil"/>
              <w:left w:val="nil"/>
              <w:bottom w:val="nil"/>
              <w:right w:val="nil"/>
            </w:tcBorders>
            <w:shd w:val="clear" w:color="auto" w:fill="FFFFFF"/>
            <w:tcMar>
              <w:top w:w="40" w:type="dxa"/>
              <w:left w:w="70" w:type="dxa"/>
              <w:bottom w:w="40" w:type="dxa"/>
              <w:right w:w="70" w:type="dxa"/>
            </w:tcMar>
            <w:vAlign w:val="top"/>
          </w:tcPr>
          <w:p w14:paraId="04FCD00F">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Children with cerebral palsy (n=8 after 2 dropouts) recruited at a single rehabilitation centre with clear inclusion/exclusion criteria and ethics approval, with GMFCS levels I–V represented. Cortical fNIRS (Cortivision Photon, 760/850 nm, 34 long + 4 short channels, 10–20 placement digitised with Polhemus) acquired with appropriate preprocessing (Modified Beer–Lambert, wavelet motion-artifact correction, short-channel regression of physiological noise), giving Low Predictor ROB. Outcomes (GMFM-88, MAS, GLM β-values across sessions T0/T1/T2) measured by trained clinicians with standardised tools. Analysis domain is High: very small sample (n=8) for a multivariate GLM across 34 channels and a Gaussian Process regression of GMFM-88 from β-values, leave-one-subject-out cross-validation reported (r = 0.78) but Wrapper-based feature selection performed on the same data used for evaluation creates optimistic bias, no external validation, and Bonferroni correction handles channel-level inference but not the supervised-learning model selection. Applicability is High because the target population (cerebral palsy children during robotic gait training) and the predictor modality (cortical fNIRS rather than skeletal muscle NIRS) are outside the review’s focus on skeletal muscle oxygenation in Paralympic/adaptive-sport athletes; outcome construct (motor function score) is closer to the review’s scope.</w:t>
            </w:r>
          </w:p>
        </w:tc>
      </w:tr>
      <w:tr w14:paraId="1D01D824">
        <w:tc>
          <w:tcPr>
            <w:tcW w:w="511" w:type="pct"/>
            <w:tcBorders>
              <w:top w:val="nil"/>
              <w:left w:val="nil"/>
              <w:bottom w:val="nil"/>
              <w:right w:val="nil"/>
            </w:tcBorders>
            <w:shd w:val="clear" w:color="auto" w:fill="FFFFFF"/>
            <w:tcMar>
              <w:top w:w="30" w:type="dxa"/>
              <w:left w:w="60" w:type="dxa"/>
              <w:bottom w:w="30" w:type="dxa"/>
              <w:right w:w="60" w:type="dxa"/>
            </w:tcMar>
            <w:vAlign w:val="top"/>
          </w:tcPr>
          <w:p w14:paraId="660E4914">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i w:val="0"/>
                <w:iCs w:val="0"/>
                <w:color w:val="000000"/>
                <w:sz w:val="15"/>
                <w:szCs w:val="15"/>
              </w:rPr>
              <w:t>Rosati S (2012)</w:t>
            </w:r>
          </w:p>
        </w:tc>
        <w:tc>
          <w:tcPr>
            <w:tcW w:w="306" w:type="pct"/>
            <w:tcBorders>
              <w:top w:val="nil"/>
              <w:left w:val="nil"/>
              <w:bottom w:val="nil"/>
              <w:right w:val="nil"/>
            </w:tcBorders>
            <w:shd w:val="clear" w:color="auto" w:fill="FFFFFF"/>
            <w:tcMar>
              <w:top w:w="30" w:type="dxa"/>
              <w:left w:w="60" w:type="dxa"/>
              <w:bottom w:w="30" w:type="dxa"/>
              <w:right w:w="60" w:type="dxa"/>
            </w:tcMar>
            <w:vAlign w:val="top"/>
          </w:tcPr>
          <w:p w14:paraId="19E491FD">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5"/>
                <w:szCs w:val="15"/>
              </w:rPr>
              <w:t>High</w:t>
            </w:r>
          </w:p>
        </w:tc>
        <w:tc>
          <w:tcPr>
            <w:tcW w:w="315" w:type="pct"/>
            <w:tcBorders>
              <w:top w:val="nil"/>
              <w:left w:val="nil"/>
              <w:bottom w:val="nil"/>
              <w:right w:val="nil"/>
            </w:tcBorders>
            <w:shd w:val="clear" w:color="auto" w:fill="FFFFFF"/>
            <w:tcMar>
              <w:top w:w="30" w:type="dxa"/>
              <w:left w:w="60" w:type="dxa"/>
              <w:bottom w:w="30" w:type="dxa"/>
              <w:right w:w="60" w:type="dxa"/>
            </w:tcMar>
            <w:vAlign w:val="top"/>
          </w:tcPr>
          <w:p w14:paraId="0487C8AB">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5"/>
                <w:szCs w:val="15"/>
              </w:rPr>
              <w:t>High</w:t>
            </w:r>
          </w:p>
        </w:tc>
        <w:tc>
          <w:tcPr>
            <w:tcW w:w="3866" w:type="pct"/>
            <w:tcBorders>
              <w:top w:val="nil"/>
              <w:left w:val="nil"/>
              <w:bottom w:val="nil"/>
              <w:right w:val="nil"/>
            </w:tcBorders>
            <w:shd w:val="clear" w:color="auto" w:fill="FFFFFF"/>
            <w:tcMar>
              <w:top w:w="40" w:type="dxa"/>
              <w:left w:w="70" w:type="dxa"/>
              <w:bottom w:w="40" w:type="dxa"/>
              <w:right w:w="70" w:type="dxa"/>
            </w:tcMar>
            <w:vAlign w:val="top"/>
          </w:tcPr>
          <w:p w14:paraId="497C8748">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Type II diabetic patients (n=39, split into APA n=19 and FW n=20 training arms) and healthy controls (n=16) recruited with consistent age (mean ≈66) and a one-year physical-activity protocol; uniform NIRS acquisition (NIRO-300, tibialis anterior, 4 cm probe spacing) gives Low Participant ROB. Predictors derived blind to outcome via Choi-Williams time-frequency distribution of O2Hb/HHb/TOI in defined VLF (20–40 mHz) and LF (40–140 mHz) bands, yielding 24 standardised spectral features applied identically across groups, supporting Low Predictor ROB. Outcomes (group membership and pre/post-training status) are objective. Analysis domain is High: small samples for four parallel feature-selection methods (QRA, GenRSAR, AntRSAR, ANOVA) followed by ANNs trained 20 times with 70% randomly drawn data while the full dataset is reused as the test set, producing data leakage; arbitrary three-bin discretisation prior to RST; no external validation; class-imbalance and calibration not addressed; best accuracy only ≈70%. Applicability is High because the target review population is Paralympic/adaptive-sport and rehabilitation cohorts rather than diabetic peripheral microcirculation, and the outcome (training-induced spectral pattern in diabetic tibialis anterior) does not map directly onto the review's skeletal muscle oxygenation impairment construct, although the predictor modality (skeletal muscle NIRS) is well aligned.</w:t>
            </w:r>
          </w:p>
        </w:tc>
      </w:tr>
      <w:tr w14:paraId="43AE7C12">
        <w:tc>
          <w:tcPr>
            <w:tcW w:w="511" w:type="pct"/>
            <w:tcBorders>
              <w:top w:val="nil"/>
              <w:left w:val="nil"/>
              <w:bottom w:val="nil"/>
              <w:right w:val="nil"/>
            </w:tcBorders>
            <w:shd w:val="clear" w:color="auto" w:fill="FFFFFF"/>
            <w:tcMar>
              <w:top w:w="30" w:type="dxa"/>
              <w:left w:w="60" w:type="dxa"/>
              <w:bottom w:w="30" w:type="dxa"/>
              <w:right w:w="60" w:type="dxa"/>
            </w:tcMar>
            <w:vAlign w:val="top"/>
          </w:tcPr>
          <w:p w14:paraId="2BCE6834">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i w:val="0"/>
                <w:iCs w:val="0"/>
                <w:color w:val="000000"/>
                <w:sz w:val="15"/>
                <w:szCs w:val="15"/>
              </w:rPr>
              <w:t>Zhou Y (2026)</w:t>
            </w:r>
          </w:p>
        </w:tc>
        <w:tc>
          <w:tcPr>
            <w:tcW w:w="306" w:type="pct"/>
            <w:tcBorders>
              <w:top w:val="nil"/>
              <w:left w:val="nil"/>
              <w:bottom w:val="nil"/>
              <w:right w:val="nil"/>
            </w:tcBorders>
            <w:shd w:val="clear" w:color="auto" w:fill="FFFFFF"/>
            <w:tcMar>
              <w:top w:w="30" w:type="dxa"/>
              <w:left w:w="60" w:type="dxa"/>
              <w:bottom w:w="30" w:type="dxa"/>
              <w:right w:w="60" w:type="dxa"/>
            </w:tcMar>
            <w:vAlign w:val="top"/>
          </w:tcPr>
          <w:p w14:paraId="443FE2EE">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5"/>
                <w:szCs w:val="15"/>
              </w:rPr>
              <w:t>High</w:t>
            </w:r>
          </w:p>
        </w:tc>
        <w:tc>
          <w:tcPr>
            <w:tcW w:w="315" w:type="pct"/>
            <w:tcBorders>
              <w:top w:val="nil"/>
              <w:left w:val="nil"/>
              <w:bottom w:val="nil"/>
              <w:right w:val="nil"/>
            </w:tcBorders>
            <w:shd w:val="clear" w:color="auto" w:fill="FFFFFF"/>
            <w:tcMar>
              <w:top w:w="30" w:type="dxa"/>
              <w:left w:w="60" w:type="dxa"/>
              <w:bottom w:w="30" w:type="dxa"/>
              <w:right w:w="60" w:type="dxa"/>
            </w:tcMar>
            <w:vAlign w:val="top"/>
          </w:tcPr>
          <w:p w14:paraId="6DC1686A">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5"/>
                <w:szCs w:val="15"/>
              </w:rPr>
              <w:t>High</w:t>
            </w:r>
          </w:p>
        </w:tc>
        <w:tc>
          <w:tcPr>
            <w:tcW w:w="3866" w:type="pct"/>
            <w:tcBorders>
              <w:top w:val="nil"/>
              <w:left w:val="nil"/>
              <w:bottom w:val="nil"/>
              <w:right w:val="nil"/>
            </w:tcBorders>
            <w:shd w:val="clear" w:color="auto" w:fill="FFFFFF"/>
            <w:tcMar>
              <w:top w:w="40" w:type="dxa"/>
              <w:left w:w="70" w:type="dxa"/>
              <w:bottom w:w="40" w:type="dxa"/>
              <w:right w:w="70" w:type="dxa"/>
            </w:tcMar>
            <w:vAlign w:val="top"/>
          </w:tcPr>
          <w:p w14:paraId="61EFDAFD">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Subacute stroke patients (n=86; 36 reaching mBI ≥75 at discharge) recruited 1 week–6 months post-onset with explicit inclusion criteria (first stroke, MMSE &gt;21) and standardised UE-RAT protocol (ArmGuider device with audio-visual feedback), giving Low Participant ROB. Cortical fNIRS (NirSmart, 740/850 nm) measured WA activation and WPCO functional connectivity over PFC/DLPFC/SFC/PMC/M1/S1/OC during 10-minute rest and 10-minute UE-RAT, with detailed preprocessing (band-pass, PCA/ICA, sliding average, cubic spline) applied uniformly; however, this is cortical hemodynamic rather than skeletal muscle NIRS, raising Predictor ROB for the review's construct of interest. Outcome (mBI ≥75 at discharge) is an objective, validated ADL scale assessed by therapists. Analysis domain is High: 100 random 7:3 splits with LASSO feature selection and grid-search hyperparameter tuning performed on each training set but no external/multicentre validation, six ML algorithms compared with the best ANN reaching AUC 0.955 which is plausibly optimistic given single-centre data and absence of formal calibration assessment beyond DCA, and SHAP-based interpretation performed on the same data used for model development. Applicability concerns are mixed: Participants (subacute stroke) and Outcome (ADL recovery) are within the review's clinical rehabilitation scope, but Predictors are High applicability because cortical task-state fNIRS connectivity is not the skeletal muscle NIRS oxygenation modality central to this review.</w:t>
            </w:r>
          </w:p>
        </w:tc>
      </w:tr>
      <w:tr w14:paraId="65F07BCC">
        <w:tc>
          <w:tcPr>
            <w:tcW w:w="511" w:type="pct"/>
            <w:tcBorders>
              <w:top w:val="nil"/>
              <w:left w:val="nil"/>
              <w:bottom w:val="nil"/>
              <w:right w:val="nil"/>
            </w:tcBorders>
            <w:shd w:val="clear" w:color="auto" w:fill="FFFFFF"/>
            <w:tcMar>
              <w:top w:w="30" w:type="dxa"/>
              <w:left w:w="60" w:type="dxa"/>
              <w:bottom w:w="30" w:type="dxa"/>
              <w:right w:w="60" w:type="dxa"/>
            </w:tcMar>
            <w:vAlign w:val="top"/>
          </w:tcPr>
          <w:p w14:paraId="6CA66D47">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i w:val="0"/>
                <w:iCs w:val="0"/>
                <w:color w:val="000000"/>
                <w:sz w:val="15"/>
                <w:szCs w:val="15"/>
              </w:rPr>
              <w:t>Zhou Y (2024)</w:t>
            </w:r>
          </w:p>
        </w:tc>
        <w:tc>
          <w:tcPr>
            <w:tcW w:w="306" w:type="pct"/>
            <w:tcBorders>
              <w:top w:val="nil"/>
              <w:left w:val="nil"/>
              <w:bottom w:val="nil"/>
              <w:right w:val="nil"/>
            </w:tcBorders>
            <w:shd w:val="clear" w:color="auto" w:fill="FFFFFF"/>
            <w:tcMar>
              <w:top w:w="30" w:type="dxa"/>
              <w:left w:w="60" w:type="dxa"/>
              <w:bottom w:w="30" w:type="dxa"/>
              <w:right w:w="60" w:type="dxa"/>
            </w:tcMar>
            <w:vAlign w:val="top"/>
          </w:tcPr>
          <w:p w14:paraId="6608E2A8">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5"/>
                <w:szCs w:val="15"/>
              </w:rPr>
              <w:t>High</w:t>
            </w:r>
          </w:p>
        </w:tc>
        <w:tc>
          <w:tcPr>
            <w:tcW w:w="315" w:type="pct"/>
            <w:tcBorders>
              <w:top w:val="nil"/>
              <w:left w:val="nil"/>
              <w:bottom w:val="nil"/>
              <w:right w:val="nil"/>
            </w:tcBorders>
            <w:shd w:val="clear" w:color="auto" w:fill="FFFFFF"/>
            <w:tcMar>
              <w:top w:w="30" w:type="dxa"/>
              <w:left w:w="60" w:type="dxa"/>
              <w:bottom w:w="30" w:type="dxa"/>
              <w:right w:w="60" w:type="dxa"/>
            </w:tcMar>
            <w:vAlign w:val="top"/>
          </w:tcPr>
          <w:p w14:paraId="4D52460E">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5"/>
                <w:szCs w:val="15"/>
              </w:rPr>
              <w:t>High</w:t>
            </w:r>
          </w:p>
        </w:tc>
        <w:tc>
          <w:tcPr>
            <w:tcW w:w="3866" w:type="pct"/>
            <w:tcBorders>
              <w:top w:val="nil"/>
              <w:left w:val="nil"/>
              <w:bottom w:val="nil"/>
              <w:right w:val="nil"/>
            </w:tcBorders>
            <w:shd w:val="clear" w:color="auto" w:fill="FFFFFF"/>
            <w:tcMar>
              <w:top w:w="40" w:type="dxa"/>
              <w:left w:w="70" w:type="dxa"/>
              <w:bottom w:w="40" w:type="dxa"/>
              <w:right w:w="70" w:type="dxa"/>
            </w:tcMar>
            <w:vAlign w:val="top"/>
          </w:tcPr>
          <w:p w14:paraId="7A4AA39A">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Subacute stroke patients (n=82; 20 responders defined as ΔFMA-UE ≥9) recruited 1 week–6 months post-onset with clear inclusion criteria (first stroke, MMSE &gt;21) and stratified into passive/assisted/resistive UE-RAT modes by manual-muscle-test grade. Cortical fNIRS (NirSmart, 740/850 nm) recorded over bilateral PFC/DLPFC/SFC/PMC/M1/S1/OC during 10-minute rest and 10-minute UE-RAT with the same preprocessing pipeline as the companion study (band-pass, PCA/ICA, smoothing); WA activation and WPCO connectivity used as predictors. Predictor ROB is rated High for the review's purpose because the modality is cortical hemodynamic rather than skeletal muscle NIRS oxygenation. Outcomes (FMA-UE classification with MCID threshold and continuous prediction) are clinically validated and assessor-administered. Analysis domain is High: 100 random 3:1 splits with SMOTE oversampling, LASSO feature selection and tenfold cross-validated hyperparameter tuning performed on each training set, no external or multicentre validation, six ML algorithms compared with combined-feature ANN AUC 0.861 likely optimistic given single-centre design and within-fold leakage of SMOTE-generated samples, and calibration not formally assessed. Applicability is mixed: subacute-stroke participants and FMA-UE outcome align with the review's rehabilitation scope, but cortical UE-RAT-evoked connectivity is High applicability concern because it does not match the skeletal muscle NIRS oxygenation construct of this review.</w:t>
            </w:r>
          </w:p>
        </w:tc>
      </w:tr>
      <w:tr w14:paraId="4AA92449">
        <w:tc>
          <w:tcPr>
            <w:tcW w:w="511" w:type="pct"/>
            <w:tcBorders>
              <w:top w:val="nil"/>
              <w:left w:val="nil"/>
              <w:bottom w:val="nil"/>
              <w:right w:val="nil"/>
            </w:tcBorders>
            <w:shd w:val="clear" w:color="auto" w:fill="FFFFFF"/>
            <w:tcMar>
              <w:top w:w="30" w:type="dxa"/>
              <w:left w:w="60" w:type="dxa"/>
              <w:bottom w:w="30" w:type="dxa"/>
              <w:right w:w="60" w:type="dxa"/>
            </w:tcMar>
            <w:vAlign w:val="top"/>
          </w:tcPr>
          <w:p w14:paraId="5E90E19F">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i w:val="0"/>
                <w:iCs w:val="0"/>
                <w:color w:val="000000"/>
                <w:sz w:val="15"/>
                <w:szCs w:val="15"/>
              </w:rPr>
              <w:t>Chalitsios C (2024)</w:t>
            </w:r>
          </w:p>
        </w:tc>
        <w:tc>
          <w:tcPr>
            <w:tcW w:w="306" w:type="pct"/>
            <w:tcBorders>
              <w:top w:val="nil"/>
              <w:left w:val="nil"/>
              <w:bottom w:val="nil"/>
              <w:right w:val="nil"/>
            </w:tcBorders>
            <w:shd w:val="clear" w:color="auto" w:fill="FFFFFF"/>
            <w:tcMar>
              <w:top w:w="30" w:type="dxa"/>
              <w:left w:w="60" w:type="dxa"/>
              <w:bottom w:w="30" w:type="dxa"/>
              <w:right w:w="60" w:type="dxa"/>
            </w:tcMar>
            <w:vAlign w:val="top"/>
          </w:tcPr>
          <w:p w14:paraId="07BB54B9">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5"/>
                <w:szCs w:val="15"/>
              </w:rPr>
              <w:t>High</w:t>
            </w:r>
          </w:p>
        </w:tc>
        <w:tc>
          <w:tcPr>
            <w:tcW w:w="315" w:type="pct"/>
            <w:tcBorders>
              <w:top w:val="nil"/>
              <w:left w:val="nil"/>
              <w:bottom w:val="nil"/>
              <w:right w:val="nil"/>
            </w:tcBorders>
            <w:shd w:val="clear" w:color="auto" w:fill="FFFFFF"/>
            <w:tcMar>
              <w:top w:w="30" w:type="dxa"/>
              <w:left w:w="60" w:type="dxa"/>
              <w:bottom w:w="30" w:type="dxa"/>
              <w:right w:w="60" w:type="dxa"/>
            </w:tcMar>
            <w:vAlign w:val="top"/>
          </w:tcPr>
          <w:p w14:paraId="1CE3A5FB">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5"/>
                <w:szCs w:val="15"/>
              </w:rPr>
              <w:t>Low</w:t>
            </w:r>
          </w:p>
        </w:tc>
        <w:tc>
          <w:tcPr>
            <w:tcW w:w="3866" w:type="pct"/>
            <w:tcBorders>
              <w:top w:val="nil"/>
              <w:left w:val="nil"/>
              <w:bottom w:val="nil"/>
              <w:right w:val="nil"/>
            </w:tcBorders>
            <w:shd w:val="clear" w:color="auto" w:fill="FFFFFF"/>
            <w:tcMar>
              <w:top w:w="40" w:type="dxa"/>
              <w:left w:w="70" w:type="dxa"/>
              <w:bottom w:w="40" w:type="dxa"/>
              <w:right w:w="70" w:type="dxa"/>
            </w:tcMar>
            <w:vAlign w:val="top"/>
          </w:tcPr>
          <w:p w14:paraId="0C93AD64">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Youth competitive distance runners (n=16 retained after 2 exclusions for pace deviation; 10 male, 6 female; ≥3 years training, national-level 1500–3000 m) tested under controlled outdoor conditions (27.3–29.1°C, 47.8–49.2% humidity) with individually calibrated pace from Riegel's formula and a near-maximal verification (HR ±10 bpm of age-predicted max, RPE &gt;17), giving Low Participant ROB. Skeletal-muscle NIRS (Moxy Monitor on rectus femoris, light-shielded, 2 Hz, 10-second averaging) and dual IMUs (120 Hz on tibia and metatarsals) acquired uniformly with standardised filtering, peak-to-peak stride segmentation and 100-point temporal normalisation, supporting Low Predictor ROB. Outcomes (SmO2, tHb, percentage of outlier strides) are objective and instrument-derived. Analysis domain is High: very small sample for subject-specific OCSVM with RBF kernel, gamma tuned per individual via grid search, principal-component representation built on the first 40% of each test and applied to four 15% windows of the same test (within-subject leakage), nu fixed at 1% by design rather than empirically optimised, no external validation, and the SmO2–outlier correlation (r = −0.61) reported only for the final segment without correction for the 5 segments tested. Applicability is Low because the predictor (skeletal muscle NIRS during exhaustive endurance running), the outcome (decline in muscle oxygenation linked to mechanical deviation), and the participant group (trained endurance athletes) all align well with the review's focus on muscle oxygenation impairment in athletic populations, even though Paralympic athletes specifically were not included.</w:t>
            </w:r>
          </w:p>
        </w:tc>
      </w:tr>
      <w:tr w14:paraId="5E5F977A">
        <w:tc>
          <w:tcPr>
            <w:tcW w:w="511" w:type="pct"/>
            <w:tcBorders>
              <w:top w:val="nil"/>
              <w:left w:val="nil"/>
              <w:bottom w:val="nil"/>
              <w:right w:val="nil"/>
            </w:tcBorders>
            <w:shd w:val="clear" w:color="auto" w:fill="FFFFFF"/>
            <w:tcMar>
              <w:top w:w="30" w:type="dxa"/>
              <w:left w:w="60" w:type="dxa"/>
              <w:bottom w:w="30" w:type="dxa"/>
              <w:right w:w="60" w:type="dxa"/>
            </w:tcMar>
            <w:vAlign w:val="top"/>
          </w:tcPr>
          <w:p w14:paraId="27075E12">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i w:val="0"/>
                <w:iCs w:val="0"/>
                <w:color w:val="000000"/>
                <w:sz w:val="15"/>
                <w:szCs w:val="15"/>
              </w:rPr>
              <w:t>Li C (2020)</w:t>
            </w:r>
          </w:p>
        </w:tc>
        <w:tc>
          <w:tcPr>
            <w:tcW w:w="306" w:type="pct"/>
            <w:tcBorders>
              <w:top w:val="nil"/>
              <w:left w:val="nil"/>
              <w:bottom w:val="nil"/>
              <w:right w:val="nil"/>
            </w:tcBorders>
            <w:shd w:val="clear" w:color="auto" w:fill="FFFFFF"/>
            <w:tcMar>
              <w:top w:w="30" w:type="dxa"/>
              <w:left w:w="60" w:type="dxa"/>
              <w:bottom w:w="30" w:type="dxa"/>
              <w:right w:w="60" w:type="dxa"/>
            </w:tcMar>
            <w:vAlign w:val="top"/>
          </w:tcPr>
          <w:p w14:paraId="468633CC">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5"/>
                <w:szCs w:val="15"/>
              </w:rPr>
              <w:t>High</w:t>
            </w:r>
          </w:p>
        </w:tc>
        <w:tc>
          <w:tcPr>
            <w:tcW w:w="315" w:type="pct"/>
            <w:tcBorders>
              <w:top w:val="nil"/>
              <w:left w:val="nil"/>
              <w:bottom w:val="nil"/>
              <w:right w:val="nil"/>
            </w:tcBorders>
            <w:shd w:val="clear" w:color="auto" w:fill="FFFFFF"/>
            <w:tcMar>
              <w:top w:w="30" w:type="dxa"/>
              <w:left w:w="60" w:type="dxa"/>
              <w:bottom w:w="30" w:type="dxa"/>
              <w:right w:w="60" w:type="dxa"/>
            </w:tcMar>
            <w:vAlign w:val="top"/>
          </w:tcPr>
          <w:p w14:paraId="01EF9C73">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5"/>
                <w:szCs w:val="15"/>
              </w:rPr>
              <w:t>High</w:t>
            </w:r>
          </w:p>
        </w:tc>
        <w:tc>
          <w:tcPr>
            <w:tcW w:w="3866" w:type="pct"/>
            <w:tcBorders>
              <w:top w:val="nil"/>
              <w:left w:val="nil"/>
              <w:bottom w:val="nil"/>
              <w:right w:val="nil"/>
            </w:tcBorders>
            <w:shd w:val="clear" w:color="auto" w:fill="FFFFFF"/>
            <w:tcMar>
              <w:top w:w="40" w:type="dxa"/>
              <w:left w:w="70" w:type="dxa"/>
              <w:bottom w:w="40" w:type="dxa"/>
              <w:right w:w="70" w:type="dxa"/>
            </w:tcMar>
            <w:vAlign w:val="top"/>
          </w:tcPr>
          <w:p w14:paraId="3843CA2C">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Only healthy young volunteers (n=30; mean age 21 ± 1; 14 female) recruited at a single university with no neurological or psychiatric history; no stroke, spinal cord injury or other clinical rehabilitation cohort included despite the stated BCI-for-walking-aids motivation, raising Participant ROB and applicability. Cortical fNIRS (LightNIRS, 13.33 Hz, 20 channels over PFC/PMC/SMA) acquired with whole-head holder under 10–20 placement and processed with Chebyshev low-pass and mathematical-morphology filters; entropy-weight averaging used to derive ROI signals, but the modality is cortical hemodynamic rather than skeletal muscle NIRS, so Predictor ROB and applicability are High for the review. Outcomes (onset of self-regulated gait intention and four-class adjustment type) are operationally defined by experimenter mark on a wall during free walking, with a confirmed 0–0.5 s lead/lag in the reference, but remain objective behavioural categories. Analysis domain is High: 20 subjects for 2-fold cross-validation and 10 subjects for pseudo-online testing, GBDT for onset detection with threshold (0.28) tuned to balance FPR/TPR/latency, stacked 2-layer GA-SVM with KLD fitness for pattern classification, hyperparameters and threshold selected on the same data used to report final performance, no external validation, accuracy ≈80% with cascaded errors between the onset and pattern stages. Applicability is High because participants are healthy young adults rather than Paralympic, adaptive-sport or stroke rehabilitation populations, and the predictor modality (cortical fNIRS) is not the skeletal muscle NIRS construct of this review; outcome (gait-state intention) is broadly aligned with rehabilitation/assistive-device control.</w:t>
            </w:r>
          </w:p>
        </w:tc>
      </w:tr>
      <w:tr w14:paraId="2349BEDF">
        <w:tc>
          <w:tcPr>
            <w:tcW w:w="511" w:type="pct"/>
            <w:tcBorders>
              <w:top w:val="nil"/>
              <w:left w:val="nil"/>
              <w:bottom w:val="nil"/>
              <w:right w:val="nil"/>
            </w:tcBorders>
            <w:shd w:val="clear" w:color="auto" w:fill="FFFFFF"/>
            <w:tcMar>
              <w:top w:w="30" w:type="dxa"/>
              <w:left w:w="60" w:type="dxa"/>
              <w:bottom w:w="30" w:type="dxa"/>
              <w:right w:w="60" w:type="dxa"/>
            </w:tcMar>
            <w:vAlign w:val="top"/>
          </w:tcPr>
          <w:p w14:paraId="5AB170AF">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i w:val="0"/>
                <w:iCs w:val="0"/>
                <w:color w:val="000000"/>
                <w:sz w:val="15"/>
                <w:szCs w:val="15"/>
              </w:rPr>
              <w:t>He X (2026)</w:t>
            </w:r>
          </w:p>
        </w:tc>
        <w:tc>
          <w:tcPr>
            <w:tcW w:w="306" w:type="pct"/>
            <w:tcBorders>
              <w:top w:val="nil"/>
              <w:left w:val="nil"/>
              <w:bottom w:val="nil"/>
              <w:right w:val="nil"/>
            </w:tcBorders>
            <w:shd w:val="clear" w:color="auto" w:fill="FFFFFF"/>
            <w:tcMar>
              <w:top w:w="30" w:type="dxa"/>
              <w:left w:w="60" w:type="dxa"/>
              <w:bottom w:w="30" w:type="dxa"/>
              <w:right w:w="60" w:type="dxa"/>
            </w:tcMar>
            <w:vAlign w:val="top"/>
          </w:tcPr>
          <w:p w14:paraId="151E364D">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5"/>
                <w:szCs w:val="15"/>
              </w:rPr>
              <w:t>High</w:t>
            </w:r>
          </w:p>
        </w:tc>
        <w:tc>
          <w:tcPr>
            <w:tcW w:w="315" w:type="pct"/>
            <w:tcBorders>
              <w:top w:val="nil"/>
              <w:left w:val="nil"/>
              <w:bottom w:val="nil"/>
              <w:right w:val="nil"/>
            </w:tcBorders>
            <w:shd w:val="clear" w:color="auto" w:fill="FFFFFF"/>
            <w:tcMar>
              <w:top w:w="30" w:type="dxa"/>
              <w:left w:w="60" w:type="dxa"/>
              <w:bottom w:w="30" w:type="dxa"/>
              <w:right w:w="60" w:type="dxa"/>
            </w:tcMar>
            <w:vAlign w:val="top"/>
          </w:tcPr>
          <w:p w14:paraId="2AC17446">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5"/>
                <w:szCs w:val="15"/>
              </w:rPr>
              <w:t>High</w:t>
            </w:r>
          </w:p>
        </w:tc>
        <w:tc>
          <w:tcPr>
            <w:tcW w:w="3866" w:type="pct"/>
            <w:tcBorders>
              <w:top w:val="nil"/>
              <w:left w:val="nil"/>
              <w:bottom w:val="nil"/>
              <w:right w:val="nil"/>
            </w:tcBorders>
            <w:shd w:val="clear" w:color="auto" w:fill="FFFFFF"/>
            <w:tcMar>
              <w:top w:w="40" w:type="dxa"/>
              <w:left w:w="70" w:type="dxa"/>
              <w:bottom w:w="40" w:type="dxa"/>
              <w:right w:w="70" w:type="dxa"/>
            </w:tcMar>
            <w:vAlign w:val="top"/>
          </w:tcPr>
          <w:p w14:paraId="63FC4761">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Only healthy right-handed adults (n=15; mean age 23.9 ± 1.86; 8 female, 7 male) recruited at a single centre with no neurological or psychiatric history; no Paralympic, adaptive-sport, stroke or other rehabilitation cohort included despite the stated motor-rehabilitation framing, giving High Participant ROB and applicability. Simultaneous EEG (32-channel, 0.1–30 Hz band-pass with ±100 µV interpolation) and cortical fNIRS (NirSmart, 10 Hz, source–detector array over motor cortex) acquired with co-registered 3D digitiser positions; predictors comprise EEG amplitude/instantaneous-amplitude/phase/frequency features and fNIRS HbO/HbR/HbT/HbD, but the modality is cortical hemodynamic combined with EEG rather than skeletal muscle NIRS, so Predictor ROB and applicability are High. Outcome (within-class similarity of FGAmap activation patterns and number of high-activation channels under 1D vs 2D MCI tasks) is a constructed neural-representation metric without an external clinical or behavioural reference standard, and within-class similarity is computed against the centroid of the same trials being evaluated, raising Outcome ROB and applicability. Analysis domain is High: very small sample with 60/40 subject-wise split for ELM classification, multiple feature-fusion combinations (5 EEG × 4 fNIRS × 5 delays = 100 schemes) compared with no formal correction for multiple testing, hyperparameters tuned on training data, no external validation, and the dynamic-weight model is benchmarked against simplified controls derived from the same data. Applicability is High across all three domains because participants, predictor modality and outcome construct are all outside the review's focus on skeletal muscle NIRS oxygenation in Paralympic/adaptive-sport and rehabilitation populations.</w:t>
            </w:r>
          </w:p>
        </w:tc>
      </w:tr>
      <w:tr w14:paraId="7B215539">
        <w:tc>
          <w:tcPr>
            <w:tcW w:w="511" w:type="pct"/>
            <w:tcBorders>
              <w:top w:val="nil"/>
              <w:left w:val="nil"/>
              <w:bottom w:val="nil"/>
              <w:right w:val="nil"/>
            </w:tcBorders>
            <w:shd w:val="clear" w:color="auto" w:fill="FFFFFF"/>
            <w:tcMar>
              <w:top w:w="30" w:type="dxa"/>
              <w:left w:w="60" w:type="dxa"/>
              <w:bottom w:w="30" w:type="dxa"/>
              <w:right w:w="60" w:type="dxa"/>
            </w:tcMar>
            <w:vAlign w:val="top"/>
          </w:tcPr>
          <w:p w14:paraId="1031C3BF">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i w:val="0"/>
                <w:iCs w:val="0"/>
                <w:color w:val="000000"/>
                <w:sz w:val="15"/>
                <w:szCs w:val="15"/>
              </w:rPr>
              <w:t>Hamid H (2022)</w:t>
            </w:r>
          </w:p>
        </w:tc>
        <w:tc>
          <w:tcPr>
            <w:tcW w:w="306" w:type="pct"/>
            <w:tcBorders>
              <w:top w:val="nil"/>
              <w:left w:val="nil"/>
              <w:bottom w:val="nil"/>
              <w:right w:val="nil"/>
            </w:tcBorders>
            <w:shd w:val="clear" w:color="auto" w:fill="FFFFFF"/>
            <w:tcMar>
              <w:top w:w="30" w:type="dxa"/>
              <w:left w:w="60" w:type="dxa"/>
              <w:bottom w:w="30" w:type="dxa"/>
              <w:right w:w="60" w:type="dxa"/>
            </w:tcMar>
            <w:vAlign w:val="top"/>
          </w:tcPr>
          <w:p w14:paraId="3337F60C">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5"/>
                <w:szCs w:val="15"/>
              </w:rPr>
              <w:t>High</w:t>
            </w:r>
          </w:p>
        </w:tc>
        <w:tc>
          <w:tcPr>
            <w:tcW w:w="315" w:type="pct"/>
            <w:tcBorders>
              <w:top w:val="nil"/>
              <w:left w:val="nil"/>
              <w:bottom w:val="nil"/>
              <w:right w:val="nil"/>
            </w:tcBorders>
            <w:shd w:val="clear" w:color="auto" w:fill="FFFFFF"/>
            <w:tcMar>
              <w:top w:w="30" w:type="dxa"/>
              <w:left w:w="60" w:type="dxa"/>
              <w:bottom w:w="30" w:type="dxa"/>
              <w:right w:w="60" w:type="dxa"/>
            </w:tcMar>
            <w:vAlign w:val="top"/>
          </w:tcPr>
          <w:p w14:paraId="4AB9F7F6">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5"/>
                <w:szCs w:val="15"/>
              </w:rPr>
              <w:t>High</w:t>
            </w:r>
          </w:p>
        </w:tc>
        <w:tc>
          <w:tcPr>
            <w:tcW w:w="3866" w:type="pct"/>
            <w:tcBorders>
              <w:top w:val="nil"/>
              <w:left w:val="nil"/>
              <w:bottom w:val="nil"/>
              <w:right w:val="nil"/>
            </w:tcBorders>
            <w:shd w:val="clear" w:color="auto" w:fill="FFFFFF"/>
            <w:tcMar>
              <w:top w:w="40" w:type="dxa"/>
              <w:left w:w="70" w:type="dxa"/>
              <w:bottom w:w="40" w:type="dxa"/>
              <w:right w:w="70" w:type="dxa"/>
            </w:tcMar>
            <w:vAlign w:val="top"/>
          </w:tcPr>
          <w:p w14:paraId="7E0A21C2">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Only nine healthy right-handed male participants (median age 27 ± 5) recruited at a single centre with no motor disability or visual neurological disorders, despite the explicit motivation of gait rehabilitation in elderly and disabled people, raising Participant ROB and applicability. Cortical fNIRS (DYNOT continuous-wave system, 760/830 nm, 1.81 Hz, 12 channels over left M1) acquired uniformly with modified Beer–Lambert law conversion, low-pass 0.5 Hz / high-pass 0.01 Hz filtering and hemodynamic-response filtering via NIRS-SPM, supporting Low Predictor ROB; the modality is cortical hemodynamic rather than skeletal muscle NIRS, so Predictor applicability is High for the review. Outcome (walking versus rest task state on a treadmill) is operationally defined and objective. Analysis domain is High because the very small sample (n=9) is split 80/20 once for DL evaluation with 10-fold CV used only on the ML branch, the manual feature combination (mean, peak, variance) was selected on the basis of accuracy on the same data, hyperparameters of CNN/LSTM/Bi-LSTM (kernel sizes, filter counts, dropout 0.5, batch size 150, 500 epochs) are reported but tuned on the same dataset, no leave-one-subject-out or external validation, and no calibration or class-balance assessment. Applicability is High overall because the target population is Paralympic and adaptive-sport athletes and clinical rehabilitation cohorts rather than healthy young males, and the predictor modality is cortical fNIRS over M1 rather than skeletal muscle NIRS oxygenation; outcome (walking-intent state) is broadly aligned with rehabilitation/assistive-device control.</w:t>
            </w:r>
          </w:p>
        </w:tc>
      </w:tr>
      <w:tr w14:paraId="0D8A1B91">
        <w:tc>
          <w:tcPr>
            <w:tcW w:w="511" w:type="pct"/>
            <w:tcBorders>
              <w:top w:val="nil"/>
              <w:left w:val="nil"/>
              <w:bottom w:val="nil"/>
              <w:right w:val="nil"/>
            </w:tcBorders>
            <w:shd w:val="clear" w:color="auto" w:fill="FFFFFF"/>
            <w:tcMar>
              <w:top w:w="30" w:type="dxa"/>
              <w:left w:w="60" w:type="dxa"/>
              <w:bottom w:w="30" w:type="dxa"/>
              <w:right w:w="60" w:type="dxa"/>
            </w:tcMar>
            <w:vAlign w:val="top"/>
          </w:tcPr>
          <w:p w14:paraId="68EF17F8">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i w:val="0"/>
                <w:iCs w:val="0"/>
                <w:color w:val="000000"/>
                <w:sz w:val="15"/>
                <w:szCs w:val="15"/>
              </w:rPr>
              <w:t>AL-Quraishi MS (2021)</w:t>
            </w:r>
          </w:p>
        </w:tc>
        <w:tc>
          <w:tcPr>
            <w:tcW w:w="306" w:type="pct"/>
            <w:tcBorders>
              <w:top w:val="nil"/>
              <w:left w:val="nil"/>
              <w:bottom w:val="nil"/>
              <w:right w:val="nil"/>
            </w:tcBorders>
            <w:shd w:val="clear" w:color="auto" w:fill="FFFFFF"/>
            <w:tcMar>
              <w:top w:w="30" w:type="dxa"/>
              <w:left w:w="60" w:type="dxa"/>
              <w:bottom w:w="30" w:type="dxa"/>
              <w:right w:w="60" w:type="dxa"/>
            </w:tcMar>
            <w:vAlign w:val="top"/>
          </w:tcPr>
          <w:p w14:paraId="5385394C">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5"/>
                <w:szCs w:val="15"/>
              </w:rPr>
              <w:t>High</w:t>
            </w:r>
          </w:p>
        </w:tc>
        <w:tc>
          <w:tcPr>
            <w:tcW w:w="315" w:type="pct"/>
            <w:tcBorders>
              <w:top w:val="nil"/>
              <w:left w:val="nil"/>
              <w:bottom w:val="nil"/>
              <w:right w:val="nil"/>
            </w:tcBorders>
            <w:shd w:val="clear" w:color="auto" w:fill="FFFFFF"/>
            <w:tcMar>
              <w:top w:w="30" w:type="dxa"/>
              <w:left w:w="60" w:type="dxa"/>
              <w:bottom w:w="30" w:type="dxa"/>
              <w:right w:w="60" w:type="dxa"/>
            </w:tcMar>
            <w:vAlign w:val="top"/>
          </w:tcPr>
          <w:p w14:paraId="4DC02A55">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5"/>
                <w:szCs w:val="15"/>
              </w:rPr>
              <w:t>High</w:t>
            </w:r>
          </w:p>
        </w:tc>
        <w:tc>
          <w:tcPr>
            <w:tcW w:w="3866" w:type="pct"/>
            <w:tcBorders>
              <w:top w:val="nil"/>
              <w:left w:val="nil"/>
              <w:bottom w:val="nil"/>
              <w:right w:val="nil"/>
            </w:tcBorders>
            <w:shd w:val="clear" w:color="auto" w:fill="FFFFFF"/>
            <w:tcMar>
              <w:top w:w="40" w:type="dxa"/>
              <w:left w:w="70" w:type="dxa"/>
              <w:bottom w:w="40" w:type="dxa"/>
              <w:right w:w="70" w:type="dxa"/>
            </w:tcMar>
            <w:vAlign w:val="top"/>
          </w:tcPr>
          <w:p w14:paraId="3F0C4FA0">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Twenty right-handed healthy male university students (mean age 30.16 ± 5.35) recruited from a single campus with ethics approval and written informed consent, but no Paralympic, adaptive-sport, stroke or other rehabilitation cohort included despite the stated lower-limb BCI rehabilitation motivation, raising Participant ROB and applicability. Simultaneous EEG (20 electrodes) and cortical fNIRS (32 optodes over motor cortex) acquired with one-second sliding window feature extraction (variance, kurtosis, skewness from fNIRS; MAV, RMS, waveform length and AR4 from ERD), supporting Low Predictor ROB; the modality is cortical hemodynamic rather than skeletal muscle NIRS, so Predictor applicability is High for the review. Outcome (right versus left ankle joint movement) is operationally defined and objective. Analysis domain is High because the small subject pool is processed via 10-fold CV on 80% of the data with 20% held out, but channels were pre-selected based on Pearson correlation between ERD and oxyHb computed on the same dataset (data-driven feature selection without correction), SVM (fitcsvm) used at default hyperparameters with no formal tuning protocol, sliding-window samples generate non-independent observations, no external validation, no calibration assessment, and the reported integrated-modality accuracy (93.01 ± 5.60%) is plausibly optimistic given the within-subject window-level evaluation. Applicability is High overall because participants, modality and outcome are not aligned with the review's focus on skeletal muscle NIRS oxygenation in Paralympic and adaptive-sport populations, although the lower-limb movement classification construct broadly fits rehabilitation BCI applications.</w:t>
            </w:r>
          </w:p>
        </w:tc>
      </w:tr>
      <w:tr w14:paraId="0E7B3082">
        <w:tc>
          <w:tcPr>
            <w:tcW w:w="511" w:type="pct"/>
            <w:tcBorders>
              <w:top w:val="nil"/>
              <w:left w:val="nil"/>
              <w:bottom w:val="nil"/>
              <w:right w:val="nil"/>
            </w:tcBorders>
            <w:shd w:val="clear" w:color="auto" w:fill="FFFFFF"/>
            <w:tcMar>
              <w:top w:w="30" w:type="dxa"/>
              <w:left w:w="60" w:type="dxa"/>
              <w:bottom w:w="30" w:type="dxa"/>
              <w:right w:w="60" w:type="dxa"/>
            </w:tcMar>
            <w:vAlign w:val="top"/>
          </w:tcPr>
          <w:p w14:paraId="12163287">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i w:val="0"/>
                <w:iCs w:val="0"/>
                <w:color w:val="000000"/>
                <w:sz w:val="15"/>
                <w:szCs w:val="15"/>
              </w:rPr>
              <w:t>Jiang Y-C (2022)</w:t>
            </w:r>
          </w:p>
        </w:tc>
        <w:tc>
          <w:tcPr>
            <w:tcW w:w="306" w:type="pct"/>
            <w:tcBorders>
              <w:top w:val="nil"/>
              <w:left w:val="nil"/>
              <w:bottom w:val="nil"/>
              <w:right w:val="nil"/>
            </w:tcBorders>
            <w:shd w:val="clear" w:color="auto" w:fill="FFFFFF"/>
            <w:tcMar>
              <w:top w:w="30" w:type="dxa"/>
              <w:left w:w="60" w:type="dxa"/>
              <w:bottom w:w="30" w:type="dxa"/>
              <w:right w:w="60" w:type="dxa"/>
            </w:tcMar>
            <w:vAlign w:val="top"/>
          </w:tcPr>
          <w:p w14:paraId="2E62C7C2">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5"/>
                <w:szCs w:val="15"/>
              </w:rPr>
              <w:t>High</w:t>
            </w:r>
          </w:p>
        </w:tc>
        <w:tc>
          <w:tcPr>
            <w:tcW w:w="315" w:type="pct"/>
            <w:tcBorders>
              <w:top w:val="nil"/>
              <w:left w:val="nil"/>
              <w:bottom w:val="nil"/>
              <w:right w:val="nil"/>
            </w:tcBorders>
            <w:shd w:val="clear" w:color="auto" w:fill="FFFFFF"/>
            <w:tcMar>
              <w:top w:w="30" w:type="dxa"/>
              <w:left w:w="60" w:type="dxa"/>
              <w:bottom w:w="30" w:type="dxa"/>
              <w:right w:w="60" w:type="dxa"/>
            </w:tcMar>
            <w:vAlign w:val="top"/>
          </w:tcPr>
          <w:p w14:paraId="63FD84A6">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5"/>
                <w:szCs w:val="15"/>
              </w:rPr>
              <w:t>High</w:t>
            </w:r>
          </w:p>
        </w:tc>
        <w:tc>
          <w:tcPr>
            <w:tcW w:w="3866" w:type="pct"/>
            <w:tcBorders>
              <w:top w:val="nil"/>
              <w:left w:val="nil"/>
              <w:bottom w:val="nil"/>
              <w:right w:val="nil"/>
            </w:tcBorders>
            <w:shd w:val="clear" w:color="auto" w:fill="FFFFFF"/>
            <w:tcMar>
              <w:top w:w="40" w:type="dxa"/>
              <w:left w:w="70" w:type="dxa"/>
              <w:bottom w:w="40" w:type="dxa"/>
              <w:right w:w="70" w:type="dxa"/>
            </w:tcMar>
            <w:vAlign w:val="top"/>
          </w:tcPr>
          <w:p w14:paraId="03C489B4">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Ten healthy young adults (seven male, three female; mean age 20.6 ± 0.8 years) recruited at a single centre with Edinburgh Handedness Inventory confirmation of right-handedness, no neurological or psychiatric disorders, and ethics approval; no hemiparetic stroke patients included despite the explicit framing for robot-assisted bimanual stroke rehabilitation, raising Participant ROB and applicability. Concurrent EEG (g.Hlamp, 36 channels, 1200 Hz) and cortical fNIRS (NIRScout, 12 sources/12 detectors, 37 channels at 5.21 Hz, 785/830 nm) acquired over PMC/M1/S1 with EOG and neck sEMG monitoring and standardised preprocessing supporting Low Predictor ROB; the modality is cortical hemodynamic rather than skeletal muscle NIRS, so Predictor applicability is High for the review. Outcome (in-phase, 90° out-of-phase, anti-phase bimanual cyclical task) is operationally defined and objective. Analysis domain is High because the very small sample (n=10) is evaluated with 50× cross-validation across training-set sizes from 5 to 15, TRCA filters and feature templates are learned on training trials and applied to within-subject test trials so subject-specific information leaks across folds, three classifiers (LDA, SVM, RF) compared with no correction for multiple testing, hyperparameters of TRCA component number and SVM kernel selected on the same data, and the reported bimodal accuracy (90.1%) is plausibly optimistic given the within-subject single-trial design and absence of external validation or calibration. Applicability is High overall because the target population, predictor modality and clinical translation pathway are not aligned with the review's focus on skeletal muscle NIRS oxygenation in Paralympic and adaptive-sport populations, although the bimanual coordination outcome is broadly relevant to rehabilitation engineering.</w:t>
            </w:r>
          </w:p>
        </w:tc>
      </w:tr>
      <w:tr w14:paraId="42532CB0">
        <w:tc>
          <w:tcPr>
            <w:tcW w:w="511" w:type="pct"/>
            <w:tcBorders>
              <w:top w:val="nil"/>
              <w:left w:val="nil"/>
              <w:bottom w:val="nil"/>
              <w:right w:val="nil"/>
            </w:tcBorders>
            <w:shd w:val="clear" w:color="auto" w:fill="FFFFFF"/>
            <w:tcMar>
              <w:top w:w="30" w:type="dxa"/>
              <w:left w:w="60" w:type="dxa"/>
              <w:bottom w:w="30" w:type="dxa"/>
              <w:right w:w="60" w:type="dxa"/>
            </w:tcMar>
            <w:vAlign w:val="top"/>
          </w:tcPr>
          <w:p w14:paraId="3B658AFC">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i w:val="0"/>
                <w:iCs w:val="0"/>
                <w:color w:val="000000"/>
                <w:sz w:val="15"/>
                <w:szCs w:val="15"/>
              </w:rPr>
              <w:t>Sommer NM (2021)</w:t>
            </w:r>
          </w:p>
        </w:tc>
        <w:tc>
          <w:tcPr>
            <w:tcW w:w="306" w:type="pct"/>
            <w:tcBorders>
              <w:top w:val="nil"/>
              <w:left w:val="nil"/>
              <w:bottom w:val="nil"/>
              <w:right w:val="nil"/>
            </w:tcBorders>
            <w:shd w:val="clear" w:color="auto" w:fill="FFFFFF"/>
            <w:tcMar>
              <w:top w:w="30" w:type="dxa"/>
              <w:left w:w="60" w:type="dxa"/>
              <w:bottom w:w="30" w:type="dxa"/>
              <w:right w:w="60" w:type="dxa"/>
            </w:tcMar>
            <w:vAlign w:val="top"/>
          </w:tcPr>
          <w:p w14:paraId="01D45DCC">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5"/>
                <w:szCs w:val="15"/>
              </w:rPr>
              <w:t>High</w:t>
            </w:r>
          </w:p>
        </w:tc>
        <w:tc>
          <w:tcPr>
            <w:tcW w:w="315" w:type="pct"/>
            <w:tcBorders>
              <w:top w:val="nil"/>
              <w:left w:val="nil"/>
              <w:bottom w:val="nil"/>
              <w:right w:val="nil"/>
            </w:tcBorders>
            <w:shd w:val="clear" w:color="auto" w:fill="FFFFFF"/>
            <w:tcMar>
              <w:top w:w="30" w:type="dxa"/>
              <w:left w:w="60" w:type="dxa"/>
              <w:bottom w:w="30" w:type="dxa"/>
              <w:right w:w="60" w:type="dxa"/>
            </w:tcMar>
            <w:vAlign w:val="top"/>
          </w:tcPr>
          <w:p w14:paraId="785AAD68">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5"/>
                <w:szCs w:val="15"/>
              </w:rPr>
              <w:t>High</w:t>
            </w:r>
          </w:p>
        </w:tc>
        <w:tc>
          <w:tcPr>
            <w:tcW w:w="3866" w:type="pct"/>
            <w:tcBorders>
              <w:top w:val="nil"/>
              <w:left w:val="nil"/>
              <w:bottom w:val="nil"/>
              <w:right w:val="nil"/>
            </w:tcBorders>
            <w:shd w:val="clear" w:color="auto" w:fill="FFFFFF"/>
            <w:tcMar>
              <w:top w:w="40" w:type="dxa"/>
              <w:left w:w="70" w:type="dxa"/>
              <w:bottom w:w="40" w:type="dxa"/>
              <w:right w:w="70" w:type="dxa"/>
            </w:tcMar>
            <w:vAlign w:val="top"/>
          </w:tcPr>
          <w:p w14:paraId="1C85DEB7">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Twelve healthy participants recruited at a single Western United States university with IRB approval (Protocol No. 19-0436); no patients with Parkinson's disease, cerebral palsy, stroke or other neuromuscular impairment included despite the stated motivation that finger tapping is used to study these conditions, raising Participant ROB and applicability. Cortical fNIRS data (51 sessions across the 12 participants) recorded over bilateral motor cortex with channel-layout preserving spatial structure used as input to a Convolutional LSTM, with standardised preprocessing supporting Low Predictor ROB; the modality is cortical hemodynamic rather than skeletal muscle NIRS, so Predictor applicability is High for the review. Outcome (rest, 80 bpm, 120 bpm tapping frequency for left and right index fingers as a multi-class multi-label schema) is operationally defined and metronome-paced. Analysis domain is High because the dataset is generated by 10-sample sliding windows producing non-independent observations, the initial evaluation set aside 10% of sessions for testing with the remaining sessions split 80/20 train/validation and this process repeated several times, leave-one-subject-out 11-fold cross-validation reported with one participant excluded due to trial imbalance, SMOTENN class-balancing applied to training and validation data which can leak synthetic samples across folds when interleaved with sliding-window expansion, hyperparameters and early-stopping criteria selected on the same data used for evaluation, and no external validation or formal calibration assessment beyond Hamming Loss and micro-averaged F-score. SHAP-based interpretation is performed on the model developed and evaluated on the same dataset. Applicability is High overall because participants, predictor modality and tapping-rate outcome do not align with the review's focus on skeletal muscle NIRS oxygenation in Paralympic and adaptive-sport populations, although the broader BCI/rehabilitation framing is relevant.</w:t>
            </w:r>
          </w:p>
        </w:tc>
      </w:tr>
      <w:tr w14:paraId="7C1C2CD0">
        <w:tc>
          <w:tcPr>
            <w:tcW w:w="511" w:type="pct"/>
            <w:tcBorders>
              <w:top w:val="nil"/>
              <w:left w:val="nil"/>
              <w:bottom w:val="nil"/>
              <w:right w:val="nil"/>
            </w:tcBorders>
            <w:shd w:val="clear" w:color="auto" w:fill="FFFFFF"/>
            <w:tcMar>
              <w:top w:w="30" w:type="dxa"/>
              <w:left w:w="60" w:type="dxa"/>
              <w:bottom w:w="30" w:type="dxa"/>
              <w:right w:w="60" w:type="dxa"/>
            </w:tcMar>
            <w:vAlign w:val="top"/>
          </w:tcPr>
          <w:p w14:paraId="7634ABCD">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i w:val="0"/>
                <w:iCs w:val="0"/>
                <w:color w:val="000000"/>
                <w:sz w:val="15"/>
                <w:szCs w:val="15"/>
              </w:rPr>
              <w:t>Hozan M (2020)</w:t>
            </w:r>
          </w:p>
        </w:tc>
        <w:tc>
          <w:tcPr>
            <w:tcW w:w="306" w:type="pct"/>
            <w:tcBorders>
              <w:top w:val="nil"/>
              <w:left w:val="nil"/>
              <w:bottom w:val="nil"/>
              <w:right w:val="nil"/>
            </w:tcBorders>
            <w:shd w:val="clear" w:color="auto" w:fill="FFFFFF"/>
            <w:tcMar>
              <w:top w:w="30" w:type="dxa"/>
              <w:left w:w="60" w:type="dxa"/>
              <w:bottom w:w="30" w:type="dxa"/>
              <w:right w:w="60" w:type="dxa"/>
            </w:tcMar>
            <w:vAlign w:val="top"/>
          </w:tcPr>
          <w:p w14:paraId="6DEE2498">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5"/>
                <w:szCs w:val="15"/>
              </w:rPr>
              <w:t>High</w:t>
            </w:r>
          </w:p>
        </w:tc>
        <w:tc>
          <w:tcPr>
            <w:tcW w:w="315" w:type="pct"/>
            <w:tcBorders>
              <w:top w:val="nil"/>
              <w:left w:val="nil"/>
              <w:bottom w:val="nil"/>
              <w:right w:val="nil"/>
            </w:tcBorders>
            <w:shd w:val="clear" w:color="auto" w:fill="FFFFFF"/>
            <w:tcMar>
              <w:top w:w="30" w:type="dxa"/>
              <w:left w:w="60" w:type="dxa"/>
              <w:bottom w:w="30" w:type="dxa"/>
              <w:right w:w="60" w:type="dxa"/>
            </w:tcMar>
            <w:vAlign w:val="top"/>
          </w:tcPr>
          <w:p w14:paraId="37B41A72">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5"/>
                <w:szCs w:val="15"/>
              </w:rPr>
              <w:t>High</w:t>
            </w:r>
          </w:p>
        </w:tc>
        <w:tc>
          <w:tcPr>
            <w:tcW w:w="3866" w:type="pct"/>
            <w:tcBorders>
              <w:top w:val="nil"/>
              <w:left w:val="nil"/>
              <w:bottom w:val="nil"/>
              <w:right w:val="nil"/>
            </w:tcBorders>
            <w:shd w:val="clear" w:color="auto" w:fill="FFFFFF"/>
            <w:tcMar>
              <w:top w:w="40" w:type="dxa"/>
              <w:left w:w="70" w:type="dxa"/>
              <w:bottom w:w="40" w:type="dxa"/>
              <w:right w:w="70" w:type="dxa"/>
            </w:tcMar>
            <w:vAlign w:val="top"/>
          </w:tcPr>
          <w:p w14:paraId="571BFDD4">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Eleven right-handed neurotypical adults (six male, ages 19–35, mean 25.1 ± 5.3) recruited and enrolled with University of Nebraska IRB approval (20180218036EP); described as a pilot fNIRS study and no stroke, traumatic brain injury or other clinical population included despite the stated motivation of post-stroke sensorimotor rehabilitation of upper extremities, raising Participant ROB and applicability. Cortical fNIRS (16 dual-tip LED sources, 20 detectors, 104 channels covering 52 HbO and 52 HbR links, 760/850 nm) bilaterally and symmetrically placed over S1 and M1 with the Galileo pneumatic tactile stimulator delivering programmable saltatory stimuli at three velocities (10, 25, 45 cm/s) and uniform feature extraction via common spatial pattern, supporting Low Predictor ROB; the modality is cortical hemodynamic rather than skeletal muscle NIRS, so Predictor applicability is High for the review. Outcome (stimulus-velocity class) is objective and instrument-defined. Analysis domain is High because the small sample (n=11) is evaluated with 10-fold cross-validation that learns shrinkage and regularization hyperparameters of regularized discriminant analysis while simultaneously maximising AUC on the same data (circular hyperparameter selection), per-channel AUC &gt; 0.6 thresholding selects the feature space using the same data later used for evaluation, the binary and ternary classification tasks are run as multiple comparisons (10 vs 25, 10 vs 45, 25 vs 45, and three-class) without explicit correction, no external validation, and the reported accuracies (up to 99% in some bi-classifier configurations) are plausibly optimistic given pilot sample size and within-subject leakage. Applicability is High overall because participants, predictor modality and stimulus-velocity outcome do not align with the review's focus on skeletal muscle NIRS oxygenation in Paralympic and adaptive-sport populations, although somatosensory-velocity coding is relevant to rehabilitation engineering more broadly.</w:t>
            </w:r>
          </w:p>
        </w:tc>
      </w:tr>
      <w:tr w14:paraId="0FEC96B9">
        <w:tc>
          <w:tcPr>
            <w:tcW w:w="511" w:type="pct"/>
            <w:tcBorders>
              <w:top w:val="nil"/>
              <w:left w:val="nil"/>
              <w:bottom w:val="nil"/>
              <w:right w:val="nil"/>
            </w:tcBorders>
            <w:shd w:val="clear" w:color="auto" w:fill="FFFFFF"/>
            <w:tcMar>
              <w:top w:w="30" w:type="dxa"/>
              <w:left w:w="60" w:type="dxa"/>
              <w:bottom w:w="30" w:type="dxa"/>
              <w:right w:w="60" w:type="dxa"/>
            </w:tcMar>
            <w:vAlign w:val="top"/>
          </w:tcPr>
          <w:p w14:paraId="1F965E9D">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i w:val="0"/>
                <w:iCs w:val="0"/>
                <w:color w:val="000000"/>
                <w:sz w:val="15"/>
                <w:szCs w:val="15"/>
              </w:rPr>
              <w:t>Blokland Y (2014)</w:t>
            </w:r>
          </w:p>
        </w:tc>
        <w:tc>
          <w:tcPr>
            <w:tcW w:w="306" w:type="pct"/>
            <w:tcBorders>
              <w:top w:val="nil"/>
              <w:left w:val="nil"/>
              <w:bottom w:val="nil"/>
              <w:right w:val="nil"/>
            </w:tcBorders>
            <w:shd w:val="clear" w:color="auto" w:fill="FFFFFF"/>
            <w:tcMar>
              <w:top w:w="30" w:type="dxa"/>
              <w:left w:w="60" w:type="dxa"/>
              <w:bottom w:w="30" w:type="dxa"/>
              <w:right w:w="60" w:type="dxa"/>
            </w:tcMar>
            <w:vAlign w:val="top"/>
          </w:tcPr>
          <w:p w14:paraId="431E52BC">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5"/>
                <w:szCs w:val="15"/>
              </w:rPr>
              <w:t>High</w:t>
            </w:r>
          </w:p>
        </w:tc>
        <w:tc>
          <w:tcPr>
            <w:tcW w:w="315" w:type="pct"/>
            <w:tcBorders>
              <w:top w:val="nil"/>
              <w:left w:val="nil"/>
              <w:bottom w:val="nil"/>
              <w:right w:val="nil"/>
            </w:tcBorders>
            <w:shd w:val="clear" w:color="auto" w:fill="FFFFFF"/>
            <w:tcMar>
              <w:top w:w="30" w:type="dxa"/>
              <w:left w:w="60" w:type="dxa"/>
              <w:bottom w:w="30" w:type="dxa"/>
              <w:right w:w="60" w:type="dxa"/>
            </w:tcMar>
            <w:vAlign w:val="top"/>
          </w:tcPr>
          <w:p w14:paraId="15520D06">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5"/>
                <w:szCs w:val="15"/>
              </w:rPr>
              <w:t>High</w:t>
            </w:r>
          </w:p>
        </w:tc>
        <w:tc>
          <w:tcPr>
            <w:tcW w:w="3866" w:type="pct"/>
            <w:tcBorders>
              <w:top w:val="nil"/>
              <w:left w:val="nil"/>
              <w:bottom w:val="nil"/>
              <w:right w:val="nil"/>
            </w:tcBorders>
            <w:shd w:val="clear" w:color="auto" w:fill="FFFFFF"/>
            <w:tcMar>
              <w:top w:w="40" w:type="dxa"/>
              <w:left w:w="70" w:type="dxa"/>
              <w:bottom w:w="40" w:type="dxa"/>
              <w:right w:w="70" w:type="dxa"/>
            </w:tcMar>
            <w:vAlign w:val="top"/>
          </w:tcPr>
          <w:p w14:paraId="05145C82">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Ten male tetraplegia patients (mean age 48.9 years; nine with complete C5–C6 lesions, one C4–C5; time since traumatic spinal cord injury 11–40 years, mean 25.2) and 12 male age-matched controls (mean 45.9) recruited with institutional review board approval and written informed consent, with three patients and four controls excluded post hoc for insufficient signal quality; clear clinical inclusion criteria for the SCI cohort give Low Participant ROB and the clinical population is well within the review's rehabilitation scope, supporting Low Participant applicability. Concurrent EEG (8-channel passive Porti, electrodes at C3/FC3/C5/CP3/C4/FC4/C6/CP4, 2048 Hz) and cortical fNIRS (Oxymon MK III, two channels around C3 and C4 with reference transmitter at 10 mm and target transmitter at 35 mm for short-channel systemic-noise correction, 764/858 nm) recorded with age-adjusted differential pathlength factor and standardised preprocessing supporting Low Predictor ROB; the modality is cortical hemodynamic rather than skeletal muscle NIRS, so Predictor applicability is High for the review. Outcome (movement-attempt or motor-imagery versus rest classification) is operationally defined and objective. Analysis domain is High because trials are split into 3-second segments to inflate the training pool to 60 per condition introducing within-trial sample dependence, chronological 12-fold block-wise cross-validation reduces but does not eliminate within-subject leakage, an L2-regularized linear logistic regression classifier is calibrated to a logistic posterior on the training fold of each split and the regularization parameter is tuned on the same data, three binary problems are evaluated without correction for multiplicity, and there is no external validation. Applicability is High overall because the predictor modality is cortical fNIRS rather than skeletal muscle NIRS oxygenation, although the SCI/tetraplegia participant cohort and brain-switch outcome are well aligned with the review's clinical rehabilitation and assistive-technology scope.</w:t>
            </w:r>
          </w:p>
        </w:tc>
      </w:tr>
      <w:tr w14:paraId="5AA17D66">
        <w:tc>
          <w:tcPr>
            <w:tcW w:w="511" w:type="pct"/>
            <w:tcBorders>
              <w:top w:val="nil"/>
              <w:left w:val="nil"/>
              <w:bottom w:val="nil"/>
              <w:right w:val="nil"/>
            </w:tcBorders>
            <w:shd w:val="clear" w:color="auto" w:fill="FFFFFF"/>
            <w:tcMar>
              <w:top w:w="30" w:type="dxa"/>
              <w:left w:w="60" w:type="dxa"/>
              <w:bottom w:w="30" w:type="dxa"/>
              <w:right w:w="60" w:type="dxa"/>
            </w:tcMar>
            <w:vAlign w:val="top"/>
          </w:tcPr>
          <w:p w14:paraId="0A2EBA27">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i w:val="0"/>
                <w:iCs w:val="0"/>
                <w:color w:val="000000"/>
                <w:sz w:val="15"/>
                <w:szCs w:val="15"/>
              </w:rPr>
              <w:t>Lee J (2019)</w:t>
            </w:r>
          </w:p>
        </w:tc>
        <w:tc>
          <w:tcPr>
            <w:tcW w:w="306" w:type="pct"/>
            <w:tcBorders>
              <w:top w:val="nil"/>
              <w:left w:val="nil"/>
              <w:bottom w:val="nil"/>
              <w:right w:val="nil"/>
            </w:tcBorders>
            <w:shd w:val="clear" w:color="auto" w:fill="FFFFFF"/>
            <w:tcMar>
              <w:top w:w="30" w:type="dxa"/>
              <w:left w:w="60" w:type="dxa"/>
              <w:bottom w:w="30" w:type="dxa"/>
              <w:right w:w="60" w:type="dxa"/>
            </w:tcMar>
            <w:vAlign w:val="top"/>
          </w:tcPr>
          <w:p w14:paraId="39F34B93">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5"/>
                <w:szCs w:val="15"/>
              </w:rPr>
              <w:t>High</w:t>
            </w:r>
          </w:p>
        </w:tc>
        <w:tc>
          <w:tcPr>
            <w:tcW w:w="315" w:type="pct"/>
            <w:tcBorders>
              <w:top w:val="nil"/>
              <w:left w:val="nil"/>
              <w:bottom w:val="nil"/>
              <w:right w:val="nil"/>
            </w:tcBorders>
            <w:shd w:val="clear" w:color="auto" w:fill="FFFFFF"/>
            <w:tcMar>
              <w:top w:w="30" w:type="dxa"/>
              <w:left w:w="60" w:type="dxa"/>
              <w:bottom w:w="30" w:type="dxa"/>
              <w:right w:w="60" w:type="dxa"/>
            </w:tcMar>
            <w:vAlign w:val="top"/>
          </w:tcPr>
          <w:p w14:paraId="46BC78B5">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5"/>
                <w:szCs w:val="15"/>
              </w:rPr>
              <w:t>High</w:t>
            </w:r>
          </w:p>
        </w:tc>
        <w:tc>
          <w:tcPr>
            <w:tcW w:w="3866" w:type="pct"/>
            <w:tcBorders>
              <w:top w:val="nil"/>
              <w:left w:val="nil"/>
              <w:bottom w:val="nil"/>
              <w:right w:val="nil"/>
            </w:tcBorders>
            <w:shd w:val="clear" w:color="auto" w:fill="FFFFFF"/>
            <w:tcMar>
              <w:top w:w="40" w:type="dxa"/>
              <w:left w:w="70" w:type="dxa"/>
              <w:bottom w:w="40" w:type="dxa"/>
              <w:right w:w="70" w:type="dxa"/>
            </w:tcMar>
            <w:vAlign w:val="top"/>
          </w:tcPr>
          <w:p w14:paraId="5320E6EB">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Seven right-handed neurologically intact male participants (29.9 ± 5.0 years) recruited with Kyushu University Hospital IRB approval and written informed consent, with no history of neurological or psychiatric disorders and no prior BCI experience; no post-stroke patients included despite the explicit framing for post-stroke hand motor recovery, raising Participant ROB and applicability. Cortical fNIRS (Shimadzu LABNIRS, three wavelengths 780/805/830 nm, four emitter–detector pairs forming nine measurement channels around C3 with 30 mm inter-optode distance and ~20 mm depth) recorded with a real-time MACD bandpass filter (passband 0.01–0.2 Hz) and uniform preprocessing supporting Low Predictor ROB; the modality is cortical hemodynamic rather than skeletal muscle NIRS, so Predictor applicability is High for the review. Outcome (hand-closing versus hand-opening posture) is operationally defined and objective. Analysis domain is High because the very small sample (n=7) is evaluated with leave-5-out cross-validation while preserving trial order, the contrast-to-noise ratio is used to select NIRS channels on the same data later used for classification creating data-driven channel leakage, twelve feature vector compositions are crossed with nine feature window lengths (0.6 to 15 s) and eleven hemodynamic-delay values (0 to 10 s) producing a large search grid evaluated on the same dataset without correction for multiple testing, LDA hyperparameters are tuned on training data with no external validation, and the best reported accuracy (MCCRS 0.7154, latency 2.85 s) is plausibly optimistic given the search-space size relative to sample size. Applicability is High overall because participants and predictor modality are not aligned with the review's focus on skeletal muscle NIRS oxygenation in Paralympic and adaptive-sport populations, although the hand-rehabilitation BCI outcome is within the broader rehabilitation-engineering scope.</w:t>
            </w:r>
          </w:p>
        </w:tc>
      </w:tr>
      <w:tr w14:paraId="5A10CDAA">
        <w:tc>
          <w:tcPr>
            <w:tcW w:w="511" w:type="pct"/>
            <w:tcBorders>
              <w:top w:val="nil"/>
              <w:left w:val="nil"/>
              <w:bottom w:val="nil"/>
              <w:right w:val="nil"/>
            </w:tcBorders>
            <w:shd w:val="clear" w:color="auto" w:fill="FFFFFF"/>
            <w:tcMar>
              <w:top w:w="30" w:type="dxa"/>
              <w:left w:w="60" w:type="dxa"/>
              <w:bottom w:w="30" w:type="dxa"/>
              <w:right w:w="60" w:type="dxa"/>
            </w:tcMar>
            <w:vAlign w:val="top"/>
          </w:tcPr>
          <w:p w14:paraId="2D64B090">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i w:val="0"/>
                <w:iCs w:val="0"/>
                <w:color w:val="000000"/>
                <w:sz w:val="15"/>
                <w:szCs w:val="15"/>
              </w:rPr>
              <w:t>Ji X (2026)</w:t>
            </w:r>
          </w:p>
        </w:tc>
        <w:tc>
          <w:tcPr>
            <w:tcW w:w="306" w:type="pct"/>
            <w:tcBorders>
              <w:top w:val="nil"/>
              <w:left w:val="nil"/>
              <w:bottom w:val="nil"/>
              <w:right w:val="nil"/>
            </w:tcBorders>
            <w:shd w:val="clear" w:color="auto" w:fill="FFFFFF"/>
            <w:tcMar>
              <w:top w:w="30" w:type="dxa"/>
              <w:left w:w="60" w:type="dxa"/>
              <w:bottom w:w="30" w:type="dxa"/>
              <w:right w:w="60" w:type="dxa"/>
            </w:tcMar>
            <w:vAlign w:val="top"/>
          </w:tcPr>
          <w:p w14:paraId="4D11A223">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5"/>
                <w:szCs w:val="15"/>
              </w:rPr>
              <w:t>High</w:t>
            </w:r>
          </w:p>
        </w:tc>
        <w:tc>
          <w:tcPr>
            <w:tcW w:w="315" w:type="pct"/>
            <w:tcBorders>
              <w:top w:val="nil"/>
              <w:left w:val="nil"/>
              <w:bottom w:val="nil"/>
              <w:right w:val="nil"/>
            </w:tcBorders>
            <w:shd w:val="clear" w:color="auto" w:fill="FFFFFF"/>
            <w:tcMar>
              <w:top w:w="30" w:type="dxa"/>
              <w:left w:w="60" w:type="dxa"/>
              <w:bottom w:w="30" w:type="dxa"/>
              <w:right w:w="60" w:type="dxa"/>
            </w:tcMar>
            <w:vAlign w:val="top"/>
          </w:tcPr>
          <w:p w14:paraId="4CBBEF50">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5"/>
                <w:szCs w:val="15"/>
              </w:rPr>
              <w:t>High</w:t>
            </w:r>
          </w:p>
        </w:tc>
        <w:tc>
          <w:tcPr>
            <w:tcW w:w="3866" w:type="pct"/>
            <w:tcBorders>
              <w:top w:val="nil"/>
              <w:left w:val="nil"/>
              <w:bottom w:val="nil"/>
              <w:right w:val="nil"/>
            </w:tcBorders>
            <w:shd w:val="clear" w:color="auto" w:fill="FFFFFF"/>
            <w:tcMar>
              <w:top w:w="40" w:type="dxa"/>
              <w:left w:w="70" w:type="dxa"/>
              <w:bottom w:w="40" w:type="dxa"/>
              <w:right w:w="70" w:type="dxa"/>
            </w:tcMar>
            <w:vAlign w:val="top"/>
          </w:tcPr>
          <w:p w14:paraId="78F3DE20">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Fifteen healthy right-handed university students (8 female, 7 male; ages 22–29) recruited at a single university with no neurological, psychiatric or visual disorders, despite the explicit motivation of detecting fine-motor decline as a prodromal biomarker for Parkinson's disease and other neurodegenerative disorders; no Parkinson's, stroke, Paralympic or adaptive-sport cohort included, raising Participant ROB and applicability. Cortical fNIRS (Brite MKIII Artinis, 760/850 nm, 50 Hz, 24 channels over bilateral M1/PMC with 30 mm source–detector spacing) acquired uniformly with online quality control (no channels discarded), Homer2 preprocessing (EnPruneChannel, hmrMotionArtifactByChannel with std_thresh = 5 / amp_thresh = 0.05, Daubechies-2 wavelet motion correction at 4 levels with iqr = 0.1, 0–0.1 Hz band-pass, modified Beer–Lambert with hmrMotionCorrectCbsi), and feature extraction via 200-sample (4 s) sliding window with 25-sample (0.5 s) step support Low Predictor ROB; the modality is cortical hemodynamic rather than skeletal muscle NIRS, so Predictor applicability is High for the review. Outcome (five fine-motor task labels: fist clench, hand flip, paper tearing, bottle-cap twisting, chopsticks-soybean) is operationally defined and behaviour-validated against subjective complexity ratings from 100 external evaluators (Friedman χ²(4) = 188.4, p &lt; 0.001) and monotonically increasing execution times (1.09–3.45 s). Analysis domain is High because the small sample (n = 15) is evaluated with leave-one-subject-out cross-validation supplemented by three-seed multi-seed training, but RobustScaler parameters are estimated within each LOSO fold from training subjects only (good practice) while sliding-window segmentation generates highly correlated per-subject samples that inflate within-fold accuracy; the Bi-LSTM with attention (cross-entropy loss, Adam at lr = 0.001, L2 weight_decay = 5e-3, Early Stopping and Dropout) has multiple architectural and regularisation hyperparameters that are not formally tuned via nested CV, no external validation is performed, calibration of predicted probabilities is not assessed, and graph-theoretical metrics (Cp, Lp, Eg, Eloc, Cd) are reported at a single threshold (0.25) selected for stability on the same dataset. Reported AUC of 0.9720 ± 0.0431 and accuracy of 90.67% ± 7.07% are plausibly optimistic given the small sample. Applicability is High overall because the participant cohort is healthy young adults rather than Paralympic, adaptive-sport or neurodegenerative patients, and the predictor modality is cortical M1/PMC fNIRS rather than skeletal muscle NIRS oxygenation; outcome (fine-motor complexity decoding) is broadly aligned with rehabilitation/BCI applications.</w:t>
            </w:r>
          </w:p>
        </w:tc>
      </w:tr>
      <w:tr w14:paraId="01477E45">
        <w:tc>
          <w:tcPr>
            <w:tcW w:w="511" w:type="pct"/>
            <w:tcBorders>
              <w:top w:val="nil"/>
              <w:left w:val="nil"/>
              <w:bottom w:val="nil"/>
              <w:right w:val="nil"/>
            </w:tcBorders>
            <w:shd w:val="clear" w:color="auto" w:fill="FFFFFF"/>
            <w:tcMar>
              <w:top w:w="30" w:type="dxa"/>
              <w:left w:w="60" w:type="dxa"/>
              <w:bottom w:w="30" w:type="dxa"/>
              <w:right w:w="60" w:type="dxa"/>
            </w:tcMar>
            <w:vAlign w:val="top"/>
          </w:tcPr>
          <w:p w14:paraId="5CFBBD86">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i w:val="0"/>
                <w:iCs w:val="0"/>
                <w:color w:val="000000"/>
                <w:sz w:val="15"/>
                <w:szCs w:val="15"/>
              </w:rPr>
              <w:t>Ma D (2023)</w:t>
            </w:r>
          </w:p>
        </w:tc>
        <w:tc>
          <w:tcPr>
            <w:tcW w:w="306" w:type="pct"/>
            <w:tcBorders>
              <w:top w:val="nil"/>
              <w:left w:val="nil"/>
              <w:bottom w:val="nil"/>
              <w:right w:val="nil"/>
            </w:tcBorders>
            <w:shd w:val="clear" w:color="auto" w:fill="FFFFFF"/>
            <w:tcMar>
              <w:top w:w="30" w:type="dxa"/>
              <w:left w:w="60" w:type="dxa"/>
              <w:bottom w:w="30" w:type="dxa"/>
              <w:right w:w="60" w:type="dxa"/>
            </w:tcMar>
            <w:vAlign w:val="top"/>
          </w:tcPr>
          <w:p w14:paraId="09D5AC45">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5"/>
                <w:szCs w:val="15"/>
              </w:rPr>
              <w:t>High</w:t>
            </w:r>
          </w:p>
        </w:tc>
        <w:tc>
          <w:tcPr>
            <w:tcW w:w="315" w:type="pct"/>
            <w:tcBorders>
              <w:top w:val="nil"/>
              <w:left w:val="nil"/>
              <w:bottom w:val="nil"/>
              <w:right w:val="nil"/>
            </w:tcBorders>
            <w:shd w:val="clear" w:color="auto" w:fill="FFFFFF"/>
            <w:tcMar>
              <w:top w:w="30" w:type="dxa"/>
              <w:left w:w="60" w:type="dxa"/>
              <w:bottom w:w="30" w:type="dxa"/>
              <w:right w:w="60" w:type="dxa"/>
            </w:tcMar>
            <w:vAlign w:val="top"/>
          </w:tcPr>
          <w:p w14:paraId="17BCB174">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5"/>
                <w:szCs w:val="15"/>
              </w:rPr>
              <w:t>High</w:t>
            </w:r>
          </w:p>
        </w:tc>
        <w:tc>
          <w:tcPr>
            <w:tcW w:w="3866" w:type="pct"/>
            <w:tcBorders>
              <w:top w:val="nil"/>
              <w:left w:val="nil"/>
              <w:bottom w:val="nil"/>
              <w:right w:val="nil"/>
            </w:tcBorders>
            <w:shd w:val="clear" w:color="auto" w:fill="FFFFFF"/>
            <w:tcMar>
              <w:top w:w="40" w:type="dxa"/>
              <w:left w:w="70" w:type="dxa"/>
              <w:bottom w:w="40" w:type="dxa"/>
              <w:right w:w="70" w:type="dxa"/>
            </w:tcMar>
            <w:vAlign w:val="top"/>
          </w:tcPr>
          <w:p w14:paraId="79E54B5B">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Large community-dwelling older-adult cohort (n = 451, age 65+, mean 76.16 ± 6.67, 223 female) enrolled in the longitudinal CCMA study with structured telephone screening and explicit exclusion of significant vision/hearing loss, inability to ambulate independently, severe neurological/psychiatric disorders and recent medical procedures affecting mobility, with cognitive status from consensus diagnostic case conferences and RBANS index scores; the relatively healthy sample (Global Health Status 1.62 ± 1.09; RBANS 91.77 ± 11.71) and demonstrated reliability/validity of the walking paradigm support Low Participant ROB. Cortical fNIRS (fNIRS Imager 1100, 4 LED sources at 730/805/850 nm, 10 photodetectors, 2.5 cm source–detector separation, 16 voxels over PFC) acquired with standardised landmark-based 10×20 placement and synchronised with the Zeno electronic walkway via E-Prime time stamps; preprocessing includes visual inspection, Daubechies-5 level-5 wavelet denoising, age- and wavelength-adjusted DPF in the modified Beer–Lambert conversion, spline filtering with p = 0.99, and 100-tap FIR low-pass at 0.08 Hz with proximal 10-second baseline correction, supporting Low Predictor ROB; the modality is cortical hemodynamic over PFC rather than skeletal muscle NIRS, so Predictor applicability is High for the review. Outcome (single-task walk vs single-task alpha vs dual-task walk) is operationally defined via the Latin-square randomised counterbalanced protocol and walkway-determined start/end of the 6th straight walk, supporting Low Outcome ROB. Analysis domain is High because samples with up to three missing voxels are imputed by interpolation, time-series are zero-padded or truncated to 224 points and reformatted as 3 × 224 × 224 images for transfer learning from ImageNet pretrained deep CNN/ViT models with the final classifier reduced from 1000 to 3 outputs, an 8:2 train/inference split is repeated under 5-fold cross-validation but the same fixed split ratio and seven competing model architectures (ResNet-18/26, VGG-13/16, ViT-Base, MobileNetV2-050, EfficientNet-b0, ViT-Tiny, TinyNet-E) plus three baseline ML algorithms are evaluated on the same dataset and the top-three architectures are then re-used for ablation studies (dimension, hemisphere, processing configuration, padding) creating circular model selection; SMOTE-style class balancing is not described and class proportions across the three conditions are not reported, calibration is not assessed, and there is no external multicentre validation. Reported best accuracy ~81% is plausibly close to a realistic upper bound but the multi-architecture comparison without correction inflates apparent improvement over baselines. Applicability is mixed: older-adult walking and dual-task gait are within the review's rehabilitation scope (Participant Low; Outcome Low), but the predictor modality is cortical PFC fNIRS rather than skeletal muscle NIRS oxygenation (Predictor High), giving High overall applicability for this review.</w:t>
            </w:r>
          </w:p>
        </w:tc>
      </w:tr>
      <w:tr w14:paraId="31B5DCAA">
        <w:tc>
          <w:tcPr>
            <w:tcW w:w="511" w:type="pct"/>
            <w:tcBorders>
              <w:top w:val="nil"/>
              <w:left w:val="nil"/>
              <w:bottom w:val="nil"/>
              <w:right w:val="nil"/>
            </w:tcBorders>
            <w:shd w:val="clear" w:color="auto" w:fill="FFFFFF"/>
            <w:tcMar>
              <w:top w:w="30" w:type="dxa"/>
              <w:left w:w="60" w:type="dxa"/>
              <w:bottom w:w="30" w:type="dxa"/>
              <w:right w:w="60" w:type="dxa"/>
            </w:tcMar>
            <w:vAlign w:val="top"/>
          </w:tcPr>
          <w:p w14:paraId="54F41880">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i w:val="0"/>
                <w:iCs w:val="0"/>
                <w:color w:val="000000"/>
                <w:sz w:val="15"/>
                <w:szCs w:val="15"/>
              </w:rPr>
              <w:t>Ortega P (2021)</w:t>
            </w:r>
          </w:p>
        </w:tc>
        <w:tc>
          <w:tcPr>
            <w:tcW w:w="306" w:type="pct"/>
            <w:tcBorders>
              <w:top w:val="nil"/>
              <w:left w:val="nil"/>
              <w:bottom w:val="nil"/>
              <w:right w:val="nil"/>
            </w:tcBorders>
            <w:shd w:val="clear" w:color="auto" w:fill="FFFFFF"/>
            <w:tcMar>
              <w:top w:w="30" w:type="dxa"/>
              <w:left w:w="60" w:type="dxa"/>
              <w:bottom w:w="30" w:type="dxa"/>
              <w:right w:w="60" w:type="dxa"/>
            </w:tcMar>
            <w:vAlign w:val="top"/>
          </w:tcPr>
          <w:p w14:paraId="2E3DFB7A">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5"/>
                <w:szCs w:val="15"/>
              </w:rPr>
              <w:t>High</w:t>
            </w:r>
          </w:p>
        </w:tc>
        <w:tc>
          <w:tcPr>
            <w:tcW w:w="315" w:type="pct"/>
            <w:tcBorders>
              <w:top w:val="nil"/>
              <w:left w:val="nil"/>
              <w:bottom w:val="nil"/>
              <w:right w:val="nil"/>
            </w:tcBorders>
            <w:shd w:val="clear" w:color="auto" w:fill="FFFFFF"/>
            <w:tcMar>
              <w:top w:w="30" w:type="dxa"/>
              <w:left w:w="60" w:type="dxa"/>
              <w:bottom w:w="30" w:type="dxa"/>
              <w:right w:w="60" w:type="dxa"/>
            </w:tcMar>
            <w:vAlign w:val="top"/>
          </w:tcPr>
          <w:p w14:paraId="6526381F">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5"/>
                <w:szCs w:val="15"/>
              </w:rPr>
              <w:t>High</w:t>
            </w:r>
          </w:p>
        </w:tc>
        <w:tc>
          <w:tcPr>
            <w:tcW w:w="3866" w:type="pct"/>
            <w:tcBorders>
              <w:top w:val="nil"/>
              <w:left w:val="nil"/>
              <w:bottom w:val="nil"/>
              <w:right w:val="nil"/>
            </w:tcBorders>
            <w:shd w:val="clear" w:color="auto" w:fill="FFFFFF"/>
            <w:tcMar>
              <w:top w:w="40" w:type="dxa"/>
              <w:left w:w="70" w:type="dxa"/>
              <w:bottom w:w="40" w:type="dxa"/>
              <w:right w:w="70" w:type="dxa"/>
            </w:tcMar>
            <w:vAlign w:val="top"/>
          </w:tcPr>
          <w:p w14:paraId="6595B867">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Nine healthy right-handed adults (Edinburgh Handedness Inventory) recruited at a single centre with Imperial College Research Ethics Committee approval and written informed consent, with no clinical or rehabilitation cohort included despite the stated motivation that BMIs need to decode forces from both hands for paralysed end-users, raising Participant ROB and applicability. Co-aligned EEG (ActiChamp at 4 kHz, downsampled to 500 Hz, 1 Hz high-pass, notch at mains and 12.5 Hz fNIRS frequency, ICA-based EOG component rejection at |r| &gt; 0.3) and cortical fNIRS (NIRScout, 12 channels per hemisphere over bilateral sensorimotor cortex, 12.5 Hz, 0.25 Hz low-pass, modified Beer–Lambert) acquired with co-registered probe placement and synchronous force transducer recording (1 kHz, 0.01–10 Hz band-pass, normalised by maximum voluntary contraction) supporting Low Predictor ROB; the modality is cortical hemodynamic plus EEG rather than skeletal muscle NIRS, so Predictor applicability is High for the review. Outcome (continuous bimanual force trajectory reconstruction with hand-specific dynamic targets in conditions 2–5) is operationally defined and instrument-recorded, with hand disentanglement and force detection metrics computed against the measured force as ground truth, supporting Low Outcome ROB. Analysis domain is High because the very small sample (n = 9) is evaluated with per-subject 5-fold cross-validation while five competing models (linear, cnnatt with raw EEG, cnnatt with Hilbert features, cnnatt-lstm, cnnatt-mdn) are compared on the same data, the 800 ms input window length and 5-fold split ratio are fixed at the group level rather than nested CV-tuned, the deep architecture (residual + self-attention modules with ELU/normalisation, FC, LSTM or MDN heads) involves many architectural choices selected on the same data used for evaluation, sensitivity and saliency analyses are conducted on the trained model with no held-out cohort, no external validation, and Spearman correlation, FVAF, force detection accuracy and hand disentanglement accuracy are reported across multiple metrics and conditions without correction for multiple testing. Reported FVAF ≈ 55% (cnnatt) and FDAcc ≈ 86% are plausibly optimistic given the small sample and within-subject window-level evaluation. Applicability is High overall because participants are healthy young adults rather than paralysed end-users, Paralympic, adaptive-sport or stroke cohorts, and the predictor modality is co-registered EEG+cortical fNIRS rather than skeletal muscle NIRS oxygenation; the bimanual force-decoding outcome is broadly relevant to rehabilitation BCI.</w:t>
            </w:r>
          </w:p>
        </w:tc>
      </w:tr>
      <w:tr w14:paraId="13D82D8B">
        <w:tc>
          <w:tcPr>
            <w:tcW w:w="511" w:type="pct"/>
            <w:tcBorders>
              <w:top w:val="nil"/>
              <w:left w:val="nil"/>
              <w:bottom w:val="nil"/>
              <w:right w:val="nil"/>
            </w:tcBorders>
            <w:shd w:val="clear" w:color="auto" w:fill="FFFFFF"/>
            <w:tcMar>
              <w:top w:w="30" w:type="dxa"/>
              <w:left w:w="60" w:type="dxa"/>
              <w:bottom w:w="30" w:type="dxa"/>
              <w:right w:w="60" w:type="dxa"/>
            </w:tcMar>
            <w:vAlign w:val="top"/>
          </w:tcPr>
          <w:p w14:paraId="5A9796A3">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i w:val="0"/>
                <w:iCs w:val="0"/>
                <w:color w:val="000000"/>
                <w:sz w:val="15"/>
                <w:szCs w:val="15"/>
              </w:rPr>
              <w:t>Syed AU (2023)</w:t>
            </w:r>
          </w:p>
        </w:tc>
        <w:tc>
          <w:tcPr>
            <w:tcW w:w="306" w:type="pct"/>
            <w:tcBorders>
              <w:top w:val="nil"/>
              <w:left w:val="nil"/>
              <w:bottom w:val="nil"/>
              <w:right w:val="nil"/>
            </w:tcBorders>
            <w:shd w:val="clear" w:color="auto" w:fill="FFFFFF"/>
            <w:tcMar>
              <w:top w:w="30" w:type="dxa"/>
              <w:left w:w="60" w:type="dxa"/>
              <w:bottom w:w="30" w:type="dxa"/>
              <w:right w:w="60" w:type="dxa"/>
            </w:tcMar>
            <w:vAlign w:val="top"/>
          </w:tcPr>
          <w:p w14:paraId="51E20F56">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5"/>
                <w:szCs w:val="15"/>
              </w:rPr>
              <w:t>High</w:t>
            </w:r>
          </w:p>
        </w:tc>
        <w:tc>
          <w:tcPr>
            <w:tcW w:w="315" w:type="pct"/>
            <w:tcBorders>
              <w:top w:val="nil"/>
              <w:left w:val="nil"/>
              <w:bottom w:val="nil"/>
              <w:right w:val="nil"/>
            </w:tcBorders>
            <w:shd w:val="clear" w:color="auto" w:fill="FFFFFF"/>
            <w:tcMar>
              <w:top w:w="30" w:type="dxa"/>
              <w:left w:w="60" w:type="dxa"/>
              <w:bottom w:w="30" w:type="dxa"/>
              <w:right w:w="60" w:type="dxa"/>
            </w:tcMar>
            <w:vAlign w:val="top"/>
          </w:tcPr>
          <w:p w14:paraId="49BCD651">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5"/>
                <w:szCs w:val="15"/>
              </w:rPr>
              <w:t>High</w:t>
            </w:r>
          </w:p>
        </w:tc>
        <w:tc>
          <w:tcPr>
            <w:tcW w:w="3866" w:type="pct"/>
            <w:tcBorders>
              <w:top w:val="nil"/>
              <w:left w:val="nil"/>
              <w:bottom w:val="nil"/>
              <w:right w:val="nil"/>
            </w:tcBorders>
            <w:shd w:val="clear" w:color="auto" w:fill="FFFFFF"/>
            <w:tcMar>
              <w:top w:w="40" w:type="dxa"/>
              <w:left w:w="70" w:type="dxa"/>
              <w:bottom w:w="40" w:type="dxa"/>
              <w:right w:w="70" w:type="dxa"/>
            </w:tcMar>
            <w:vAlign w:val="top"/>
          </w:tcPr>
          <w:p w14:paraId="2FAF0B1B">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Twenty healthy adults (15 male, 5 female; age 32 ± 5.67) and four trans-humeral amputee subjects (all male; ages 23–45; residual length 10–18 cm; cause of amputation accident in three and diabetes in one) recruited with Air University Human Research Ethics Committee approval and written informed consent, with the inclusion of an amputee cohort directly relevant to the prosthetic-arm rehabilitation framing supporting Low Participant ROB and applicability for the review's adaptive-population scope. Hybrid sEMG (Thalmic Labs Myo armband, 8 sEMG sensors at 200 Hz with 9-axis IMU, applied to bicep or residual muscle just above the elbow joint) and cortical fNIRS (NIRSport NIRx, 8 sources/8 detectors, 20 channels at 7.81 Hz over the motor cortex with fOLD-derived probe arrangement at 15% specificity threshold) acquired in a dark, controlled room with synchronous data logging and standardised preprocessing (z-score electrode selection at 48 mV for healthy and 16 mV for amputees; FIR filtering; modified Beer–Lambert with DPF; nirslab toolbox), supporting Low Predictor ROB; however the cortical fNIRS modality is hemodynamic over motor cortex rather than skeletal muscle NIRS oxygenation, so Predictor applicability is High for the review. Outcome (eight upper-limb motion classes: EE, EF, WS, WP, WE, WF, HO, HC) is operationally defined and visually cued, with hand-class motions HO/HC contributed primarily by fNIRS owing to weak sEMG bicep representation. Analysis domain is High because the small sample (24 subjects total, of whom only 4 are amputees) is split into batches with varying train/validation/test proportions (60/20/20 or 70/20/10) and overfitting is observed at some batch sizes; the proposed PP(β) preprocessing function combining moment-based number-of-peaks and total power is applied to all signals before training, the CNN architecture (three conv layers with kernel sizes 7/5/3, max-pool of 2, two FC layers, softmax over 8 classes; Adam optimiser; cross-entropy loss) is selected and tuned on the same dataset with no nested CV or external validation, the comparison against LDA/SVM/k-NN/ANN/RF baselines is performed on the same splits, sliding-window segmentation creates dependent samples within subjects, the windowing scheme (150 ms for sEMG, 1 s for fNIRS) is selected without formal optimisation, calibration of predicted probabilities is not assessed, and the 94.5% average and 98% best per-subject accuracy are plausibly optimistic given the small amputee sample (n = 4) and within-subject window-level evaluation. Applicability is mixed: trans-humeral amputee participants and upper-limb prosthetic-control outcomes (Participant Low, Outcome Low) align with the review's adaptive-population scope, but the predictor modality is hybrid sEMG plus cortical fNIRS rather than skeletal muscle NIRS oxygenation (Predictor High), giving High overall applicability.</w:t>
            </w:r>
          </w:p>
        </w:tc>
      </w:tr>
      <w:tr w14:paraId="11BD9B2B">
        <w:tc>
          <w:tcPr>
            <w:tcW w:w="511" w:type="pct"/>
            <w:tcBorders>
              <w:top w:val="nil"/>
              <w:left w:val="nil"/>
              <w:bottom w:val="nil"/>
              <w:right w:val="nil"/>
            </w:tcBorders>
            <w:shd w:val="clear" w:color="auto" w:fill="FFFFFF"/>
            <w:tcMar>
              <w:top w:w="30" w:type="dxa"/>
              <w:left w:w="60" w:type="dxa"/>
              <w:bottom w:w="30" w:type="dxa"/>
              <w:right w:w="60" w:type="dxa"/>
            </w:tcMar>
            <w:vAlign w:val="top"/>
          </w:tcPr>
          <w:p w14:paraId="60EA95F4">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i w:val="0"/>
                <w:iCs w:val="0"/>
                <w:color w:val="000000"/>
                <w:sz w:val="15"/>
                <w:szCs w:val="15"/>
              </w:rPr>
              <w:t>Li C (2020)</w:t>
            </w:r>
          </w:p>
        </w:tc>
        <w:tc>
          <w:tcPr>
            <w:tcW w:w="306" w:type="pct"/>
            <w:tcBorders>
              <w:top w:val="nil"/>
              <w:left w:val="nil"/>
              <w:bottom w:val="nil"/>
              <w:right w:val="nil"/>
            </w:tcBorders>
            <w:shd w:val="clear" w:color="auto" w:fill="FFFFFF"/>
            <w:tcMar>
              <w:top w:w="30" w:type="dxa"/>
              <w:left w:w="60" w:type="dxa"/>
              <w:bottom w:w="30" w:type="dxa"/>
              <w:right w:w="60" w:type="dxa"/>
            </w:tcMar>
            <w:vAlign w:val="top"/>
          </w:tcPr>
          <w:p w14:paraId="08B3FD2E">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5"/>
                <w:szCs w:val="15"/>
              </w:rPr>
              <w:t>High</w:t>
            </w:r>
          </w:p>
        </w:tc>
        <w:tc>
          <w:tcPr>
            <w:tcW w:w="315" w:type="pct"/>
            <w:tcBorders>
              <w:top w:val="nil"/>
              <w:left w:val="nil"/>
              <w:bottom w:val="nil"/>
              <w:right w:val="nil"/>
            </w:tcBorders>
            <w:shd w:val="clear" w:color="auto" w:fill="FFFFFF"/>
            <w:tcMar>
              <w:top w:w="30" w:type="dxa"/>
              <w:left w:w="60" w:type="dxa"/>
              <w:bottom w:w="30" w:type="dxa"/>
              <w:right w:w="60" w:type="dxa"/>
            </w:tcMar>
            <w:vAlign w:val="top"/>
          </w:tcPr>
          <w:p w14:paraId="2FB361CB">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5"/>
                <w:szCs w:val="15"/>
              </w:rPr>
              <w:t>High</w:t>
            </w:r>
          </w:p>
        </w:tc>
        <w:tc>
          <w:tcPr>
            <w:tcW w:w="3866" w:type="pct"/>
            <w:tcBorders>
              <w:top w:val="nil"/>
              <w:left w:val="nil"/>
              <w:bottom w:val="nil"/>
              <w:right w:val="nil"/>
            </w:tcBorders>
            <w:shd w:val="clear" w:color="auto" w:fill="FFFFFF"/>
            <w:tcMar>
              <w:top w:w="40" w:type="dxa"/>
              <w:left w:w="70" w:type="dxa"/>
              <w:bottom w:w="40" w:type="dxa"/>
              <w:right w:w="70" w:type="dxa"/>
            </w:tcMar>
            <w:vAlign w:val="top"/>
          </w:tcPr>
          <w:p w14:paraId="34D641D1">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Thirty healthy university students (16 male; age 32 ± 5.67) recruited at Soochow University with informed consent, despite the explicit motivation of restoring independent walking in elderly persons with motor dysfunction; no elderly, stroke, Parkinson's or other clinical rehabilitation cohort included, raising Participant ROB and applicability. Cortical fNIRS (LightNIRS Shimadzu, 13.33 Hz, 20 channels over PFC/PMC/SMA with 10–20 placement) acquired with standardised whole-head holder positioning and uniform preprocessing including Chebyshev type-II IIR band-pass into five sub-bands (0.0095–0.021, 0.021–0.052, 0.052–0.145, 0.145–0.6, 0.6–2 Hz) and z-score transformation against the first 20 s of each task as baseline, with Teager–Kaiser energy computed at each sampling point as the predictor feature, supporting Low Predictor ROB; the modality is cortical hemodynamic over PFC/PMC/SMA rather than skeletal muscle NIRS oxygenation, so Predictor applicability is High for the review. Outcome (onset of self-paced walking intention versus rest) is operationally defined as the moment at which the experimenter manually marks the start of walking using the LightNIRS software, with subjects performing 8 walking tasks of approximately 21 m each and rest periods controlled by the subjects themselves but not less than 30 s. Analysis domain is High because the very large per-subject sample (~9000 sliding-window samples per subject across 8 tasks) is highly imbalanced (negative rest samples ≫ positive walking samples) and is evaluated with Group K-Fold cross-validation rather than the conventional Leave-One-Out due to computational cost, but the smoothing-window length and probability threshold are tuned via grid search (window 1–20 points, threshold 0.1–0.9 in 0.01 increments) on the cross-validation set with metric f = ((1 − TPRcv) + FPRcv)/2 directly used to select these hyperparameters before pseudo-online testing on the remaining 10 subjects; the 4-point window and 0.45 threshold are therefore selected on the same cross-validation data later used to report performance, and the comparison of GBDT against random forest, logistic regression and LDA on the same data inflates the apparent advantage. Pseudo-online TPR of 100% (80/80) and FPR of 2.91% are plausibly optimistic because samples within walking trials are not independent and the experimenter manual marking introduces a 0–0.5 s lead/lag uncertainty in the reference timing. No external validation, no calibration assessment, and no formal correction for the multi-band feature comparison. Applicability is High overall because the target population is Paralympic and adaptive-sport athletes and clinical rehabilitation cohorts rather than healthy young university students, and the predictor modality is cortical fNIRS rather than skeletal muscle NIRS oxygenation; outcome (self-paced walking intention) is broadly aligned with rehabilitation/assistive-device control.</w:t>
            </w:r>
          </w:p>
        </w:tc>
      </w:tr>
      <w:tr w14:paraId="6C5BC398">
        <w:tc>
          <w:tcPr>
            <w:tcW w:w="511" w:type="pct"/>
            <w:tcBorders>
              <w:top w:val="nil"/>
              <w:left w:val="nil"/>
              <w:bottom w:val="nil"/>
              <w:right w:val="nil"/>
            </w:tcBorders>
            <w:shd w:val="clear" w:color="auto" w:fill="FFFFFF"/>
            <w:tcMar>
              <w:top w:w="30" w:type="dxa"/>
              <w:left w:w="60" w:type="dxa"/>
              <w:bottom w:w="30" w:type="dxa"/>
              <w:right w:w="60" w:type="dxa"/>
            </w:tcMar>
            <w:vAlign w:val="top"/>
          </w:tcPr>
          <w:p w14:paraId="1001BFA3">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i w:val="0"/>
                <w:iCs w:val="0"/>
                <w:color w:val="000000"/>
                <w:sz w:val="15"/>
                <w:szCs w:val="15"/>
              </w:rPr>
              <w:t>Zimmermann R (2013)</w:t>
            </w:r>
          </w:p>
        </w:tc>
        <w:tc>
          <w:tcPr>
            <w:tcW w:w="306" w:type="pct"/>
            <w:tcBorders>
              <w:top w:val="nil"/>
              <w:left w:val="nil"/>
              <w:bottom w:val="nil"/>
              <w:right w:val="nil"/>
            </w:tcBorders>
            <w:shd w:val="clear" w:color="auto" w:fill="FFFFFF"/>
            <w:tcMar>
              <w:top w:w="30" w:type="dxa"/>
              <w:left w:w="60" w:type="dxa"/>
              <w:bottom w:w="30" w:type="dxa"/>
              <w:right w:w="60" w:type="dxa"/>
            </w:tcMar>
            <w:vAlign w:val="top"/>
          </w:tcPr>
          <w:p w14:paraId="45A33FF3">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5"/>
                <w:szCs w:val="15"/>
              </w:rPr>
              <w:t>High</w:t>
            </w:r>
          </w:p>
        </w:tc>
        <w:tc>
          <w:tcPr>
            <w:tcW w:w="315" w:type="pct"/>
            <w:tcBorders>
              <w:top w:val="nil"/>
              <w:left w:val="nil"/>
              <w:bottom w:val="nil"/>
              <w:right w:val="nil"/>
            </w:tcBorders>
            <w:shd w:val="clear" w:color="auto" w:fill="FFFFFF"/>
            <w:tcMar>
              <w:top w:w="30" w:type="dxa"/>
              <w:left w:w="60" w:type="dxa"/>
              <w:bottom w:w="30" w:type="dxa"/>
              <w:right w:w="60" w:type="dxa"/>
            </w:tcMar>
            <w:vAlign w:val="top"/>
          </w:tcPr>
          <w:p w14:paraId="6B511459">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5"/>
                <w:szCs w:val="15"/>
              </w:rPr>
              <w:t>High</w:t>
            </w:r>
          </w:p>
        </w:tc>
        <w:tc>
          <w:tcPr>
            <w:tcW w:w="3866" w:type="pct"/>
            <w:tcBorders>
              <w:top w:val="nil"/>
              <w:left w:val="nil"/>
              <w:bottom w:val="nil"/>
              <w:right w:val="nil"/>
            </w:tcBorders>
            <w:shd w:val="clear" w:color="auto" w:fill="FFFFFF"/>
            <w:tcMar>
              <w:top w:w="40" w:type="dxa"/>
              <w:left w:w="70" w:type="dxa"/>
              <w:bottom w:w="40" w:type="dxa"/>
              <w:right w:w="70" w:type="dxa"/>
            </w:tcMar>
            <w:vAlign w:val="top"/>
          </w:tcPr>
          <w:p w14:paraId="35B62282">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Seven healthy volunteers (mean 26.0 ± 2.2 years, one female) recruited from members of the laboratories involved in the project with ETH Zurich institutional ethical approval and written informed consent, despite the explicit motor-rehabilitation motivation for severely paretic post-stroke patients; no stroke, spinal-cord-injury or other clinical rehabilitation cohort included, raising Participant ROB and applicability. Cortical fNIRS (Oxiplex TS ISS, 692/834 nm, 16 raw intensity signals from 8 light paths × 2 wavelengths covering left M1 and PMv with 4 source–detector distances of 2.0–4.0 cm) acquired with standardised 10–20 placement and probe-on-scalp self-adhesive bandage fixation, downsampled to 5 Hz, motion-artifact detected via inverse z-score sliding window with empirically set threshold of 3 after visual inspection, modified Beer–Lambert law with DPF = 6.51/5.86, second-order Chebyshev type-II low-pass at 0.5 Hz and high-pass at 1/54 Hz via direct cosine transform truncation; biosignals (mean blood pressure from CNAP 500, ECG, breathing rate from nasal thermistor, skin conductance response from g.GSRsensor; 600 Hz acquisition with g.USBamp) preprocessed with band-pass filtering and adaptive QRS thresholding for HR detection, with the linear-combination feature extraction step using only training data for β-weight estimation. Supporting Low Predictor ROB; the modality is cortical hemodynamic plus systemic ANS biosignals rather than skeletal muscle NIRS oxygenation, so Predictor applicability is High for the review. Outcome (isometric finger pinching versus rest, with auxiliary cued and sham conditions excluded from the main analysis as no significant cue effect was observed) is operationally defined and force-transducer-recorded, supporting Low Outcome ROB. Analysis domain is High because the very small sample (n = 7) is evaluated with subject-specific dual HMM classifiers (one per class, left-to-right Markov topology) whose number of states (1–5) and number of Gaussian mixtures per state (1 or 2) are exhaustively swept across 10 topologies per subject and the topology with maximum mean accuracy is selected for each subject, training is repeated 10 times per topology with k-means initialisation and the model combination maximising a weighted training accuracy κ is then chosen, 4-fold cross-validation is repeated 7 times to mitigate stochastic variance, and the binary classification accuracy difference between the fNIRS-only and fNIRS-plus-biosignals classifiers is tested with paired t-tests at the subject level — none of these steps include nested cross-validation or external validation, calibration is not formally assessed, biosignal data are missing for both sessions of subject 1 and session 2 of subject 6 reducing the comparable hybrid-vs-unimodal sample to 5–6 subjects, and the per-subject hyperparameter optimisation effectively tunes the classifier to each test cohort. Reported mean accuracy of 88.5% with biosignals (vs 79.4% without) is plausibly optimistic given the small sample and the topology selection on the same data. Applicability is High overall because participants are healthy young adults rather than stroke or other clinical rehabilitation cohorts, and the predictor modality is cortical M1/PMv fNIRS combined with ANS biosignals rather than skeletal muscle NIRS oxygenation; outcome (isometric pinching motor-execution detection) is broadly aligned with rehabilitation BCI.</w:t>
            </w:r>
          </w:p>
        </w:tc>
      </w:tr>
      <w:tr w14:paraId="0193CB25">
        <w:tc>
          <w:tcPr>
            <w:tcW w:w="511" w:type="pct"/>
            <w:tcBorders>
              <w:top w:val="nil"/>
              <w:left w:val="nil"/>
              <w:bottom w:val="nil"/>
              <w:right w:val="nil"/>
            </w:tcBorders>
            <w:shd w:val="clear" w:color="auto" w:fill="FFFFFF"/>
            <w:tcMar>
              <w:top w:w="30" w:type="dxa"/>
              <w:left w:w="60" w:type="dxa"/>
              <w:bottom w:w="30" w:type="dxa"/>
              <w:right w:w="60" w:type="dxa"/>
            </w:tcMar>
            <w:vAlign w:val="top"/>
          </w:tcPr>
          <w:p w14:paraId="4F026589">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i w:val="0"/>
                <w:iCs w:val="0"/>
                <w:color w:val="000000"/>
                <w:sz w:val="15"/>
                <w:szCs w:val="15"/>
              </w:rPr>
              <w:t>Lin J (2026)</w:t>
            </w:r>
          </w:p>
        </w:tc>
        <w:tc>
          <w:tcPr>
            <w:tcW w:w="306" w:type="pct"/>
            <w:tcBorders>
              <w:top w:val="nil"/>
              <w:left w:val="nil"/>
              <w:bottom w:val="nil"/>
              <w:right w:val="nil"/>
            </w:tcBorders>
            <w:shd w:val="clear" w:color="auto" w:fill="FFFFFF"/>
            <w:tcMar>
              <w:top w:w="30" w:type="dxa"/>
              <w:left w:w="60" w:type="dxa"/>
              <w:bottom w:w="30" w:type="dxa"/>
              <w:right w:w="60" w:type="dxa"/>
            </w:tcMar>
            <w:vAlign w:val="top"/>
          </w:tcPr>
          <w:p w14:paraId="64460A13">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5"/>
                <w:szCs w:val="15"/>
              </w:rPr>
              <w:t>High</w:t>
            </w:r>
          </w:p>
        </w:tc>
        <w:tc>
          <w:tcPr>
            <w:tcW w:w="315" w:type="pct"/>
            <w:tcBorders>
              <w:top w:val="nil"/>
              <w:left w:val="nil"/>
              <w:bottom w:val="nil"/>
              <w:right w:val="nil"/>
            </w:tcBorders>
            <w:shd w:val="clear" w:color="auto" w:fill="FFFFFF"/>
            <w:tcMar>
              <w:top w:w="30" w:type="dxa"/>
              <w:left w:w="60" w:type="dxa"/>
              <w:bottom w:w="30" w:type="dxa"/>
              <w:right w:w="60" w:type="dxa"/>
            </w:tcMar>
            <w:vAlign w:val="top"/>
          </w:tcPr>
          <w:p w14:paraId="0F3A8646">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5"/>
                <w:szCs w:val="15"/>
              </w:rPr>
              <w:t>High</w:t>
            </w:r>
          </w:p>
        </w:tc>
        <w:tc>
          <w:tcPr>
            <w:tcW w:w="3866" w:type="pct"/>
            <w:tcBorders>
              <w:top w:val="nil"/>
              <w:left w:val="nil"/>
              <w:bottom w:val="nil"/>
              <w:right w:val="nil"/>
            </w:tcBorders>
            <w:shd w:val="clear" w:color="auto" w:fill="FFFFFF"/>
            <w:tcMar>
              <w:top w:w="40" w:type="dxa"/>
              <w:left w:w="70" w:type="dxa"/>
              <w:bottom w:w="40" w:type="dxa"/>
              <w:right w:w="70" w:type="dxa"/>
            </w:tcMar>
            <w:vAlign w:val="top"/>
          </w:tcPr>
          <w:p w14:paraId="04D6AEBC">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Twenty-seven subacute hemiplegic stroke patients (within three months of first ischaemic stroke, unilateral lesions, Brunnstrom I–V, MMSE &gt; 21) and 13 age-matched healthy controls recruited at Tianjin Union Medical Center with single-centre randomised controlled trial design (Ethics Committee No. 2023C34), with explicit clinical inclusion/exclusion criteria, baseline demographic equivalence between rTMS and sham groups, and CT/MRI-confirmed diagnosis supporting Low Participant ROB and Low applicability for the review's clinical rehabilitation scope; six patients withdrew for personal reasons and two were excluded for poor signal quality, leaving 11 rTMS and 8 sham analysed (a per-protocol rather than intention-to-treat analysis), and only male patients with adequate hair characteristics could be reliably recorded with fNIRS so the cohort is implicitly skewed. Concurrent EEG (Neuroscan SynAmps2, 64-channel international 10–10 at 1000 Hz with electrode impedance &lt; 10 kΩ) and cortical fNIRS (Nirsmart, 17 sources/16 detectors, 43 channels at 11 Hz, 760/850 nm covering prefrontal, motor and occipital cortices with 3 cm inter-optode distance) acquired synchronously via trigger box with a custom co-registered cap, source-reconstructed to a unified MNI-ICBM152 cortical space (BEM head model with OpenMEEG for EEG and Monte Carlo simulation with 10⁸ photons for fNIRS sensitivity, sLORETA inverse for EEG and depth-weighted MNE for fNIRS) and parcellated to 50 overlapping ROIs from the Brodmann atlas; the multilayer-network construction with linear least-squares deconvolution-derived subject-specific HRF and Pearson-based NVC inter-layer edges is methodologically novel but the predictor modality is cortical hemodynamic plus EEG rather than skeletal muscle NIRS oxygenation, so Predictor ROB is rated High for the review's construct of interest and Predictor applicability is High. Primary outcome (Fugl-Meyer Upper Extremity score change after 15-day intervention, supplemented by Mediapipe-extracted hand-grasp amplitude as a behavioural biomarker) is a clinically validated assessor-administered scale, supporting Low Outcome ROB and applicability. Analysis domain is High because the very small final sample (n = 11 rTMS vs n = 8 sham) is evaluated with leave-one-out cross-validation using random forest regression (100 trees) and SVR (RBF kernel, grid-search hyperparameter optimisation) to predict FMA-UE improvement from six selected multilayer-network features (MND, MPC, MCC values in the affected hemisphere and laterality), but the feature selection draws from many candidate metrics across two hemispheres and a broad threshold range (10–30% edge density, 0.5% step) and the multiplex network parameters are computed on the same data later used for evaluation; multiple Wilcoxon comparisons (rTMS vs sham, day 1 vs day 15, healthy vs stroke baseline) are FDR-corrected at p &lt; 0.05 but the regression-based outcome prediction is not corrected for multiplicity, the 20.36% NMAE reduction over unimodal baselines is averaged across two regressors and is plausibly optimistic given the within-subject single-centre design, and there is no external multicentre validation or formal calibration assessment. The reported correlations (R = 0.600 for ΔPCC and ΔFMA, R = 0.618 for ΔMCC and ΔFMA) are based on small-sample Spearman analyses and need replication in larger cohorts. Applicability is mixed: subacute-stroke participants and FMA-UE outcome (Participant Low, Outcome Low) are within the review's clinical rehabilitation scope, but cortical EEG-fNIRS multilayer connectivity (Predictor High) does not match the skeletal muscle NIRS oxygenation construct of this review, giving High overall applicability.</w:t>
            </w:r>
          </w:p>
        </w:tc>
      </w:tr>
      <w:tr w14:paraId="27DAC585">
        <w:tc>
          <w:tcPr>
            <w:tcW w:w="511" w:type="pct"/>
            <w:tcBorders>
              <w:top w:val="nil"/>
              <w:left w:val="nil"/>
              <w:bottom w:val="nil"/>
              <w:right w:val="nil"/>
            </w:tcBorders>
            <w:shd w:val="clear" w:color="auto" w:fill="FFFFFF"/>
            <w:tcMar>
              <w:top w:w="30" w:type="dxa"/>
              <w:left w:w="60" w:type="dxa"/>
              <w:bottom w:w="30" w:type="dxa"/>
              <w:right w:w="60" w:type="dxa"/>
            </w:tcMar>
            <w:vAlign w:val="top"/>
          </w:tcPr>
          <w:p w14:paraId="0482CEE4">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i w:val="0"/>
                <w:iCs w:val="0"/>
                <w:color w:val="000000"/>
                <w:sz w:val="15"/>
                <w:szCs w:val="15"/>
              </w:rPr>
              <w:t>Minhas HS (2024)</w:t>
            </w:r>
          </w:p>
        </w:tc>
        <w:tc>
          <w:tcPr>
            <w:tcW w:w="306" w:type="pct"/>
            <w:tcBorders>
              <w:top w:val="nil"/>
              <w:left w:val="nil"/>
              <w:bottom w:val="nil"/>
              <w:right w:val="nil"/>
            </w:tcBorders>
            <w:shd w:val="clear" w:color="auto" w:fill="FFFFFF"/>
            <w:tcMar>
              <w:top w:w="30" w:type="dxa"/>
              <w:left w:w="60" w:type="dxa"/>
              <w:bottom w:w="30" w:type="dxa"/>
              <w:right w:w="60" w:type="dxa"/>
            </w:tcMar>
            <w:vAlign w:val="top"/>
          </w:tcPr>
          <w:p w14:paraId="1BDE3C48">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5"/>
                <w:szCs w:val="15"/>
              </w:rPr>
              <w:t>High</w:t>
            </w:r>
          </w:p>
        </w:tc>
        <w:tc>
          <w:tcPr>
            <w:tcW w:w="315" w:type="pct"/>
            <w:tcBorders>
              <w:top w:val="nil"/>
              <w:left w:val="nil"/>
              <w:bottom w:val="nil"/>
              <w:right w:val="nil"/>
            </w:tcBorders>
            <w:shd w:val="clear" w:color="auto" w:fill="FFFFFF"/>
            <w:tcMar>
              <w:top w:w="30" w:type="dxa"/>
              <w:left w:w="60" w:type="dxa"/>
              <w:bottom w:w="30" w:type="dxa"/>
              <w:right w:w="60" w:type="dxa"/>
            </w:tcMar>
            <w:vAlign w:val="top"/>
          </w:tcPr>
          <w:p w14:paraId="78C05E2F">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5"/>
                <w:szCs w:val="15"/>
              </w:rPr>
              <w:t>High</w:t>
            </w:r>
          </w:p>
        </w:tc>
        <w:tc>
          <w:tcPr>
            <w:tcW w:w="3866" w:type="pct"/>
            <w:tcBorders>
              <w:top w:val="nil"/>
              <w:left w:val="nil"/>
              <w:bottom w:val="nil"/>
              <w:right w:val="nil"/>
            </w:tcBorders>
            <w:shd w:val="clear" w:color="auto" w:fill="FFFFFF"/>
            <w:tcMar>
              <w:top w:w="40" w:type="dxa"/>
              <w:left w:w="70" w:type="dxa"/>
              <w:bottom w:w="40" w:type="dxa"/>
              <w:right w:w="70" w:type="dxa"/>
            </w:tcMar>
            <w:vAlign w:val="top"/>
          </w:tcPr>
          <w:p w14:paraId="71B1DBDB">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Twenty healthy young participants (mean age 22.5 years) recruited at a single centre (Air University, Approval No. AU/EA/2021/03/002) with screening for cardiovascular, neurological and visual disorders and written informed consent, but no stroke, spinal cord injury, Paralympic, adaptive-sport or other gait-impaired clinical cohort included despite the explicit framing for lower-limb exoskeleton gait rehabilitation, raising Participant ROB and applicability. Cortical fNIRS (NIRSport2 continuous-wave system, 760/850 nm, 8 sources/8 detectors yielding 20 channels at 3 cm spacing over the motor cortex aligned to the EEG 10-20 system) acquired uniformly with Satori 2.0 preprocessing (Butterworth band-pass 0.01–0.3 Hz, modified Beer–Lambert with differential path-length factor) supports Low Predictor ROB; the modality is cortical hemodynamic rather than skeletal muscle NIRS, so Predictor applicability is High for the review. Outcome (walking versus rest task state during 20 s treadmill bouts cued via PsychoPy) is operationally defined and objective. Analysis domain is High because the small sample (n = 20) is evaluated with 10-fold cross-validation while the optimal feature combination was selected by exhaustively comparing all three-, four-, five- and six-feature subsets of {mean, peak, variance, skewness, kurtosis, slope} on the same dataset and the best-performing six-feature combination then declared optimal via post-hoc t-test (p &lt; 0.0141), the optimal k for kNN was tuned via the elbow method on the same data, the simulated-online evaluation feeds one held-out trial per participant through a 2.5 s sliding window with 0.5 s overlap producing dependent windowed samples, no leave-one-subject-out or external validation, no calibration of predicted probabilities, and the reported 88.19 ± 2.55% offline and 97.54% simulated-online accuracies are plausibly optimistic given the within-subject feature- and hyperparameter-selection circularity. Applicability is High overall because the participant cohort is healthy young adults rather than Paralympic, adaptive-sport or rehabilitation patients, and the predictor modality is cortical motor-cortex fNIRS rather than skeletal muscle NIRS oxygenation; outcome (walking-intent state for exoskeleton control) is broadly aligned with rehabilitation/assistive-device applications.</w:t>
            </w:r>
          </w:p>
        </w:tc>
      </w:tr>
      <w:tr w14:paraId="6B2AC1FA">
        <w:tc>
          <w:tcPr>
            <w:tcW w:w="511" w:type="pct"/>
            <w:tcBorders>
              <w:top w:val="nil"/>
              <w:left w:val="nil"/>
              <w:bottom w:val="nil"/>
              <w:right w:val="nil"/>
            </w:tcBorders>
            <w:shd w:val="clear" w:color="auto" w:fill="FFFFFF"/>
            <w:tcMar>
              <w:top w:w="30" w:type="dxa"/>
              <w:left w:w="60" w:type="dxa"/>
              <w:bottom w:w="30" w:type="dxa"/>
              <w:right w:w="60" w:type="dxa"/>
            </w:tcMar>
            <w:vAlign w:val="top"/>
          </w:tcPr>
          <w:p w14:paraId="690D9FA2">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i w:val="0"/>
                <w:iCs w:val="0"/>
                <w:color w:val="000000"/>
                <w:sz w:val="15"/>
                <w:szCs w:val="15"/>
              </w:rPr>
              <w:t>Baradaran Y (2026)</w:t>
            </w:r>
          </w:p>
        </w:tc>
        <w:tc>
          <w:tcPr>
            <w:tcW w:w="306" w:type="pct"/>
            <w:tcBorders>
              <w:top w:val="nil"/>
              <w:left w:val="nil"/>
              <w:bottom w:val="nil"/>
              <w:right w:val="nil"/>
            </w:tcBorders>
            <w:shd w:val="clear" w:color="auto" w:fill="FFFFFF"/>
            <w:tcMar>
              <w:top w:w="30" w:type="dxa"/>
              <w:left w:w="60" w:type="dxa"/>
              <w:bottom w:w="30" w:type="dxa"/>
              <w:right w:w="60" w:type="dxa"/>
            </w:tcMar>
            <w:vAlign w:val="top"/>
          </w:tcPr>
          <w:p w14:paraId="584395AD">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5"/>
                <w:szCs w:val="15"/>
              </w:rPr>
              <w:t>High</w:t>
            </w:r>
          </w:p>
        </w:tc>
        <w:tc>
          <w:tcPr>
            <w:tcW w:w="315" w:type="pct"/>
            <w:tcBorders>
              <w:top w:val="nil"/>
              <w:left w:val="nil"/>
              <w:bottom w:val="nil"/>
              <w:right w:val="nil"/>
            </w:tcBorders>
            <w:shd w:val="clear" w:color="auto" w:fill="FFFFFF"/>
            <w:tcMar>
              <w:top w:w="30" w:type="dxa"/>
              <w:left w:w="60" w:type="dxa"/>
              <w:bottom w:w="30" w:type="dxa"/>
              <w:right w:w="60" w:type="dxa"/>
            </w:tcMar>
            <w:vAlign w:val="top"/>
          </w:tcPr>
          <w:p w14:paraId="2F8BFAC0">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5"/>
                <w:szCs w:val="15"/>
              </w:rPr>
              <w:t>High</w:t>
            </w:r>
          </w:p>
        </w:tc>
        <w:tc>
          <w:tcPr>
            <w:tcW w:w="3866" w:type="pct"/>
            <w:tcBorders>
              <w:top w:val="nil"/>
              <w:left w:val="nil"/>
              <w:bottom w:val="nil"/>
              <w:right w:val="nil"/>
            </w:tcBorders>
            <w:shd w:val="clear" w:color="auto" w:fill="FFFFFF"/>
            <w:tcMar>
              <w:top w:w="40" w:type="dxa"/>
              <w:left w:w="70" w:type="dxa"/>
              <w:bottom w:w="40" w:type="dxa"/>
              <w:right w:w="70" w:type="dxa"/>
            </w:tcMar>
            <w:vAlign w:val="top"/>
          </w:tcPr>
          <w:p w14:paraId="52B96054">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Forty younger participants (17 female, 23 male; mean age 33.50 ± 5.73 years) recruited at the University of Canberra (HREC Application No. 12041) with explicit exclusion of pregnancy, diabetes, muscular/orthopaedic/musculoskeletal disorders and diagnosed vestibular/visual/somatosensory disorders, but no stroke, Parkinson's, older-adult, Paralympic or adaptive-sport cohort with balance impairment included despite the explicit framing for rehabilitation of balance disorders, raising Participant ROB and applicability. Cortical fNIRS (Brite 24 Artinis, 760/840 nm at 50 Hz, 24 channels over the prefrontal cortex with 30 mm interoptode distance aligned to the EEG 10–20 system) acquired uniformly with automatic device calibration, MATLAB R2021b preprocessing (0.01–0.1 Hz band-pass, 5–40 s task-window averaging, IQR-based bad-channel detection at threshold 1.5 with neighbour-mean replacement of 1.66% of data, Z-score normalisation) and modified Beer–Lambert conversion supports Low Predictor ROB; the modality is cortical hemodynamic rather than skeletal muscle NIRS, so Predictor applicability is High for the review. Outcome (four-class sensory condition — normal stance, foam surface, eyes closed, rotating CAVE stripes) is operationally defined and objective with randomised single-trial design that minimises order effects. Analysis domain is High because the modest sample (n = 39–40 per class) is evaluated with leave-one-out cross-validation but 27 candidate models (3 classifiers × 3 ranking methods × 3 haemodynamic responses) are compared on the same data with the best model (GBDT + JMI multivariate ranking + ΔHbO₂, accuracy 0.86) selected post-hoc, JMI-based feature ranking is computed on the full dataset rather than nested within each fold creating data-driven feature-selection leakage, the iterative incremental-feature inclusion that selects the optimal feature count is embedded in the same evaluation loop, hyperparameters of GBDT/RF/KNN are not formally tuned via nested CV, multiple-comparison Mann-Whitney U with Bonferroni adjustment is reported but the search-space remains large relative to sample size, no external validation is performed and calibration of predicted probabilities is not assessed. Applicability is High overall because the participant cohort is healthy younger adults rather than older adults with balance impairment, Paralympic or adaptive-sport athletes, and the predictor modality is cortical PFC fNIRS rather than skeletal muscle NIRS oxygenation; outcome (sensory-condition classification during quiet stance) is broadly aligned with rehabilitation/balance-assessment applications.</w:t>
            </w:r>
          </w:p>
        </w:tc>
      </w:tr>
      <w:tr w14:paraId="49B4A6DD">
        <w:tc>
          <w:tcPr>
            <w:tcW w:w="511" w:type="pct"/>
            <w:tcBorders>
              <w:top w:val="nil"/>
              <w:left w:val="nil"/>
              <w:bottom w:val="nil"/>
              <w:right w:val="nil"/>
            </w:tcBorders>
            <w:shd w:val="clear" w:color="auto" w:fill="FFFFFF"/>
            <w:tcMar>
              <w:top w:w="30" w:type="dxa"/>
              <w:left w:w="60" w:type="dxa"/>
              <w:bottom w:w="30" w:type="dxa"/>
              <w:right w:w="60" w:type="dxa"/>
            </w:tcMar>
            <w:vAlign w:val="top"/>
          </w:tcPr>
          <w:p w14:paraId="62C81E6B">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i w:val="0"/>
                <w:iCs w:val="0"/>
                <w:color w:val="000000"/>
                <w:sz w:val="15"/>
                <w:szCs w:val="15"/>
              </w:rPr>
              <w:t>Lu J (2022)</w:t>
            </w:r>
          </w:p>
        </w:tc>
        <w:tc>
          <w:tcPr>
            <w:tcW w:w="306" w:type="pct"/>
            <w:tcBorders>
              <w:top w:val="nil"/>
              <w:left w:val="nil"/>
              <w:bottom w:val="nil"/>
              <w:right w:val="nil"/>
            </w:tcBorders>
            <w:shd w:val="clear" w:color="auto" w:fill="FFFFFF"/>
            <w:tcMar>
              <w:top w:w="30" w:type="dxa"/>
              <w:left w:w="60" w:type="dxa"/>
              <w:bottom w:w="30" w:type="dxa"/>
              <w:right w:w="60" w:type="dxa"/>
            </w:tcMar>
            <w:vAlign w:val="top"/>
          </w:tcPr>
          <w:p w14:paraId="51158999">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5"/>
                <w:szCs w:val="15"/>
              </w:rPr>
              <w:t>High</w:t>
            </w:r>
          </w:p>
        </w:tc>
        <w:tc>
          <w:tcPr>
            <w:tcW w:w="315" w:type="pct"/>
            <w:tcBorders>
              <w:top w:val="nil"/>
              <w:left w:val="nil"/>
              <w:bottom w:val="nil"/>
              <w:right w:val="nil"/>
            </w:tcBorders>
            <w:shd w:val="clear" w:color="auto" w:fill="FFFFFF"/>
            <w:tcMar>
              <w:top w:w="30" w:type="dxa"/>
              <w:left w:w="60" w:type="dxa"/>
              <w:bottom w:w="30" w:type="dxa"/>
              <w:right w:w="60" w:type="dxa"/>
            </w:tcMar>
            <w:vAlign w:val="top"/>
          </w:tcPr>
          <w:p w14:paraId="1CEDB7D9">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5"/>
                <w:szCs w:val="15"/>
              </w:rPr>
              <w:t>High</w:t>
            </w:r>
          </w:p>
        </w:tc>
        <w:tc>
          <w:tcPr>
            <w:tcW w:w="3866" w:type="pct"/>
            <w:tcBorders>
              <w:top w:val="nil"/>
              <w:left w:val="nil"/>
              <w:bottom w:val="nil"/>
              <w:right w:val="nil"/>
            </w:tcBorders>
            <w:shd w:val="clear" w:color="auto" w:fill="FFFFFF"/>
            <w:tcMar>
              <w:top w:w="40" w:type="dxa"/>
              <w:left w:w="70" w:type="dxa"/>
              <w:bottom w:w="40" w:type="dxa"/>
              <w:right w:w="70" w:type="dxa"/>
            </w:tcMar>
            <w:vAlign w:val="top"/>
          </w:tcPr>
          <w:p w14:paraId="05041299">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Twenty-five Parkinson's disease patients (clinically diagnosed by 2015 MDS criteria, aged 50–80, mean MDS-UPDRS III 37.6 ± 13.5, tested in OFF state without PD medication, walk independently without assistive devices) and 25 age-, sex- and MMSE-matched healthy controls (gender p = 1.0000, age p = 0.1992, MMSE p = 0.3668) recruited at Tianjin Huanhu Hospital (Approval No. 2019-31; ChiCTR1900022655) with explicit exclusion of inability to stand/walk for 75 s, scoliosis, arthritis, hip replacement, cardiovascular instability, psychiatric comorbidity and prior stroke or significant TBI, providing Low Participant ROB and Low applicability for the review's clinical-rehabilitation scope. Cortical fNIRS (Nirsmart, Danyang Huichuang Medical Equipment, 730/850 nm at 11 Hz, 14 sources/12 detectors yielding 30 channels over LPFC, RPFC and bilateral parietal lobe with 3 cm source–detector spacing) and APDM inertial sensors (sternum, waist, bilateral wrists and feet) acquired uniformly with modified Beer–Lambert conversion, 0.01–0.2 Hz Butterworth band-pass, sliding-window standard-deviation/amplitude motion-artifact detection with cubic-spline interpolation, visual quality inspection and 5 s pre-task baseline correction, supporting Low Predictor ROB; the modality is cortical hemodynamic over PFC/PL rather than skeletal muscle NIRS, so Predictor applicability is High for the review. Outcome (PD versus healthy classification during 35 s dual-task walking — Serial Sevens with comfortable-pace treadmill walking) is operationally defined and objective with three trials per participant fused via majority voting. Analysis domain is High because the modest sample (50 participants total, 75 trials per group fused to 25 subject-level votes) is evaluated with leave-one-out cross-validation but the proposed brain hemodynamic states (expansion, contraction, intermediate) and transition features (TAcc, TAng) are designed and parameterised (transition factor x = 1.5, y = 3) on the same dataset, comparison against four published fNIRS pipelines (Abtahi 2020, Stuart 2019, Ranchet 2020, Maidan 2022) and 27 conventional feature combinations is performed on the same data with the best 60-feature combination selected post-hoc, L-SVM hyperparameters are not formally tuned via nested CV, no external validation is performed, calibration of predicted probabilities is not assessed, and the reported accuracy 0.8200 / F-score 0.9091 are plausibly optimistic given within-dataset feature engineering. Applicability is mixed: the PD-patient cohort and gait-related dual-task outcome (Participant Low, Outcome Low) align with the review's clinical-rehabilitation scope, but the predictor modality is cortical PFC/PL fNIRS rather than skeletal muscle NIRS oxygenation (Predictor High), giving High overall applicability.</w:t>
            </w:r>
          </w:p>
        </w:tc>
      </w:tr>
      <w:tr w14:paraId="678E4056">
        <w:tc>
          <w:tcPr>
            <w:tcW w:w="511" w:type="pct"/>
            <w:tcBorders>
              <w:top w:val="nil"/>
              <w:left w:val="nil"/>
              <w:bottom w:val="nil"/>
              <w:right w:val="nil"/>
            </w:tcBorders>
            <w:shd w:val="clear" w:color="auto" w:fill="FFFFFF"/>
            <w:tcMar>
              <w:top w:w="30" w:type="dxa"/>
              <w:left w:w="60" w:type="dxa"/>
              <w:bottom w:w="30" w:type="dxa"/>
              <w:right w:w="60" w:type="dxa"/>
            </w:tcMar>
            <w:vAlign w:val="top"/>
          </w:tcPr>
          <w:p w14:paraId="0D98D546">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i w:val="0"/>
                <w:iCs w:val="0"/>
                <w:color w:val="000000"/>
                <w:sz w:val="15"/>
                <w:szCs w:val="15"/>
              </w:rPr>
              <w:t>Khan RA (2018)</w:t>
            </w:r>
          </w:p>
        </w:tc>
        <w:tc>
          <w:tcPr>
            <w:tcW w:w="306" w:type="pct"/>
            <w:tcBorders>
              <w:top w:val="nil"/>
              <w:left w:val="nil"/>
              <w:bottom w:val="nil"/>
              <w:right w:val="nil"/>
            </w:tcBorders>
            <w:shd w:val="clear" w:color="auto" w:fill="FFFFFF"/>
            <w:tcMar>
              <w:top w:w="30" w:type="dxa"/>
              <w:left w:w="60" w:type="dxa"/>
              <w:bottom w:w="30" w:type="dxa"/>
              <w:right w:w="60" w:type="dxa"/>
            </w:tcMar>
            <w:vAlign w:val="top"/>
          </w:tcPr>
          <w:p w14:paraId="1E8AF94D">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5"/>
                <w:szCs w:val="15"/>
              </w:rPr>
              <w:t>High</w:t>
            </w:r>
          </w:p>
        </w:tc>
        <w:tc>
          <w:tcPr>
            <w:tcW w:w="315" w:type="pct"/>
            <w:tcBorders>
              <w:top w:val="nil"/>
              <w:left w:val="nil"/>
              <w:bottom w:val="nil"/>
              <w:right w:val="nil"/>
            </w:tcBorders>
            <w:shd w:val="clear" w:color="auto" w:fill="FFFFFF"/>
            <w:tcMar>
              <w:top w:w="30" w:type="dxa"/>
              <w:left w:w="60" w:type="dxa"/>
              <w:bottom w:w="30" w:type="dxa"/>
              <w:right w:w="60" w:type="dxa"/>
            </w:tcMar>
            <w:vAlign w:val="top"/>
          </w:tcPr>
          <w:p w14:paraId="147E8799">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5"/>
                <w:szCs w:val="15"/>
              </w:rPr>
              <w:t>High</w:t>
            </w:r>
          </w:p>
        </w:tc>
        <w:tc>
          <w:tcPr>
            <w:tcW w:w="3866" w:type="pct"/>
            <w:tcBorders>
              <w:top w:val="nil"/>
              <w:left w:val="nil"/>
              <w:bottom w:val="nil"/>
              <w:right w:val="nil"/>
            </w:tcBorders>
            <w:shd w:val="clear" w:color="auto" w:fill="FFFFFF"/>
            <w:tcMar>
              <w:top w:w="40" w:type="dxa"/>
              <w:left w:w="70" w:type="dxa"/>
              <w:bottom w:w="40" w:type="dxa"/>
              <w:right w:w="70" w:type="dxa"/>
            </w:tcMar>
            <w:vAlign w:val="top"/>
          </w:tcPr>
          <w:p w14:paraId="08434147">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Only nine healthy male participants (median age 30 ± 3 years, all right-handed with normal or corrected-to-normal vision and no motor disability or visual/neurological disorders) recruited at a single centre (Pusan National University) with verbal informed consent and IRB approval, but no stroke, spinal cord injury, amputee, Paralympic or adaptive-sport cohort included despite the explicit framing for prosthetic-leg control and gait rehabilitation in paralysed patients and amputees, raising Participant ROB and applicability. Cortical fNIRS (DYNOT, NIRx Medical Technologies, dual wavelengths 760/830 nm at 1.81 Hz, 5 sources/4 detectors yielding 12 channels over the left primary motor cortex with 3 cm source–detector distance aligned to the EEG 10-20 system) acquired uniformly with modified Beer–Lambert conversion to ΔHbO/ΔHbR and a structured comparison of six filters (Butterworth, FIR, Kalman, Wiener, hrf, Gaussian) with band-limits 0.01–0.5 Hz to remove heartbeat (1–1.5 Hz), respiration (~0.5 Hz) and Mayer waves, supports Low Predictor ROB; the modality is cortical hemodynamic over M1 rather than skeletal muscle NIRS oxygenation, so Predictor applicability is High for the review. Outcome (walking versus rest task state during 10 s treadmill walking with 20 s rest, 10 trials per subject) is operationally defined and objective. Analysis domain is High because the very small sample (n = 9) is evaluated with 10-fold cross-validation while six filters × five classifiers (kNN, QDA, LDA, NB, SVM) × all 2-, 3- and 6-feature combinations of {mean, peak, slope, kurtosis, variance, skewness} are compared on the same dataset and the best combination (SVM + hrf + 6-feature, average 75% accuracy) is selected post-hoc by paired t-tests with Bonferroni adjustment, the simulated-online interface re-uses 9 trials for training and divides 1 held-out trial into 10 sub-windows whose binary classifications are aggregated under a 90% true-trigger threshold creating dependent within-trial samples, SVM kernel parameters (third-degree polynomial, C = 0.5) are fixed without formal tuning, no external validation is performed, no leave-one-subject-out evaluation, calibration of predicted probabilities is not assessed, and the proposed PD-CTC gait-control simulation is conducted on a kinematic model rather than a real prosthesis. Applicability is High overall because participants are healthy young males rather than amputees, paralysed or Paralympic athletes, and the predictor modality is cortical motor-cortex fNIRS rather than skeletal muscle NIRS oxygenation; outcome (binary walk/rest state for prosthetic-leg control) is broadly aligned with rehabilitation/assistive-device applications.</w:t>
            </w:r>
          </w:p>
        </w:tc>
      </w:tr>
      <w:tr w14:paraId="4EE325F2">
        <w:tc>
          <w:tcPr>
            <w:tcW w:w="511" w:type="pct"/>
            <w:tcBorders>
              <w:top w:val="nil"/>
              <w:left w:val="nil"/>
              <w:bottom w:val="nil"/>
              <w:right w:val="nil"/>
            </w:tcBorders>
            <w:shd w:val="clear" w:color="auto" w:fill="FFFFFF"/>
            <w:tcMar>
              <w:top w:w="30" w:type="dxa"/>
              <w:left w:w="60" w:type="dxa"/>
              <w:bottom w:w="30" w:type="dxa"/>
              <w:right w:w="60" w:type="dxa"/>
            </w:tcMar>
            <w:vAlign w:val="top"/>
          </w:tcPr>
          <w:p w14:paraId="48238F53">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i w:val="0"/>
                <w:iCs w:val="0"/>
                <w:color w:val="000000"/>
                <w:sz w:val="15"/>
                <w:szCs w:val="15"/>
              </w:rPr>
              <w:t>Gao Y (2021)</w:t>
            </w:r>
          </w:p>
        </w:tc>
        <w:tc>
          <w:tcPr>
            <w:tcW w:w="306" w:type="pct"/>
            <w:tcBorders>
              <w:top w:val="nil"/>
              <w:left w:val="nil"/>
              <w:bottom w:val="nil"/>
              <w:right w:val="nil"/>
            </w:tcBorders>
            <w:shd w:val="clear" w:color="auto" w:fill="FFFFFF"/>
            <w:tcMar>
              <w:top w:w="30" w:type="dxa"/>
              <w:left w:w="60" w:type="dxa"/>
              <w:bottom w:w="30" w:type="dxa"/>
              <w:right w:w="60" w:type="dxa"/>
            </w:tcMar>
            <w:vAlign w:val="top"/>
          </w:tcPr>
          <w:p w14:paraId="673CA71D">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5"/>
                <w:szCs w:val="15"/>
              </w:rPr>
              <w:t>High</w:t>
            </w:r>
          </w:p>
        </w:tc>
        <w:tc>
          <w:tcPr>
            <w:tcW w:w="315" w:type="pct"/>
            <w:tcBorders>
              <w:top w:val="nil"/>
              <w:left w:val="nil"/>
              <w:bottom w:val="nil"/>
              <w:right w:val="nil"/>
            </w:tcBorders>
            <w:shd w:val="clear" w:color="auto" w:fill="FFFFFF"/>
            <w:tcMar>
              <w:top w:w="30" w:type="dxa"/>
              <w:left w:w="60" w:type="dxa"/>
              <w:bottom w:w="30" w:type="dxa"/>
              <w:right w:w="60" w:type="dxa"/>
            </w:tcMar>
            <w:vAlign w:val="top"/>
          </w:tcPr>
          <w:p w14:paraId="3D972ADE">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5"/>
                <w:szCs w:val="15"/>
              </w:rPr>
              <w:t>High</w:t>
            </w:r>
          </w:p>
        </w:tc>
        <w:tc>
          <w:tcPr>
            <w:tcW w:w="3866" w:type="pct"/>
            <w:tcBorders>
              <w:top w:val="nil"/>
              <w:left w:val="nil"/>
              <w:bottom w:val="nil"/>
              <w:right w:val="nil"/>
            </w:tcBorders>
            <w:shd w:val="clear" w:color="auto" w:fill="FFFFFF"/>
            <w:tcMar>
              <w:top w:w="40" w:type="dxa"/>
              <w:left w:w="70" w:type="dxa"/>
              <w:bottom w:w="40" w:type="dxa"/>
              <w:right w:w="70" w:type="dxa"/>
            </w:tcMar>
            <w:vAlign w:val="top"/>
          </w:tcPr>
          <w:p w14:paraId="503EC437">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Only thirteen healthy medical students (mean age 25.2 ± 3.8 years, 22–34) with no prior surgical experience or FLS task training recruited at a single centre (Rensselaer Polytechnic Institute IRB No. 1365 and University at Buffalo IRB No. 820375-1) with written informed consent, but no surgical residents, attending surgeons, Paralympic, adaptive-sport or stroke/rehabilitation cohort included despite the explicit framing for surgical certification and rehabilitation, raising Participant ROB and applicability. Cortical fNIRS (CW6 system, TechEn Inc., continuous-wave at 690/830 nm) recorded over six prefrontal-cortex locations (two left, two medial, two right PFC) with short-distance detectors for systemic-signal regression, processed via Homer2 with state-of-the-art channel pruning (SNR &lt; 3.0, SD &gt; 45.0), 0.50 Hz third-order low-pass denoising and Beer–Lambert conversion, and seven temporal features (mean, variance, skewness, kurtosis, slope, maximum, minimum) extracted from HbO and HbR yielding a 7 × 2 × 6 = 84-element biomarker matrix per trial — supports Low Predictor ROB; the modality is cortical hemodynamic over PFC rather than skeletal muscle NIRS oxygenation, so Predictor applicability is High for the review. Outcome (continuous FLS Precision Cutting score 0–300 derived from completion time and circle-deviation under nondisclosure agreement with the FLS Committee, with pass/fail threshold of 151.2 used for binary certification analysis) is operationally defined and objective. Analysis domain is High because the very small subject pool (13 medical students yielding 702 trials over 12 training days, with 3–10 practice trials per day generating non-independent within-subject samples) is evaluated with 30 rounds of randomly-shuffled 10-fold cross-validation across four models (proposed Brain-NET CNN, KPLS, SVR, RF) compared on the same dataset, the Brain-NET architecture (two 1D-Conv layers with 8 kernels each, two FC layers, learning rate empirically set with early stopping at 200 epochs based on validation loss observation) is selected and tuned on the same data, backward feature selection is performed by retraining and re-evaluating with each feature/region removed on the same dataset creating circularity, RF (100 trees, max-depth 7, 16 features per split) and SVR/KPLS hyperparameters are not formally tuned via nested CV, the leave-one-user-out (LOUO) accuracy (R² values lower than 10-fold) is reported alongside but the principal results rely on within-subject 10-fold splits that allow trials of the same participant in train and test folds, no external validation is performed, calibration is not assessed, and reported R² = 0.73 with AUC = 0.91 for certification classification are plausibly optimistic given within-subject leakage and small sample size relative to model capacity. Applicability is High overall because participants are surgically-naive medical students rather than Paralympic, adaptive-sport or rehabilitation patients, and the predictor modality is cortical PFC fNIRS rather than skeletal muscle NIRS oxygenation; outcome (surgical-skill score regression and certification classification) is within the broader rehabilitation-engineering scope.</w:t>
            </w:r>
          </w:p>
        </w:tc>
      </w:tr>
      <w:tr w14:paraId="67459AF5">
        <w:tc>
          <w:tcPr>
            <w:tcW w:w="511" w:type="pct"/>
            <w:tcBorders>
              <w:top w:val="nil"/>
              <w:left w:val="nil"/>
              <w:bottom w:val="nil"/>
              <w:right w:val="nil"/>
            </w:tcBorders>
            <w:shd w:val="clear" w:color="auto" w:fill="FFFFFF"/>
            <w:tcMar>
              <w:top w:w="30" w:type="dxa"/>
              <w:left w:w="60" w:type="dxa"/>
              <w:bottom w:w="30" w:type="dxa"/>
              <w:right w:w="60" w:type="dxa"/>
            </w:tcMar>
            <w:vAlign w:val="top"/>
          </w:tcPr>
          <w:p w14:paraId="4D4BE910">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i w:val="0"/>
                <w:iCs w:val="0"/>
                <w:color w:val="000000"/>
                <w:sz w:val="15"/>
                <w:szCs w:val="15"/>
              </w:rPr>
              <w:t>Ma H (2023)</w:t>
            </w:r>
          </w:p>
        </w:tc>
        <w:tc>
          <w:tcPr>
            <w:tcW w:w="306" w:type="pct"/>
            <w:tcBorders>
              <w:top w:val="nil"/>
              <w:left w:val="nil"/>
              <w:bottom w:val="nil"/>
              <w:right w:val="nil"/>
            </w:tcBorders>
            <w:shd w:val="clear" w:color="auto" w:fill="FFFFFF"/>
            <w:tcMar>
              <w:top w:w="30" w:type="dxa"/>
              <w:left w:w="60" w:type="dxa"/>
              <w:bottom w:w="30" w:type="dxa"/>
              <w:right w:w="60" w:type="dxa"/>
            </w:tcMar>
            <w:vAlign w:val="top"/>
          </w:tcPr>
          <w:p w14:paraId="22A770CD">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5"/>
                <w:szCs w:val="15"/>
              </w:rPr>
              <w:t>High</w:t>
            </w:r>
          </w:p>
        </w:tc>
        <w:tc>
          <w:tcPr>
            <w:tcW w:w="315" w:type="pct"/>
            <w:tcBorders>
              <w:top w:val="nil"/>
              <w:left w:val="nil"/>
              <w:bottom w:val="nil"/>
              <w:right w:val="nil"/>
            </w:tcBorders>
            <w:shd w:val="clear" w:color="auto" w:fill="FFFFFF"/>
            <w:tcMar>
              <w:top w:w="30" w:type="dxa"/>
              <w:left w:w="60" w:type="dxa"/>
              <w:bottom w:w="30" w:type="dxa"/>
              <w:right w:w="60" w:type="dxa"/>
            </w:tcMar>
            <w:vAlign w:val="top"/>
          </w:tcPr>
          <w:p w14:paraId="32E2CF42">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5"/>
                <w:szCs w:val="15"/>
              </w:rPr>
              <w:t>High</w:t>
            </w:r>
          </w:p>
        </w:tc>
        <w:tc>
          <w:tcPr>
            <w:tcW w:w="3866" w:type="pct"/>
            <w:tcBorders>
              <w:top w:val="nil"/>
              <w:left w:val="nil"/>
              <w:bottom w:val="nil"/>
              <w:right w:val="nil"/>
            </w:tcBorders>
            <w:shd w:val="clear" w:color="auto" w:fill="FFFFFF"/>
            <w:tcMar>
              <w:top w:w="40" w:type="dxa"/>
              <w:left w:w="70" w:type="dxa"/>
              <w:bottom w:w="40" w:type="dxa"/>
              <w:right w:w="70" w:type="dxa"/>
            </w:tcMar>
            <w:vAlign w:val="top"/>
          </w:tcPr>
          <w:p w14:paraId="45A94B49">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Thirty-eight healthy volunteers (24 male, 14 female; aged 19–22 years) recruited at a single centre (Soochow University Ethics Committee approval) with all-first-time exposure to walking experiments, good physical condition and no adverse physical/psychiatric history, but no stroke, spinal cord injury, lower-limb amputee, elderly motor-impaired, Paralympic or adaptive-sport cohort included despite the explicit framing for lower-limb rehabilitation exoskeleton control in patients with motor dysfunction, raising Participant ROB and applicability. Cortical fNIRS (NirSmart, near-infrared brain imaging equipment over PFC, SMA and PMC with a 4 × 4 headgear layout) acquired uniformly with baseline-drift removal (subtract first sampling-point value), second-order Chebyshev band-pass filtering across five physiologically-defined frequency bands (heart rate 0.6–2.0 Hz; respiration 0.145–0.6 Hz; myogenic 0.052–0.145 Hz; neurological 0.021–0.052 Hz; endothelial 0.0095–0.021 Hz), and Xsens inertial sensors (knee location) for gait-parameter ground-truth, supports Low Predictor ROB; the modality is cortical hemodynamic over PFC/SMA/PMC rather than skeletal muscle NIRS oxygenation, so Predictor applicability is High for the review. Outcome (continuous gait speed and step-length regression derived from per-cycle maximum knee rotation angular-velocity and rotation angle under a randomised speed-adjustment / step-adjustment paradigm) is operationally defined and objective. Analysis domain is High because the modest sample (n = 38 split into 30 cross-validation + 8 adaptive-enhancement subjects) is evaluated with 4-fold cross-validation while a meta-transformer feature-selection pipeline (filter by Pearson correlation &gt; 0.3, then gradient-boosting embedded importance, combined as fscore = 2pc/(p+c)) is fit on the cross-validation training data and the AutoEncoder-Decoder dimensionality reduction selects 26 active-task and 21 passive-task features on the same data, the LSTM regressor (forgetting rate 0.2, 200 iterations, L2 regularization, early-stopping based on RMSE for ≥ 8 consecutive non-decreasing iterations) is tuned on the same dataset, the adaptive incremental-learning enhancement on 8 additional individuals re-uses the cross-validation model and retains parameters only when within-fold R² improves creating a feedback loop on the test data, no external validation is performed, no leave-one-subject-out evaluation, calibration is not assessed, and reported R² = 0.715 (speed) / 0.720 (step) with adaptive-improvement deltas of +9.85% / +6.99% R² are plausibly optimistic given within-subject feature engineering and the all-young-adult sample. Applicability is High overall because the participant cohort is healthy young adults aged 19–22 rather than older adults, motor-impaired patients, lower-limb amputees, Paralympic or adaptive-sport athletes, and the predictor modality is cortical PFC/SMA/PMC fNIRS rather than skeletal muscle NIRS oxygenation; outcome (continuous gait-parameter fitting for exoskeleton control) is broadly aligned with rehabilitation/assistive-device applications.</w:t>
            </w:r>
          </w:p>
        </w:tc>
      </w:tr>
      <w:tr w14:paraId="6579605A">
        <w:tc>
          <w:tcPr>
            <w:tcW w:w="511" w:type="pct"/>
            <w:tcBorders>
              <w:top w:val="nil"/>
              <w:left w:val="nil"/>
              <w:bottom w:val="nil"/>
              <w:right w:val="nil"/>
            </w:tcBorders>
            <w:shd w:val="clear" w:color="auto" w:fill="FFFFFF"/>
            <w:tcMar>
              <w:top w:w="30" w:type="dxa"/>
              <w:left w:w="60" w:type="dxa"/>
              <w:bottom w:w="30" w:type="dxa"/>
              <w:right w:w="60" w:type="dxa"/>
            </w:tcMar>
            <w:vAlign w:val="top"/>
          </w:tcPr>
          <w:p w14:paraId="2CCEBCE7">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i w:val="0"/>
                <w:iCs w:val="0"/>
                <w:color w:val="000000"/>
                <w:sz w:val="15"/>
                <w:szCs w:val="15"/>
              </w:rPr>
              <w:t>Jafari S (2026)</w:t>
            </w:r>
          </w:p>
        </w:tc>
        <w:tc>
          <w:tcPr>
            <w:tcW w:w="306" w:type="pct"/>
            <w:tcBorders>
              <w:top w:val="nil"/>
              <w:left w:val="nil"/>
              <w:bottom w:val="nil"/>
              <w:right w:val="nil"/>
            </w:tcBorders>
            <w:shd w:val="clear" w:color="auto" w:fill="FFFFFF"/>
            <w:tcMar>
              <w:top w:w="30" w:type="dxa"/>
              <w:left w:w="60" w:type="dxa"/>
              <w:bottom w:w="30" w:type="dxa"/>
              <w:right w:w="60" w:type="dxa"/>
            </w:tcMar>
            <w:vAlign w:val="top"/>
          </w:tcPr>
          <w:p w14:paraId="6663B1F0">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5"/>
                <w:szCs w:val="15"/>
              </w:rPr>
              <w:t>High</w:t>
            </w:r>
          </w:p>
        </w:tc>
        <w:tc>
          <w:tcPr>
            <w:tcW w:w="315" w:type="pct"/>
            <w:tcBorders>
              <w:top w:val="nil"/>
              <w:left w:val="nil"/>
              <w:bottom w:val="nil"/>
              <w:right w:val="nil"/>
            </w:tcBorders>
            <w:shd w:val="clear" w:color="auto" w:fill="FFFFFF"/>
            <w:tcMar>
              <w:top w:w="30" w:type="dxa"/>
              <w:left w:w="60" w:type="dxa"/>
              <w:bottom w:w="30" w:type="dxa"/>
              <w:right w:w="60" w:type="dxa"/>
            </w:tcMar>
            <w:vAlign w:val="top"/>
          </w:tcPr>
          <w:p w14:paraId="27901F1E">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5"/>
                <w:szCs w:val="15"/>
              </w:rPr>
              <w:t>High</w:t>
            </w:r>
          </w:p>
        </w:tc>
        <w:tc>
          <w:tcPr>
            <w:tcW w:w="3866" w:type="pct"/>
            <w:tcBorders>
              <w:top w:val="nil"/>
              <w:left w:val="nil"/>
              <w:bottom w:val="nil"/>
              <w:right w:val="nil"/>
            </w:tcBorders>
            <w:shd w:val="clear" w:color="auto" w:fill="FFFFFF"/>
            <w:tcMar>
              <w:top w:w="40" w:type="dxa"/>
              <w:left w:w="70" w:type="dxa"/>
              <w:bottom w:w="40" w:type="dxa"/>
              <w:right w:w="70" w:type="dxa"/>
            </w:tcMar>
            <w:vAlign w:val="top"/>
          </w:tcPr>
          <w:p w14:paraId="0A954868">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Only ten right-handed healthy volunteers (aged 25–40 years) recruited at a single centre (Tehran University of Medical Sciences, Approval No. IR.KMU.REC.1403.455) with screening for neurological/psychosocial issues and exclusion of nervous-system-affecting drugs, with written informed consent, but no stroke, motor-impaired, Paralympic, adaptive-sport or rehabilitation cohort included despite the explicit framing for rehabilitation of stroke and motor-impaired patients, raising Participant ROB and applicability. MR-compatible cortical fNIRS (OxyMon, Artinis, 48 channels at 765/855 nm with 8 transmitters and 8 receivers at 30 mm separation, 10 Hz sampling) over Brodmann areas 1–6 (primary somatosensory, primary motor, somatosensory association and premotor/supplementary motor cortices) acquired uniformly with min–max normalisation and meta-transformer feature selection based on RF-derived importance scores (60 candidate features comprising HbO, HbR and HbO–HbR difference across 20 channels), supports Low Predictor ROB; the modality is cortical hemodynamic rather than skeletal muscle NIRS oxygenation, so Predictor applicability is High for the review. Outcome (four-class wrist direction — extension, flexion, radial deviation, ulnar deviation — under active and passive task paradigms with 5–7 s motion blocks repeated 20 times per direction over a 586 s session) is operationally defined and visually-cued, with active and passive conditions analysed separately. Analysis domain is High because the very small sample (n = 10) is split 75/25 train/test with no leave-one-subject-out cross-validation reported, ten classifiers (RF, LR, kNN, SVM-Poly, SVM-RBF, DT, GB, AdaBoost, GNB, NN) are compared on the same single train/test split using six metrics (accuracy, precision, recall, F1, kappa, AUC) and the best (RF, accuracy 78.18% active / 81.22% passive) selected post-hoc, the meta-transformer feature-selection pipeline (RF-derived importance with mean threshold) is fit on the full preprocessed dataset prior to splitting creating data-leakage, RandomizedSearchCV is mentioned for hyperparameter tuning but not nested within outer evaluation folds, the NN model produces degenerate F1 = 0 / recall = 1 in the passive task indicating insufficient training data, no external validation is performed, calibration of predicted probabilities is not formally assessed, and pairwise Cohen's kappa values between classifiers (up to 0.91 for GNB vs SVM-RBF) are reported but the underlying single-split evaluation makes generalisation estimates unreliable. Applicability is High overall because the participant cohort is healthy young/middle-aged adults rather than stroke patients, Paralympic athletes or adaptive-sport populations, and the predictor modality is cortical Brodmann-area fNIRS rather than skeletal muscle NIRS oxygenation; outcome (wrist-direction classification under active/passive paradigms) is broadly aligned with rehabilitation/BCI applications.</w:t>
            </w:r>
          </w:p>
        </w:tc>
      </w:tr>
      <w:tr w14:paraId="019ABA20">
        <w:tc>
          <w:tcPr>
            <w:tcW w:w="511" w:type="pct"/>
            <w:tcBorders>
              <w:top w:val="nil"/>
              <w:left w:val="nil"/>
              <w:bottom w:val="nil"/>
              <w:right w:val="nil"/>
            </w:tcBorders>
            <w:shd w:val="clear" w:color="auto" w:fill="FFFFFF"/>
            <w:tcMar>
              <w:top w:w="30" w:type="dxa"/>
              <w:left w:w="60" w:type="dxa"/>
              <w:bottom w:w="30" w:type="dxa"/>
              <w:right w:w="60" w:type="dxa"/>
            </w:tcMar>
            <w:vAlign w:val="top"/>
          </w:tcPr>
          <w:p w14:paraId="5121F872">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i w:val="0"/>
                <w:iCs w:val="0"/>
                <w:color w:val="000000"/>
                <w:sz w:val="15"/>
                <w:szCs w:val="15"/>
              </w:rPr>
              <w:t>Wu F (2025)</w:t>
            </w:r>
          </w:p>
        </w:tc>
        <w:tc>
          <w:tcPr>
            <w:tcW w:w="306" w:type="pct"/>
            <w:tcBorders>
              <w:top w:val="nil"/>
              <w:left w:val="nil"/>
              <w:bottom w:val="nil"/>
              <w:right w:val="nil"/>
            </w:tcBorders>
            <w:shd w:val="clear" w:color="auto" w:fill="FFFFFF"/>
            <w:tcMar>
              <w:top w:w="30" w:type="dxa"/>
              <w:left w:w="60" w:type="dxa"/>
              <w:bottom w:w="30" w:type="dxa"/>
              <w:right w:w="60" w:type="dxa"/>
            </w:tcMar>
            <w:vAlign w:val="top"/>
          </w:tcPr>
          <w:p w14:paraId="3023F213">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5"/>
                <w:szCs w:val="15"/>
              </w:rPr>
              <w:t>High</w:t>
            </w:r>
          </w:p>
        </w:tc>
        <w:tc>
          <w:tcPr>
            <w:tcW w:w="315" w:type="pct"/>
            <w:tcBorders>
              <w:top w:val="nil"/>
              <w:left w:val="nil"/>
              <w:bottom w:val="nil"/>
              <w:right w:val="nil"/>
            </w:tcBorders>
            <w:shd w:val="clear" w:color="auto" w:fill="FFFFFF"/>
            <w:tcMar>
              <w:top w:w="30" w:type="dxa"/>
              <w:left w:w="60" w:type="dxa"/>
              <w:bottom w:w="30" w:type="dxa"/>
              <w:right w:w="60" w:type="dxa"/>
            </w:tcMar>
            <w:vAlign w:val="top"/>
          </w:tcPr>
          <w:p w14:paraId="21528198">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5"/>
                <w:szCs w:val="15"/>
              </w:rPr>
              <w:t>High</w:t>
            </w:r>
          </w:p>
        </w:tc>
        <w:tc>
          <w:tcPr>
            <w:tcW w:w="3866" w:type="pct"/>
            <w:tcBorders>
              <w:top w:val="nil"/>
              <w:left w:val="nil"/>
              <w:bottom w:val="nil"/>
              <w:right w:val="nil"/>
            </w:tcBorders>
            <w:shd w:val="clear" w:color="auto" w:fill="FFFFFF"/>
            <w:tcMar>
              <w:top w:w="40" w:type="dxa"/>
              <w:left w:w="70" w:type="dxa"/>
              <w:bottom w:w="40" w:type="dxa"/>
              <w:right w:w="70" w:type="dxa"/>
            </w:tcMar>
            <w:vAlign w:val="top"/>
          </w:tcPr>
          <w:p w14:paraId="309DED8B">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Only eighteen healthy participants (10 female, 8 male; mean age 22.7 ± 1.4 years, all right-handed by Edinburgh Handedness Inventory, no neurological or psychiatric disorders) recruited at a single centre (Shanghai Yangzhi Rehabilitation Hospital Ethics Committee No. SBKT-2024-028) with written informed consent, but no stroke, Parkinson's, Alzheimer's, ageing, Paralympic or adaptive-sport cohort with gait impairment included despite the explicit framing for diagnosis and rehabilitation of gait disorders, raising Participant ROB and applicability. Simultaneous high-density EEG (BrainAmp DC, 1000 Hz, 10 selected electrodes over PMC/M1/S1 with Fpz ground and FCz reference) and cortical fNIRS (NIRSport NIRx continuous-wave system at 760/850 nm, 12 sources/12 detectors yielding 38 channels over PMC/M1/S1 at 10.2 Hz) acquired with hardware trigger synchronisation and standardised preprocessing (EEG: 0.5–40 Hz band-pass, ICLabel auto-rejection with 70% brain-source threshold, average referencing, baseline correction; fNIRS: scalp-coupling-index-based bad-channel rejection, modified Beer–Lambert conversion, 0.05–0.2 Hz band-pass, Temporal Derivative Distribution Repair motion correction), supports Low Predictor ROB; the modality is cortical EEG and PMC/M1/S1 fNIRS rather than skeletal muscle NIRS oxygenation, so Predictor applicability is High for the review. Outcome (three-class gait task — continuous walking on treadmill at 1.1 m/s, isolated gait phase task with four repetitions of right-leg stance or swing, and single-limb stance — each lasting 20 s under visual rhythm cues with 6 trials per session) is operationally defined and objective. Analysis domain is High because the small sample (n = 18 with ~24 trials per task per subject) is evaluated with leave-one-subject-out cross-validation but TRCA spatial filters and task-specific templates are derived per subject on training trials and applied within-subject creating subject-specific information leakage, six feature configurations (EEG-Avg, fNIRS-Avg, EEG-TRCA, fNIRS-TRCA, and unimodal/bimodal averaging combinations) are compared via repeated-measures ANOVA with Bonferroni post-hoc on the same dataset, XGBoost hyperparameters are not formally tuned via nested CV, the 5 s segmentation strategy is selected to align with IGPT phase length on the same data, no external validation is performed, calibration of predicted probabilities is not assessed, and reported peak LOSO accuracy 74.51% with TRCA-based bimodal fusion is plausibly optimistic given within-subject template-fitting circularity. Applicability is High overall because the participant cohort is young healthy adults rather than older adults, gait-impaired patients, Paralympic or adaptive-sport athletes, and the predictor modality is concurrent EEG and cortical PMC/M1/S1 fNIRS rather than skeletal muscle NIRS oxygenation; outcome (three-class gait-task classification with neurovascular-coupling characterisation) is broadly aligned with rehabilitation-engineering and BCI applications.</w:t>
            </w:r>
          </w:p>
        </w:tc>
      </w:tr>
      <w:tr w14:paraId="3CC0467B">
        <w:tc>
          <w:tcPr>
            <w:tcW w:w="511" w:type="pct"/>
            <w:tcBorders>
              <w:top w:val="nil"/>
              <w:left w:val="nil"/>
              <w:bottom w:val="nil"/>
              <w:right w:val="nil"/>
            </w:tcBorders>
            <w:shd w:val="clear" w:color="auto" w:fill="FFFFFF"/>
            <w:tcMar>
              <w:top w:w="30" w:type="dxa"/>
              <w:left w:w="60" w:type="dxa"/>
              <w:bottom w:w="30" w:type="dxa"/>
              <w:right w:w="60" w:type="dxa"/>
            </w:tcMar>
            <w:vAlign w:val="top"/>
          </w:tcPr>
          <w:p w14:paraId="174ADA27">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i w:val="0"/>
                <w:iCs w:val="0"/>
                <w:color w:val="000000"/>
                <w:sz w:val="15"/>
                <w:szCs w:val="15"/>
              </w:rPr>
              <w:t>Li Y (2025)</w:t>
            </w:r>
          </w:p>
        </w:tc>
        <w:tc>
          <w:tcPr>
            <w:tcW w:w="306" w:type="pct"/>
            <w:tcBorders>
              <w:top w:val="nil"/>
              <w:left w:val="nil"/>
              <w:bottom w:val="nil"/>
              <w:right w:val="nil"/>
            </w:tcBorders>
            <w:shd w:val="clear" w:color="auto" w:fill="FFFFFF"/>
            <w:tcMar>
              <w:top w:w="30" w:type="dxa"/>
              <w:left w:w="60" w:type="dxa"/>
              <w:bottom w:w="30" w:type="dxa"/>
              <w:right w:w="60" w:type="dxa"/>
            </w:tcMar>
            <w:vAlign w:val="top"/>
          </w:tcPr>
          <w:p w14:paraId="48941F68">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5"/>
                <w:szCs w:val="15"/>
              </w:rPr>
              <w:t>High</w:t>
            </w:r>
          </w:p>
        </w:tc>
        <w:tc>
          <w:tcPr>
            <w:tcW w:w="315" w:type="pct"/>
            <w:tcBorders>
              <w:top w:val="nil"/>
              <w:left w:val="nil"/>
              <w:bottom w:val="nil"/>
              <w:right w:val="nil"/>
            </w:tcBorders>
            <w:shd w:val="clear" w:color="auto" w:fill="FFFFFF"/>
            <w:tcMar>
              <w:top w:w="30" w:type="dxa"/>
              <w:left w:w="60" w:type="dxa"/>
              <w:bottom w:w="30" w:type="dxa"/>
              <w:right w:w="60" w:type="dxa"/>
            </w:tcMar>
            <w:vAlign w:val="top"/>
          </w:tcPr>
          <w:p w14:paraId="115436CD">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5"/>
                <w:szCs w:val="15"/>
              </w:rPr>
              <w:t>High</w:t>
            </w:r>
          </w:p>
        </w:tc>
        <w:tc>
          <w:tcPr>
            <w:tcW w:w="3866" w:type="pct"/>
            <w:tcBorders>
              <w:top w:val="nil"/>
              <w:left w:val="nil"/>
              <w:bottom w:val="nil"/>
              <w:right w:val="nil"/>
            </w:tcBorders>
            <w:shd w:val="clear" w:color="auto" w:fill="FFFFFF"/>
            <w:tcMar>
              <w:top w:w="40" w:type="dxa"/>
              <w:left w:w="70" w:type="dxa"/>
              <w:bottom w:w="40" w:type="dxa"/>
              <w:right w:w="70" w:type="dxa"/>
            </w:tcMar>
            <w:vAlign w:val="top"/>
          </w:tcPr>
          <w:p w14:paraId="6DB100F4">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Three datasets used: Dataset A (HYGRIP, n=14 healthy adults performing ME hand-grip), Dataset B (self-collected at Wuyi University, n=11 healthy right-handed subjects, 9 male, 2 female, 20.3 ± 3.7 years performing left/right MI), and Dataset C (n=30 healthy adults, 17 male, 13 female, 23.4 ± 2.5 years performing right/left/feet ME); no stroke, paralysed, aphasic or other clinical rehabilitation cohort included despite the explicit framing for restoring motor function in patients with neuromuscular impairments, raising Participant ROB and applicability. Cortical fNIRS acquired uniformly across datasets with documented filtering pipelines (7th-order elliptical low-pass for Dataset A, 6th-order Butterworth band-pass 0.02–0.08 Hz for Dataset B, 3rd-order Butterworth low-pass for Dataset C), modified Beer–Lambert conversion to ΔHbR/ΔHbO with appropriate DPF and extinction coefficients, batch normalisation, and standardised C × H × W matrix representation for the IVCAN network supporting Low Predictor ROB; the modality is cortical hemodynamic over motor cortex rather than skeletal muscle NIRS oxygenation, so Predictor applicability is High for the review. Outcome (binary or three-class MI/ME task labels — left-hand vs right-hand grip on Dataset A, left-hand vs right-hand MI on Dataset B, right-hand vs left-hand vs feet ME on Dataset C) is operationally defined and visually-cued. Analysis domain is High because the small per-dataset samples are evaluated with 10-fold cross-validation across three runs and leave-one-subject-out cross-validation, but the IVCAN architecture (four hierarchical stages with C-Att and MLP blocks; OPE kernel/stride/padding settings; dim values 8/16/64/128; L block counts 3/4/6/2) and training hyperparameters (120 epochs, batch size 32, AdamW with weight decay 0.01, learning rate 0.0001, dropout rate 0.4, label smoothing α=0.1, cosine learning-rate decay) plus dataset-specific flooding levels (e.g. (1.0,0.65)→(30,0.50)→(50,0.45) for Dataset A) are tuned via parallel grid search on the same data later used for evaluation, the IVCAN-S/IVCAN-L/VAN ablations and the seven baseline comparators (k-NN, CSP-SVM, ANN, CNN, LSTM, fNIRS-T, fNIRSNet) are evaluated on the same dataset partitions with Wilcoxon signed-rank testing for 30 cross-validation runs but no formal correction across the multi-dataset / multi-comparator search space, no external validation, calibration is not assessed, and the GLM-based brain-activation analysis is performed on the same data as the classifier development. Reported accuracies (85.52% / 61.73% / 75.78% on Datasets A/B/C with cross-subject 84.20% / 61.84% / 75.37%) are plausibly close to a realistic upper bound but the within-dataset hyperparameter tuning inflates the apparent improvement over baselines. Applicability is High overall because the participant cohort is healthy young adults rather than Paralympic, adaptive-sport, stroke or other rehabilitation patients, and the predictor modality is cortical motor-cortex fNIRS rather than skeletal muscle NIRS oxygenation; outcome (MI/ME classification for BCI control) is broadly aligned with the rehabilitation-engineering and assistive-technology scope of the review.</w:t>
            </w:r>
          </w:p>
        </w:tc>
      </w:tr>
      <w:tr w14:paraId="3FE257B2">
        <w:tc>
          <w:tcPr>
            <w:tcW w:w="511" w:type="pct"/>
            <w:tcBorders>
              <w:top w:val="nil"/>
              <w:left w:val="nil"/>
              <w:bottom w:val="nil"/>
              <w:right w:val="nil"/>
            </w:tcBorders>
            <w:shd w:val="clear" w:color="auto" w:fill="FFFFFF"/>
            <w:tcMar>
              <w:top w:w="30" w:type="dxa"/>
              <w:left w:w="60" w:type="dxa"/>
              <w:bottom w:w="30" w:type="dxa"/>
              <w:right w:w="60" w:type="dxa"/>
            </w:tcMar>
            <w:vAlign w:val="top"/>
          </w:tcPr>
          <w:p w14:paraId="01CED9EA">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i w:val="0"/>
                <w:iCs w:val="0"/>
                <w:color w:val="000000"/>
                <w:sz w:val="15"/>
                <w:szCs w:val="15"/>
              </w:rPr>
              <w:t>Li N (2024)</w:t>
            </w:r>
          </w:p>
        </w:tc>
        <w:tc>
          <w:tcPr>
            <w:tcW w:w="306" w:type="pct"/>
            <w:tcBorders>
              <w:top w:val="nil"/>
              <w:left w:val="nil"/>
              <w:bottom w:val="nil"/>
              <w:right w:val="nil"/>
            </w:tcBorders>
            <w:shd w:val="clear" w:color="auto" w:fill="FFFFFF"/>
            <w:tcMar>
              <w:top w:w="30" w:type="dxa"/>
              <w:left w:w="60" w:type="dxa"/>
              <w:bottom w:w="30" w:type="dxa"/>
              <w:right w:w="60" w:type="dxa"/>
            </w:tcMar>
            <w:vAlign w:val="top"/>
          </w:tcPr>
          <w:p w14:paraId="1F0D7293">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5"/>
                <w:szCs w:val="15"/>
              </w:rPr>
              <w:t>High</w:t>
            </w:r>
          </w:p>
        </w:tc>
        <w:tc>
          <w:tcPr>
            <w:tcW w:w="315" w:type="pct"/>
            <w:tcBorders>
              <w:top w:val="nil"/>
              <w:left w:val="nil"/>
              <w:bottom w:val="nil"/>
              <w:right w:val="nil"/>
            </w:tcBorders>
            <w:shd w:val="clear" w:color="auto" w:fill="FFFFFF"/>
            <w:tcMar>
              <w:top w:w="30" w:type="dxa"/>
              <w:left w:w="60" w:type="dxa"/>
              <w:bottom w:w="30" w:type="dxa"/>
              <w:right w:w="60" w:type="dxa"/>
            </w:tcMar>
            <w:vAlign w:val="top"/>
          </w:tcPr>
          <w:p w14:paraId="44BAA548">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5"/>
                <w:szCs w:val="15"/>
              </w:rPr>
              <w:t>High</w:t>
            </w:r>
          </w:p>
        </w:tc>
        <w:tc>
          <w:tcPr>
            <w:tcW w:w="3866" w:type="pct"/>
            <w:tcBorders>
              <w:top w:val="nil"/>
              <w:left w:val="nil"/>
              <w:bottom w:val="nil"/>
              <w:right w:val="nil"/>
            </w:tcBorders>
            <w:shd w:val="clear" w:color="auto" w:fill="FFFFFF"/>
            <w:tcMar>
              <w:top w:w="40" w:type="dxa"/>
              <w:left w:w="70" w:type="dxa"/>
              <w:bottom w:w="40" w:type="dxa"/>
              <w:right w:w="70" w:type="dxa"/>
            </w:tcMar>
            <w:vAlign w:val="top"/>
          </w:tcPr>
          <w:p w14:paraId="2C7D1D19">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Twenty highly trained athletes (national second-level or higher with a keen interest in cycling, 4 ± 1 years cycling experience, but not professional cyclists) recruited with institutional review board ethical approval and written informed consent; clear training-status classification using McKay et al. (2022) framework supports Low Participant ROB, but no Paralympic, adaptive-sport, stroke, chronic-disease or paediatric/elderly cohort included despite the cardiorespiratory-fitness motivation, so Participant applicability is High for the review's specific Paralympic/adaptive-sport focus. Skeletal-muscle NIRS (Train.Red FYER Muscle Oxygen Sensor at 1 Hz applied to the lateral aspect of both thigh muscles, providing SMO2 percentage and oxyhaemoglobin–deoxyhaemoglobin difference HbDiff), heart rate at 1 Hz, and pulmonary VO2 (MetaMax 3B gas exchange analyser, calibrated for pressure, gas (15.00% O2, 5.00% CO2) and 3 L cylinder volume) acquired uniformly across the seven exercise tests with standardised ramp-incremental, three submaximal constant-intensity (below VT1, at VT1, between VT1 and VT2) and three severe-intensity exhaustive (VT2, 100%Pmax, 110%Pmax) protocols, MinMaxScaler population-level normalisation, supporting Low Predictor ROB; the predictor modality (skeletal muscle NIRS plus HR for VO2 prediction) aligns directly with the review's focus on muscle-oxygenation-based monitoring in athletic populations, supporting Low Predictor applicability. Outcome (continuous pulmonary VO2 in mL/kg/min derived from gas-exchange analysis, with intensity-stratified evaluation across &lt;VT1, VT1, VT1–VT2, VT2, 100%Pmax, 110%Pmax and VO2peak conditions) is objective and instrument-recorded, supporting Low Outcome ROB. Analysis domain is High because the relatively small subject pool (n = 20) generated 166,286 second-by-second samples that are split via stratified random sampling at a 90:10 ratio with composite strata keys based on Type, Participant Name and Exercise Intensity, but seven feature combinations (HR, LM, RM, LM+HR, RM+HR, LM+RM, LM+RM+HR) are compared on the same train/test split, the dense feedforward neural network architecture (128-neuron input layer with elu activation and glorot_uniform initialisation, batch normalisation, 0.3 dropout, repeated once, single-neuron linear output) was selected through approximately 20 iterations on the same data set, training hyperparameters (300 epochs, batch size 32, MSE loss, MAE monitoring, Adam at initial LR = 0.001 with EarlyStopping patience 15 and ReduceLROnPlateau factor 0.1 / patience 5 / min_lr 0.00001) are not formally tuned via nested cross-validation, no leave-one-subject-out or external validation is performed, equivalence testing is reported at ±10% but exercise-intensity-specific accuracy (Table 4) involves 42 model-by-intensity comparisons without correction for multiple testing, calibration of predicted VO2 is assessed only through Bland–Altman bias and limits of agreement (0.08 mL/kg/min, −5.64 to 5.81), and the headline LM+RM+HR result (MAE 2.11 mL/kg/min, RMSE 2.95 mL/kg/min, r = 0.94) is plausibly optimistic given the within-subject same-subject inclusion in train and test splits. Applicability is mixed: highly-trained athletes performing graded cycling and the muscle-oxygen-plus-HR predictor modality (Predictor Low) align well with the review's skeletal-muscle-NIRS focus and the VO2 outcome is within scope (Outcome Low), but the cohort is non-Paralympic and able-bodied (Participant High) so overall applicability is High for the specific Paralympic/adaptive-sport population of this review.</w:t>
            </w:r>
          </w:p>
        </w:tc>
      </w:tr>
      <w:tr w14:paraId="508ED934">
        <w:tc>
          <w:tcPr>
            <w:tcW w:w="511" w:type="pct"/>
            <w:tcBorders>
              <w:top w:val="nil"/>
              <w:left w:val="nil"/>
              <w:bottom w:val="nil"/>
              <w:right w:val="nil"/>
            </w:tcBorders>
            <w:shd w:val="clear" w:color="auto" w:fill="FFFFFF"/>
            <w:tcMar>
              <w:top w:w="30" w:type="dxa"/>
              <w:left w:w="60" w:type="dxa"/>
              <w:bottom w:w="30" w:type="dxa"/>
              <w:right w:w="60" w:type="dxa"/>
            </w:tcMar>
            <w:vAlign w:val="top"/>
          </w:tcPr>
          <w:p w14:paraId="3D02E729">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i w:val="0"/>
                <w:iCs w:val="0"/>
                <w:color w:val="000000"/>
                <w:sz w:val="15"/>
                <w:szCs w:val="15"/>
              </w:rPr>
              <w:t>Abtahi M (2020)</w:t>
            </w:r>
          </w:p>
        </w:tc>
        <w:tc>
          <w:tcPr>
            <w:tcW w:w="306" w:type="pct"/>
            <w:tcBorders>
              <w:top w:val="nil"/>
              <w:left w:val="nil"/>
              <w:bottom w:val="nil"/>
              <w:right w:val="nil"/>
            </w:tcBorders>
            <w:shd w:val="clear" w:color="auto" w:fill="FFFFFF"/>
            <w:tcMar>
              <w:top w:w="30" w:type="dxa"/>
              <w:left w:w="60" w:type="dxa"/>
              <w:bottom w:w="30" w:type="dxa"/>
              <w:right w:w="60" w:type="dxa"/>
            </w:tcMar>
            <w:vAlign w:val="top"/>
          </w:tcPr>
          <w:p w14:paraId="35DA027B">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5"/>
                <w:szCs w:val="15"/>
              </w:rPr>
              <w:t>High</w:t>
            </w:r>
          </w:p>
        </w:tc>
        <w:tc>
          <w:tcPr>
            <w:tcW w:w="315" w:type="pct"/>
            <w:tcBorders>
              <w:top w:val="nil"/>
              <w:left w:val="nil"/>
              <w:bottom w:val="nil"/>
              <w:right w:val="nil"/>
            </w:tcBorders>
            <w:shd w:val="clear" w:color="auto" w:fill="FFFFFF"/>
            <w:tcMar>
              <w:top w:w="30" w:type="dxa"/>
              <w:left w:w="60" w:type="dxa"/>
              <w:bottom w:w="30" w:type="dxa"/>
              <w:right w:w="60" w:type="dxa"/>
            </w:tcMar>
            <w:vAlign w:val="top"/>
          </w:tcPr>
          <w:p w14:paraId="10C2377F">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5"/>
                <w:szCs w:val="15"/>
              </w:rPr>
              <w:t>High</w:t>
            </w:r>
          </w:p>
        </w:tc>
        <w:tc>
          <w:tcPr>
            <w:tcW w:w="3866" w:type="pct"/>
            <w:tcBorders>
              <w:top w:val="nil"/>
              <w:left w:val="nil"/>
              <w:bottom w:val="nil"/>
              <w:right w:val="nil"/>
            </w:tcBorders>
            <w:shd w:val="clear" w:color="auto" w:fill="FFFFFF"/>
            <w:tcMar>
              <w:top w:w="40" w:type="dxa"/>
              <w:left w:w="70" w:type="dxa"/>
              <w:bottom w:w="40" w:type="dxa"/>
              <w:right w:w="70" w:type="dxa"/>
            </w:tcMar>
            <w:vAlign w:val="top"/>
          </w:tcPr>
          <w:p w14:paraId="69E529B5">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Eleven Parkinson's disease patients without deep brain stimulation and ten neurotypical participants recruited under University of Rhode Island Institutional Review Board approval with written informed consent, with 9 PD patients and 9 NT participants retained after exclusion of three subjects (NT10, PD10, PD11) for technical problems and data loss; explicit clinical PD inclusion criteria (diagnosis of PD, no DBS implants) and no-known-neurological-disorders criterion for the NT group support Low Participant ROB and Low applicability for the review's clinical-rehabilitation scope. Multimodal acquisition combines cortical fNIRS (NIRScout NIRx, 8 sources/8 detectors at 760/850 nm, 7.81 Hz, with 2 channels rejected because of S7 source malfunction), 13-channel EEG (g.USBAMP at 256 Hz placed at FC3/FC4/C1/Cz/C2/C3/C4/CP1/CP2/CP3/CP4/P3/P4 over the motor cortex by 10–20 system), 17-IMU motion capture (YEI 3-Space at upsampled 256 Hz), and the WearUp smart-glove flex sensor at variable ~50 Hz upsampled to 256 Hz, with custom Brain Body Monitoring API ensuring synchronisation across systems, EEG trigger-output linking, and standardised preprocessing (4th-order 0.1–0.4 Hz Butterworth band-pass for fNIRS to suppress heartbeat, Mayer wave and respiration; FIR order-3 1–99 Hz for EEG; z-score detrending; modified Beer–Lambert conversion with DPF 7.25/6.37 and Kollias-Gratzer extinction coefficients), supporting Low Predictor ROB; the predictor modality is cortical hemodynamic plus EEG plus body kinematics rather than skeletal muscle NIRS oxygenation, so Predictor applicability is High for the review's scope. Outcome (PD versus NT classification on a per-activity basis across 8 motor tasks — bilateral finger tapping, hand flipping, arm movement and foot stomping — and on the combined multi-activity dataset) is operationally defined by clinical PD diagnosis prior to recruitment, supporting Low Outcome ROB. Analysis domain is High because the small sample (9 PD vs 9 NT) is evaluated with twelve SVM classifier configurations (linear/polynomial-2/polynomial-3/radial kernels each at cost constants 1, 10, 100) compared on the same train/test split (first 3 trials per activity for training, last 2 trials for testing), with feature selection based on one-second averaging windows of HbO concentration (16 channels), Theta/Alpha/Beta-band PSD per EEG channel (39 features) and task-specific Mocap acceleration vector or WearUp flex value (1 feature), four classification scenarios (fNIRS only, EEG only, hybrid fNIRS/EEG, all-fused) compared on the same dataset and the best result reported per scenario without correction for the 12 × 4 = 48 model evaluations, no external validation, no leave-one-subject-out cross-validation reported (only within-trial train/test split per subject), no calibration of predicted probabilities, and the reported 93.40% accuracy with 93.78%/93.02% sensitivity/specificity for the all-fused radial-kernel SVM at cost 100 is plausibly optimistic given within-subject trial-level evaluation. Applicability is mixed: the PD patient cohort and movement-disorder classification outcome (Participant Low, Outcome Low) align with the review's clinical rehabilitation scope, but the predictor modality is cortical fNIRS plus EEG plus body kinematics rather than skeletal muscle NIRS oxygenation (Predictor High), giving High overall applicability.</w:t>
            </w:r>
          </w:p>
        </w:tc>
      </w:tr>
      <w:tr w14:paraId="2491CE29">
        <w:tc>
          <w:tcPr>
            <w:tcW w:w="511" w:type="pct"/>
            <w:tcBorders>
              <w:top w:val="nil"/>
              <w:left w:val="nil"/>
              <w:bottom w:val="nil"/>
              <w:right w:val="nil"/>
            </w:tcBorders>
            <w:shd w:val="clear" w:color="auto" w:fill="FFFFFF"/>
            <w:tcMar>
              <w:top w:w="30" w:type="dxa"/>
              <w:left w:w="60" w:type="dxa"/>
              <w:bottom w:w="30" w:type="dxa"/>
              <w:right w:w="60" w:type="dxa"/>
            </w:tcMar>
            <w:vAlign w:val="top"/>
          </w:tcPr>
          <w:p w14:paraId="3A658991">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i w:val="0"/>
                <w:iCs w:val="0"/>
                <w:color w:val="000000"/>
                <w:sz w:val="15"/>
                <w:szCs w:val="15"/>
              </w:rPr>
              <w:t>Al-Shargie F (2024)</w:t>
            </w:r>
          </w:p>
        </w:tc>
        <w:tc>
          <w:tcPr>
            <w:tcW w:w="306" w:type="pct"/>
            <w:tcBorders>
              <w:top w:val="nil"/>
              <w:left w:val="nil"/>
              <w:bottom w:val="nil"/>
              <w:right w:val="nil"/>
            </w:tcBorders>
            <w:shd w:val="clear" w:color="auto" w:fill="FFFFFF"/>
            <w:tcMar>
              <w:top w:w="30" w:type="dxa"/>
              <w:left w:w="60" w:type="dxa"/>
              <w:bottom w:w="30" w:type="dxa"/>
              <w:right w:w="60" w:type="dxa"/>
            </w:tcMar>
            <w:vAlign w:val="top"/>
          </w:tcPr>
          <w:p w14:paraId="29EFC7D8">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5"/>
                <w:szCs w:val="15"/>
              </w:rPr>
              <w:t>High</w:t>
            </w:r>
          </w:p>
        </w:tc>
        <w:tc>
          <w:tcPr>
            <w:tcW w:w="315" w:type="pct"/>
            <w:tcBorders>
              <w:top w:val="nil"/>
              <w:left w:val="nil"/>
              <w:bottom w:val="nil"/>
              <w:right w:val="nil"/>
            </w:tcBorders>
            <w:shd w:val="clear" w:color="auto" w:fill="FFFFFF"/>
            <w:tcMar>
              <w:top w:w="30" w:type="dxa"/>
              <w:left w:w="60" w:type="dxa"/>
              <w:bottom w:w="30" w:type="dxa"/>
              <w:right w:w="60" w:type="dxa"/>
            </w:tcMar>
            <w:vAlign w:val="top"/>
          </w:tcPr>
          <w:p w14:paraId="1EA6012F">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5"/>
                <w:szCs w:val="15"/>
              </w:rPr>
              <w:t>High</w:t>
            </w:r>
          </w:p>
        </w:tc>
        <w:tc>
          <w:tcPr>
            <w:tcW w:w="3866" w:type="pct"/>
            <w:tcBorders>
              <w:top w:val="nil"/>
              <w:left w:val="nil"/>
              <w:bottom w:val="nil"/>
              <w:right w:val="nil"/>
            </w:tcBorders>
            <w:shd w:val="clear" w:color="auto" w:fill="FFFFFF"/>
            <w:tcMar>
              <w:top w:w="40" w:type="dxa"/>
              <w:left w:w="70" w:type="dxa"/>
              <w:bottom w:w="40" w:type="dxa"/>
              <w:right w:w="70" w:type="dxa"/>
            </w:tcMar>
            <w:vAlign w:val="top"/>
          </w:tcPr>
          <w:p w14:paraId="79DE0D8D">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Twenty participants recruited (10 pwMS and 10 HC) under Kessler Foundation Institutional Review Board approval (R.981.17), with 9 pwMS (51.5 ± 8 years, 7 female, 2 male) and 5 HC (51.2 ± 6.4 years, 4 female, 1 male) retained after exclusion of 6 subjects for unacceptable fNIRS data quality; clear MS diagnostic recruitment and age- and gender-matched controls support Low Participant ROB and Low applicability for the review's clinical-rehabilitation scope, although the very small final HC group (n = 5) limits statistical contrast. Cortical fNIRS (NIRSport2 tandem system, 8 sources/8 detectors yielding 20 channels at 7.18 Hz over bilateral PMC/MC/SAC with 3 cm source–detector spacing within an AntiCAP128 cap and dark over-cap to block external light) acquired uniformly across the predictable and non-predictable obstacle-avoidance gait conditions on an instrumented treadmill at participant-selected comfortable speed, processed via the Brain AnalyzIR toolbox (TDDR motion-artifact correction, PCA, 0.01–0.2 Hz band-pass) with PSD features estimated via Fourier transform of the autocorrelation function and partial directed coherence (PDC) computed via multivariate autoregressive modelling at five frequency intervals from 0.01–0.2 Hz, supporting Low Predictor ROB; the predictor modality is cortical hemodynamic over PMC/MC/SAC rather than skeletal muscle NIRS oxygenation, so Predictor applicability is High for the review. Outcome (binary classification of predictable vs non-predictable obstacle-avoidance task within each group) is operationally defined by the projected-pylon paradigm with predictable obstacles spaced according to individual step length and non-predictable obstacles randomly relocated, supporting Low Outcome ROB. Analysis domain is High because the very small per-group samples (n = 9 MS, n = 5 HC) are evaluated with ten-fold cross-validation across five classifiers (KNN k=3, LDA pseudo-quadratic, NB kernel, DT split-threshold 50, SVM polynomial) on two feature sets (PSD with size 155 × 20, PDC with size 50 × 20 × 20 incorporating 5 frequencies × 10 blocks × 20 × 20 channel pairs) compared on the same dataset, with PSD and PDC reported separately and the best classifier per group selected post-hoc, the binary PDC matrix is constructed using orthogonal-minimum-spanning-tree binarisation calibrated on the same data, multiple two-sample t-tests at each frequency in 0.01–0.2 Hz are reported at p &lt; 0.01 across five condition contrasts (HP vs HuP, MSP vs MSuP, HP vs MSP, HuP vs MSuP, HC vs pwMS) without explicit global multiple-comparison correction across the five contrasts, classifier hyperparameters are not formally tuned via nested CV, no external validation is performed, no leave-one-subject-out cross-validation reported, calibration of predicted probabilities is not assessed, the data-block sliding-window strategy (10 blocks × 77 s) creates non-independent observations, and the reported 92–99% classification accuracies are plausibly optimistic given within-subject window-level evaluation and small sample size relative to feature dimensionality. Applicability is mixed: the MS patient cohort and gait-adaptation/dual-task outcome (Participant Low, Outcome Low) align with the review's clinical-rehabilitation scope, but the predictor modality is cortical PMC/MC/SAC fNIRS rather than skeletal muscle NIRS oxygenation (Predictor High), giving High overall applicability.</w:t>
            </w:r>
          </w:p>
        </w:tc>
      </w:tr>
      <w:tr w14:paraId="6DA3E000">
        <w:tc>
          <w:tcPr>
            <w:tcW w:w="511" w:type="pct"/>
            <w:tcBorders>
              <w:top w:val="nil"/>
              <w:left w:val="nil"/>
              <w:bottom w:val="nil"/>
              <w:right w:val="nil"/>
            </w:tcBorders>
            <w:shd w:val="clear" w:color="auto" w:fill="FFFFFF"/>
            <w:tcMar>
              <w:top w:w="30" w:type="dxa"/>
              <w:left w:w="60" w:type="dxa"/>
              <w:bottom w:w="30" w:type="dxa"/>
              <w:right w:w="60" w:type="dxa"/>
            </w:tcMar>
            <w:vAlign w:val="top"/>
          </w:tcPr>
          <w:p w14:paraId="55E216DF">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i w:val="0"/>
                <w:iCs w:val="0"/>
                <w:color w:val="000000"/>
                <w:sz w:val="15"/>
                <w:szCs w:val="15"/>
              </w:rPr>
              <w:t>Robinson N (2016)</w:t>
            </w:r>
          </w:p>
        </w:tc>
        <w:tc>
          <w:tcPr>
            <w:tcW w:w="306" w:type="pct"/>
            <w:tcBorders>
              <w:top w:val="nil"/>
              <w:left w:val="nil"/>
              <w:bottom w:val="nil"/>
              <w:right w:val="nil"/>
            </w:tcBorders>
            <w:shd w:val="clear" w:color="auto" w:fill="FFFFFF"/>
            <w:tcMar>
              <w:top w:w="30" w:type="dxa"/>
              <w:left w:w="60" w:type="dxa"/>
              <w:bottom w:w="30" w:type="dxa"/>
              <w:right w:w="60" w:type="dxa"/>
            </w:tcMar>
            <w:vAlign w:val="top"/>
          </w:tcPr>
          <w:p w14:paraId="7D92FD0B">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5"/>
                <w:szCs w:val="15"/>
              </w:rPr>
              <w:t>High</w:t>
            </w:r>
          </w:p>
        </w:tc>
        <w:tc>
          <w:tcPr>
            <w:tcW w:w="315" w:type="pct"/>
            <w:tcBorders>
              <w:top w:val="nil"/>
              <w:left w:val="nil"/>
              <w:bottom w:val="nil"/>
              <w:right w:val="nil"/>
            </w:tcBorders>
            <w:shd w:val="clear" w:color="auto" w:fill="FFFFFF"/>
            <w:tcMar>
              <w:top w:w="30" w:type="dxa"/>
              <w:left w:w="60" w:type="dxa"/>
              <w:bottom w:w="30" w:type="dxa"/>
              <w:right w:w="60" w:type="dxa"/>
            </w:tcMar>
            <w:vAlign w:val="top"/>
          </w:tcPr>
          <w:p w14:paraId="0A4CA1D4">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5"/>
                <w:szCs w:val="15"/>
              </w:rPr>
              <w:t>High</w:t>
            </w:r>
          </w:p>
        </w:tc>
        <w:tc>
          <w:tcPr>
            <w:tcW w:w="3866" w:type="pct"/>
            <w:tcBorders>
              <w:top w:val="nil"/>
              <w:left w:val="nil"/>
              <w:bottom w:val="nil"/>
              <w:right w:val="nil"/>
            </w:tcBorders>
            <w:shd w:val="clear" w:color="auto" w:fill="FFFFFF"/>
            <w:tcMar>
              <w:top w:w="40" w:type="dxa"/>
              <w:left w:w="70" w:type="dxa"/>
              <w:bottom w:w="40" w:type="dxa"/>
              <w:right w:w="70" w:type="dxa"/>
            </w:tcMar>
            <w:vAlign w:val="top"/>
          </w:tcPr>
          <w:p w14:paraId="476FFF39">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Eleven healthy participants (both male and female, aged 21–35) recruited at the University of Tuebingen with Faculty of Medicine Institutional Review Board approval and monetary compensation; subject S11 participated in both Experiments 1 and 2 (yielding 4 + 4 + 4 = 12 unique participants across three experiments), but no stroke, locked-in, paralysed, aphasic, Paralympic, adaptive-sport or other clinical rehabilitation cohort included despite the explicit motivation of restoring motor function in patients with neuromuscular impairments and the proposed neurorehabilitation application, raising Participant ROB and applicability. Cortical fNIRS (Shimadzu FOIRE-3000 system at 7.69 Hz, 760/830 nm, 16 sources/16 detectors arranged as two 4-by-4 checkerboard grids centred on C3 and C4 of the International 10-20 system with 25 mm source–detector separation) acquired uniformly with semi-flexible head-mount, baseline correction, hemodynamic-response-function low-pass pre-colouring, Wavelet-Minimum-Description-Length detrending and modified Beer–Lambert conversion to ΔHbO/ΔHbR over the bilateral primary motor and pre-motor cortices supports Low Predictor ROB; the modality is cortical hemodynamic rather than skeletal muscle NIRS, so Predictor applicability is High for the review. Outcome (binary classification of left versus right hand movement during overt motor execution and covert motor imagery, with each paradigm comprising 5 runs of 6 task blocks separated by 7 rest blocks) is operationally defined by visual-cue-driven trial blocks (blue screen with black dot for Rest, red screen with right arrow for Task-Right, green screen with left arrow for Task-Left), with cued imagined movements similar to clenching and unclenching at ~1 Hz during ME and analogous imagery without movement during MI; supporting Low Outcome ROB. Analysis domain is High because the very small per-experiment samples (4 subjects in Experiment 1, 4 in Experiment 2 including overlap with S11, and 4 new subjects in Experiment 3 with the SIC trained on Experiment-1 ME data from 4 subjects) are evaluated with adaptive between-runs classifier retraining and within-run bias correction, mutual-information-based feature selection that identifies the top 12 features per run from the same training data later used to build the SVM classifier (Parzen-window conditional probability estimation introduces data-driven selection), 5-fold cross-validation accuracies (e.g. 82.06 ± 1.31% and 85.70 ± 1.59% in Experiment 1) are reported as evidence of stationarity but the entire training dataset is then re-used to construct the deployed classifier without held-out evaluation, no formal hyperparameter tuning of SVM kernel/regularisation, no external validation across centres, no leave-one-subject-out evaluation other than the explicit subject-independent design of Experiment 3 (which trains on 4 ME subjects and tests on 4 new subjects with the training-set ME accuracy of 68% used to declare model validity), calibration is not formally assessed, ROC operating points are selected to maximise TPR–FPR on the same data, and reported real-time accuracies (Experiment 1: 80% ME / 72% MI; Experiment 2: 73% ME / 51–69% MI; Experiment 3: 80% ME / 57–67% MI cross-subject) are plausibly close to a realistic upper bound but the within-subject mutual-information feature selection and bias correction inflate the apparent classification quality. Applicability is High overall because participants are healthy young adults rather than stroke or rehabilitation patients, and the predictor modality is cortical motor-cortex fNIRS rather than skeletal muscle NIRS oxygenation; the MI/ME bilateral-hand BCI outcome is broadly aligned with the rehabilitation-engineering and assistive-technology scope of the review.</w:t>
            </w:r>
          </w:p>
        </w:tc>
      </w:tr>
      <w:tr w14:paraId="0A78D61D">
        <w:tc>
          <w:tcPr>
            <w:tcW w:w="511" w:type="pct"/>
            <w:tcBorders>
              <w:top w:val="nil"/>
              <w:left w:val="nil"/>
              <w:bottom w:val="nil"/>
              <w:right w:val="nil"/>
            </w:tcBorders>
            <w:shd w:val="clear" w:color="auto" w:fill="FFFFFF"/>
            <w:tcMar>
              <w:top w:w="30" w:type="dxa"/>
              <w:left w:w="60" w:type="dxa"/>
              <w:bottom w:w="30" w:type="dxa"/>
              <w:right w:w="60" w:type="dxa"/>
            </w:tcMar>
            <w:vAlign w:val="top"/>
          </w:tcPr>
          <w:p w14:paraId="01ED783F">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i w:val="0"/>
                <w:iCs w:val="0"/>
                <w:color w:val="000000"/>
                <w:sz w:val="15"/>
                <w:szCs w:val="15"/>
              </w:rPr>
              <w:t>Li C (2021)</w:t>
            </w:r>
          </w:p>
        </w:tc>
        <w:tc>
          <w:tcPr>
            <w:tcW w:w="306" w:type="pct"/>
            <w:tcBorders>
              <w:top w:val="nil"/>
              <w:left w:val="nil"/>
              <w:bottom w:val="nil"/>
              <w:right w:val="nil"/>
            </w:tcBorders>
            <w:shd w:val="clear" w:color="auto" w:fill="FFFFFF"/>
            <w:tcMar>
              <w:top w:w="30" w:type="dxa"/>
              <w:left w:w="60" w:type="dxa"/>
              <w:bottom w:w="30" w:type="dxa"/>
              <w:right w:w="60" w:type="dxa"/>
            </w:tcMar>
            <w:vAlign w:val="top"/>
          </w:tcPr>
          <w:p w14:paraId="24C8C6CB">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5"/>
                <w:szCs w:val="15"/>
              </w:rPr>
              <w:t>High</w:t>
            </w:r>
          </w:p>
        </w:tc>
        <w:tc>
          <w:tcPr>
            <w:tcW w:w="315" w:type="pct"/>
            <w:tcBorders>
              <w:top w:val="nil"/>
              <w:left w:val="nil"/>
              <w:bottom w:val="nil"/>
              <w:right w:val="nil"/>
            </w:tcBorders>
            <w:shd w:val="clear" w:color="auto" w:fill="FFFFFF"/>
            <w:tcMar>
              <w:top w:w="30" w:type="dxa"/>
              <w:left w:w="60" w:type="dxa"/>
              <w:bottom w:w="30" w:type="dxa"/>
              <w:right w:w="60" w:type="dxa"/>
            </w:tcMar>
            <w:vAlign w:val="top"/>
          </w:tcPr>
          <w:p w14:paraId="6732C369">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5"/>
                <w:szCs w:val="15"/>
              </w:rPr>
              <w:t>High</w:t>
            </w:r>
          </w:p>
        </w:tc>
        <w:tc>
          <w:tcPr>
            <w:tcW w:w="3866" w:type="pct"/>
            <w:tcBorders>
              <w:top w:val="nil"/>
              <w:left w:val="nil"/>
              <w:bottom w:val="nil"/>
              <w:right w:val="nil"/>
            </w:tcBorders>
            <w:shd w:val="clear" w:color="auto" w:fill="FFFFFF"/>
            <w:tcMar>
              <w:top w:w="40" w:type="dxa"/>
              <w:left w:w="70" w:type="dxa"/>
              <w:bottom w:w="40" w:type="dxa"/>
              <w:right w:w="70" w:type="dxa"/>
            </w:tcMar>
            <w:vAlign w:val="top"/>
          </w:tcPr>
          <w:p w14:paraId="38677D77">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Fifty healthy volunteers (29 male, 21 female; all right-handed; no chronic physical/mental illness, no cardiovascular or cerebrovascular disease history; first-time and one-time experiment participation; no caffeine or alcohol intake within four hours pre-experiment; scalp cleanliness verified) recruited with informed consent prior to testing, but no stroke survivor, spinal-cord-injury, Paralympic, adaptive-sport or other clinical rehabilitation cohort included despite the explicit framing for upper-limb rehabilitation training in stroke patients with motor dysfunction and the proposed BCI-controlled rehabilitation robot application, raising Participant ROB and applicability. Cortical fNIRS (Shimadzu FOIRE-3000 in continuous mode at 130 ms sampling) acquired uniformly with a 4 × 4 headgear layout providing 24 effective channels covering PFC, SMA, PMCL, PMCR and M1 brain functional areas, located via the international 10–20 system with Cz as a reference point and standardised mathematical-morphology preprocessing (corrosion-expansion-based opening and closing operations for impulse-noise removal, with parameter optimisation across cosine/triangle/semicircle/straight-line structural elements, amplitudes and widths to maximise SNR and minimise MSE — straight line at amplitude 1 / width 50 selected as optimal) supports Low Predictor ROB; the modality is cortical hemodynamic over PFC/SMA/PMC/M1 rather than skeletal muscle NIRS oxygenation, so Predictor applicability is High for the review. Outcome (two cascaded classification tasks — binary detection of action initiation versus rest, and four-class motor-state classification across lifting up / putting down / pulling back / pushing forward) is operationally defined by spontaneously-controlled task-execution paradigm with subjects starting and resting autonomously, real-time near-infrared and movement-trigger signals recorded synchronously, supporting Low Outcome ROB. Analysis domain is High because the data set (40 subjects × 81,746 samples for the cross-validation set, 10 subjects × 16,392 samples for the test set) is processed via the proposed RF-based feature-selection algorithm with sequential backward search until a fixed final feature count (60 selected from the original feature space), but RF and GBDT classifiers are compared at six feature-dimension settings (40, 50, 60, 70, 80, 90) and five threshold-shift probability thresholds (0.3, 0.4, 0.5, 0.6, 0.7) on the same dataset with the optimal combination (60 features, threshold 0.4, comprehensive index 1.200 train / 0.971 test) selected post-hoc creating circular hyperparameter selection, the ReliefF + genetic-algorithm two-stage feature-selection pipeline for the four-class task is fit on the same dataset later used for evaluation, four classifiers (LR, SVM polynomial, NB kernel, LDA) are compared on the same train/test split with the best-performing SVM (Kappa 0.792, accuracy 84.4%) selected after iterative genetic-algorithm convergence, the imbalanced rest-vs-task sample distribution (rest segments much longer than task segments) is addressed only via the threshold-shift method without formal SMOTE/undersampling, no external multicentre validation is performed, no leave-one-subject-out cross-validation reported (subjects are mixed across training and test sets), calibration of predicted probabilities is not assessed, the action-state classification operates on a −3 s to 0 s pre-action time window with sliding window length 20 and overlap of 3 sampling points generating non-independent observations, and the reported best offline recognition rate (94.4%, 151/160) and four-class accuracy (84.4%) are plausibly optimistic given within-subject sample-level evaluation and the cascaded structure that propagates errors between the onset and pattern-classification stages. Applicability is High overall because the participant cohort is healthy young/middle-aged volunteers rather than stroke patients, Paralympic athletes or adaptive-sport populations, and the predictor modality is</w:t>
            </w:r>
            <w:r>
              <w:rPr>
                <w:rFonts w:hint="default" w:ascii="Times New Roman Regular" w:hAnsi="Times New Roman Regular" w:eastAsia="Arial" w:cs="Times New Roman Regular"/>
                <w:b w:val="0"/>
                <w:bCs w:val="0"/>
                <w:i w:val="0"/>
                <w:iCs w:val="0"/>
                <w:color w:val="000000"/>
                <w:sz w:val="14"/>
                <w:szCs w:val="14"/>
              </w:rPr>
              <w:t xml:space="preserve"> cortical PFC/SMA/PMC/M1 fNIRS rather than skeletal muscle NIRS oxygenation; outcome (upper-limb movement-intention recognition for rehabilitation robot control) is broadly aligned with the rehabilitation/assistive-device scope of the review.</w:t>
            </w:r>
          </w:p>
        </w:tc>
      </w:tr>
      <w:tr w14:paraId="5E8A71C9">
        <w:tc>
          <w:tcPr>
            <w:tcW w:w="511" w:type="pct"/>
            <w:tcBorders>
              <w:top w:val="nil"/>
              <w:left w:val="nil"/>
              <w:bottom w:val="nil"/>
              <w:right w:val="nil"/>
            </w:tcBorders>
            <w:shd w:val="clear" w:color="auto" w:fill="FFFFFF"/>
            <w:tcMar>
              <w:top w:w="30" w:type="dxa"/>
              <w:left w:w="60" w:type="dxa"/>
              <w:bottom w:w="30" w:type="dxa"/>
              <w:right w:w="60" w:type="dxa"/>
            </w:tcMar>
            <w:vAlign w:val="top"/>
          </w:tcPr>
          <w:p w14:paraId="527800C4">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i w:val="0"/>
                <w:iCs w:val="0"/>
                <w:color w:val="000000"/>
                <w:sz w:val="15"/>
                <w:szCs w:val="15"/>
              </w:rPr>
              <w:t>Dale R (2023)</w:t>
            </w:r>
          </w:p>
        </w:tc>
        <w:tc>
          <w:tcPr>
            <w:tcW w:w="306" w:type="pct"/>
            <w:tcBorders>
              <w:top w:val="nil"/>
              <w:left w:val="nil"/>
              <w:bottom w:val="nil"/>
              <w:right w:val="nil"/>
            </w:tcBorders>
            <w:shd w:val="clear" w:color="auto" w:fill="FFFFFF"/>
            <w:tcMar>
              <w:top w:w="30" w:type="dxa"/>
              <w:left w:w="60" w:type="dxa"/>
              <w:bottom w:w="30" w:type="dxa"/>
              <w:right w:w="60" w:type="dxa"/>
            </w:tcMar>
            <w:vAlign w:val="top"/>
          </w:tcPr>
          <w:p w14:paraId="23579701">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5"/>
                <w:szCs w:val="15"/>
              </w:rPr>
              <w:t>High</w:t>
            </w:r>
          </w:p>
        </w:tc>
        <w:tc>
          <w:tcPr>
            <w:tcW w:w="315" w:type="pct"/>
            <w:tcBorders>
              <w:top w:val="nil"/>
              <w:left w:val="nil"/>
              <w:bottom w:val="nil"/>
              <w:right w:val="nil"/>
            </w:tcBorders>
            <w:shd w:val="clear" w:color="auto" w:fill="FFFFFF"/>
            <w:tcMar>
              <w:top w:w="30" w:type="dxa"/>
              <w:left w:w="60" w:type="dxa"/>
              <w:bottom w:w="30" w:type="dxa"/>
              <w:right w:w="60" w:type="dxa"/>
            </w:tcMar>
            <w:vAlign w:val="top"/>
          </w:tcPr>
          <w:p w14:paraId="663D480D">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5"/>
                <w:szCs w:val="15"/>
              </w:rPr>
              <w:t>High</w:t>
            </w:r>
          </w:p>
        </w:tc>
        <w:tc>
          <w:tcPr>
            <w:tcW w:w="3866" w:type="pct"/>
            <w:tcBorders>
              <w:top w:val="nil"/>
              <w:left w:val="nil"/>
              <w:bottom w:val="nil"/>
              <w:right w:val="nil"/>
            </w:tcBorders>
            <w:shd w:val="clear" w:color="auto" w:fill="FFFFFF"/>
            <w:tcMar>
              <w:top w:w="40" w:type="dxa"/>
              <w:left w:w="70" w:type="dxa"/>
              <w:bottom w:w="40" w:type="dxa"/>
              <w:right w:w="70" w:type="dxa"/>
            </w:tcMar>
            <w:vAlign w:val="top"/>
          </w:tcPr>
          <w:p w14:paraId="43CEACAC">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Seven human subjects (six male, one female; aged 36 ± 8 years) recruited at the University of Birmingham under Programme of Work ERN_17-0544P (reference ERN_17-0544AP4) with written informed consent, but no stroke, spinal-cord-injury, amputee, Paralympic, adaptive-sport or other clinical rehabilitation cohort included despite the explicit framing for restoring physical capabilities to people with neuromuscular impairments, locked-in syndrome and amputees via robotic-prosthesis control, raising Participant ROB and applicability; participants were preferentially selected for little, light, thin or no hair (because dark/thick hair detrimentally affects fNIRS signal quality) introducing further selection bias. Frequency-domain fNIRS (dual-module ISS Imagent 2 system at 690/830 nm with 141 MHz intensity modulation, 32 laser-diode sources / 30 photo-multiplier-tube detectors yielding 440 measurement channels at 39 Hz, sampled in two HD grids over the left and right primary motor cortices at 10–20 positions C3 and C4 within a 5 mm neoprene swimming cap with 3D-printed flexible mounts and spring clamps) acquired uniformly with neuroDOT preprocessing (SNR &gt; 7.5 channel rejection, OD/phase-shift conversion, 0.01–0.5 Hz band-pass, Beer–Lambert via NIRFAST semi-infinite Jacobian inversion, 2 Hz resampling, z-score channel standardisation, neighbour-average bad-channel interpolation with up to 8 surrounding channels) supports Low Predictor ROB; the modality is cortical motor-cortex fNIRS (only NN1 13 mm and NN2 29 mm channels retained, NN3 39 mm discarded for poor SNR) rather than skeletal muscle NIRS oxygenation, so Predictor applicability is High for the review. Outcome (three-class classification of left-hand finger-opposition vs right-hand finger-opposition vs rest from 10-second pseudo-randomised task windows, 16 task periods per run × 5 runs per subject with ~80 trials per condition) is operationally defined by visual-cue plus spoken-command paradigm with thumb-to-finger sequence (1st-2nd-1st-3rd-1st-4th-1st-5th-repeat) and supports Low Outcome ROB. Analysis domain is High because the very small sample (n = 7, with 2 runs rejected for poor signal quality leaving 33 runs and 1023 labelled examples) is evaluated under two training schemes (mixed-subjects and subject-independent) but three CNN configurations (3D CNN + Block, 3D CNN + S-by-D, 1D CNN + Flat) are compared on the same dataset with hyperparameters (number of conv layers 1–3, n filters 4/8/16/32, filter temporal size 2/4/10, n FC layers 1/2/3, FC size 25/100/200, dropout 0.2/0.4/0.8, batch size 25/50/100, n epochs 30/60/100, learning rate 0.1/0.01/0.001) selected via class-stratified group-based 5-fold cross-validation grid-search on the validation data and the final hyperparameter combinations are then re-used to evaluate the held-out test session creating partial circularity, the proposed Block data structure and the data-augmentation flip-and-relabel technique that doubles the training set are evaluated on the same pipeline, two-way ANOVA with Shapiro-Wilk normality testing is reported for between-model comparisons but post-hoc t-tests across 7 subjects × 3 models do not include explicit Bonferroni correction across all pairwise contrasts, no external validation is performed, calibration of predicted probabilities is not assessed, mixed-subjects accuracy (mean 77.7% across models) is significantly higher than subject-independent accuracy (mean 56.6%) suggesting subject-specific information leakage in the mixed-subjects scheme, and the reported peak F1 of 0.69 in mixed-subjects training and 0.583 in subject-independent training with 3D CNN + Block are plausibly close to a realistic upper bound but the within-subject hyperparameter selection and the small total sample limit generalisability. Applicability is High overall because the participant cohort is healthy adults rather than amputees, paralysed or stroke patients, Paralympic or adaptive-sport athletes, and the predictor modality is cortical motor-cortex FD-fNIRS rat</w:t>
            </w:r>
            <w:r>
              <w:rPr>
                <w:rFonts w:hint="default" w:ascii="Times New Roman Regular" w:hAnsi="Times New Roman Regular" w:eastAsia="Arial" w:cs="Times New Roman Regular"/>
                <w:b w:val="0"/>
                <w:bCs w:val="0"/>
                <w:i w:val="0"/>
                <w:iCs w:val="0"/>
                <w:color w:val="000000"/>
                <w:sz w:val="14"/>
                <w:szCs w:val="14"/>
              </w:rPr>
              <w:t>her than skeletal muscle NIRS oxygenation; outcome (three-class motor-task classification for BCI control) is within the broader rehabilitation-engineering scope of the review.</w:t>
            </w:r>
          </w:p>
        </w:tc>
      </w:tr>
      <w:tr w14:paraId="595156E5">
        <w:tc>
          <w:tcPr>
            <w:tcW w:w="511" w:type="pct"/>
            <w:tcBorders>
              <w:top w:val="nil"/>
              <w:left w:val="nil"/>
              <w:right w:val="nil"/>
            </w:tcBorders>
            <w:shd w:val="clear" w:color="auto" w:fill="FFFFFF"/>
            <w:tcMar>
              <w:top w:w="30" w:type="dxa"/>
              <w:left w:w="60" w:type="dxa"/>
              <w:bottom w:w="30" w:type="dxa"/>
              <w:right w:w="60" w:type="dxa"/>
            </w:tcMar>
            <w:vAlign w:val="top"/>
          </w:tcPr>
          <w:p w14:paraId="1BA644A8">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i w:val="0"/>
                <w:iCs w:val="0"/>
                <w:color w:val="000000"/>
                <w:sz w:val="15"/>
                <w:szCs w:val="15"/>
              </w:rPr>
              <w:t>Kim J (2024)</w:t>
            </w:r>
          </w:p>
        </w:tc>
        <w:tc>
          <w:tcPr>
            <w:tcW w:w="306" w:type="pct"/>
            <w:tcBorders>
              <w:top w:val="nil"/>
              <w:left w:val="nil"/>
              <w:right w:val="nil"/>
            </w:tcBorders>
            <w:shd w:val="clear" w:color="auto" w:fill="FFFFFF"/>
            <w:tcMar>
              <w:top w:w="30" w:type="dxa"/>
              <w:left w:w="60" w:type="dxa"/>
              <w:bottom w:w="30" w:type="dxa"/>
              <w:right w:w="60" w:type="dxa"/>
            </w:tcMar>
            <w:vAlign w:val="top"/>
          </w:tcPr>
          <w:p w14:paraId="6EFCAC42">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5"/>
                <w:szCs w:val="15"/>
              </w:rPr>
              <w:t>High</w:t>
            </w:r>
          </w:p>
        </w:tc>
        <w:tc>
          <w:tcPr>
            <w:tcW w:w="315" w:type="pct"/>
            <w:tcBorders>
              <w:top w:val="nil"/>
              <w:left w:val="nil"/>
              <w:right w:val="nil"/>
            </w:tcBorders>
            <w:shd w:val="clear" w:color="auto" w:fill="FFFFFF"/>
            <w:tcMar>
              <w:top w:w="30" w:type="dxa"/>
              <w:left w:w="60" w:type="dxa"/>
              <w:bottom w:w="30" w:type="dxa"/>
              <w:right w:w="60" w:type="dxa"/>
            </w:tcMar>
            <w:vAlign w:val="top"/>
          </w:tcPr>
          <w:p w14:paraId="44C2323D">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5"/>
                <w:szCs w:val="15"/>
              </w:rPr>
              <w:t>High</w:t>
            </w:r>
          </w:p>
        </w:tc>
        <w:tc>
          <w:tcPr>
            <w:tcW w:w="3866" w:type="pct"/>
            <w:tcBorders>
              <w:top w:val="nil"/>
              <w:left w:val="nil"/>
              <w:right w:val="nil"/>
            </w:tcBorders>
            <w:shd w:val="clear" w:color="auto" w:fill="FFFFFF"/>
            <w:tcMar>
              <w:top w:w="40" w:type="dxa"/>
              <w:left w:w="70" w:type="dxa"/>
              <w:bottom w:w="40" w:type="dxa"/>
              <w:right w:w="70" w:type="dxa"/>
            </w:tcMar>
            <w:vAlign w:val="top"/>
          </w:tcPr>
          <w:p w14:paraId="189A390F">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Regular" w:hAnsi="Times New Roman Regular" w:cs="Times New Roman Regular"/>
                <w:b w:val="0"/>
                <w:color w:val="000000"/>
              </w:rPr>
            </w:pPr>
            <w:r>
              <w:rPr>
                <w:rFonts w:hint="default" w:ascii="Times New Roman Regular" w:hAnsi="Times New Roman Regular" w:eastAsia="Arial" w:cs="Times New Roman Regular"/>
                <w:b w:val="0"/>
                <w:bCs w:val="0"/>
                <w:i w:val="0"/>
                <w:iCs w:val="0"/>
                <w:color w:val="000000"/>
                <w:sz w:val="14"/>
                <w:szCs w:val="14"/>
              </w:rPr>
              <w:t xml:space="preserve">Eighteen patients with chronic stroke (13 male, 5 female; mean age 67.0 ± 7.1 years; 11 infarction, 7 haemorrhage; 12 left-lesion, 6 right-lesion; mean stroke duration 68.4 ± 54.1 months; FMA-UE 45.9 ± 7.8) recruited under Samsung Medical Center IRB approval (SMC 2022-10-117) and registered at ClinicalTrials.gov (NCT05743296), with explicit clinical inclusion criteria (age 19–80, ≥6 months post-stroke, unilateral subcortical lesion, mild-to-moderate UE impairment with FMA-UE 25–57, ability to grasp and release objects, MMSE-K ≥24) and exclusion of non-stroke neurological disorders, major psychiatric disorders, severe spatial/temporal neglect or apraxia, musculoskeletal disorders or implantable electronic devices; the original target was 20 participants based on an a priori power calculation (effect size 1.308, α 0.05, 1-β 85%) with 18 retained after one consent withdrawal and two missing-data exclusions, supporting Low Participant ROB and Low applicability for the review's clinical-rehabilitation scope. Cortical fNIRS (NIRScout NIRx continuous-wave system at 760/850 nm, 10.25 Hz, 24 LED sources / 24 detectors yielding 81 source–detector channels covering frontal, motor, parietal, temporal and occipital cortices with 3.0 cm source–detector spacing aligned to the international 10/20 system with Cz as reference) acquired during a 25-minute MotoCog digital rehabilitation programme (Cybermedic Co., Ltd., comprising four randomised tasks — gas stove operation, watering the garden, hitting the target, turning off the lights — each in a box-car block design with 4 × 1-minute task slots per block × 5 repeats and intervening 1-minute rest blocks plus 60-second eyes-closed baseline), processed via nirsLAB v.2019.04 with discontinuity/spike replacement, gain-8 / CV-7.5 channel-quality threshold, 0.01–0.2 Hz band-pass, modified Beer–Lambert conversion, and SPM general linear model with canonical hemodynamic response function — supports Low Predictor ROB; however the modality is cortical hemodynamic over a whole-head 81-channel montage rather than skeletal muscle NIRS oxygenation, so Predictor ROB is rated High for the review's construct of interest and Predictor applicability is High. Outcome (FMA-UE severity binary classification — notable-to-full at score ≥ 48 versus limited at score &lt; 48 — and continuous behavioural correlates including grip and pinch strength, Box and Block test, 9HPT, JTHFT and motor-evoked-potential resting motor threshold/amplitude/latency) is clinically validated and assessor-administered, supporting Low Outcome ROB. Analysis domain is High because the small sample (n = 18 with 8 in the notable-to-full and 10 in the limited subgroup) is evaluated with the K-Nearest-Neighbour algorithm (3-fold cross-validation rotating each subset as validation once) using task performance scores and oxy-Hb t-values from the ipsilesional M1 (Cz-C1 channel) as features, two model configurations (task score only versus task score plus oxy-Hb t-value) are compared across four tasks on the same dataset with the task-score-plus-t-value model declared superior post-hoc (gas-stove accuracy rising from 44.4% to 83.3%), but channel selection from 81 channels is data-driven with the Cz-C1 channel chosen because it showed the strongest FMA-UE correlation in the same dataset later used for KNN evaluation, no external multicentre validation is performed, no leave-one-subject-out cross-validation reported, calibration of predicted probabilities is not assessed, multiple Pearson correlations between FMA-UE / task scores / 81 channel t-values are computed without explicit FDR correction across the channel space, the SPM uncorrected p &lt; 0.05 threshold is acknowledged but Bonferroni correction is not applied to the t-statistic maps, and the reported KNN accuracies (83.3% for gas-stove, watering and turning-off-the-lights tasks; 55.6% for hitting-the-target) are plausibly optimistic given within-subject channel-selection circularity and small sample size relative to model complexity. Applicability </w:t>
            </w:r>
            <w:r>
              <w:rPr>
                <w:rFonts w:hint="default" w:ascii="Times New Roman Regular" w:hAnsi="Times New Roman Regular" w:eastAsia="Arial" w:cs="Times New Roman Regular"/>
                <w:b w:val="0"/>
                <w:bCs w:val="0"/>
                <w:i w:val="0"/>
                <w:iCs w:val="0"/>
                <w:color w:val="000000"/>
                <w:sz w:val="14"/>
                <w:szCs w:val="14"/>
              </w:rPr>
              <w:t>is mixed: the chronic-stroke patient cohort and FMA-UE-based motor-impairment classification (Participant Low, Outcome Low) are within the review's clinical-rehabilitation scope, but the predictor modality is cortical task-evoked fNIRS over a whole-head montage rather than skeletal muscle NIRS oxygenation (Predictor High), giving High overall applicability.</w:t>
            </w:r>
          </w:p>
        </w:tc>
      </w:tr>
    </w:tbl>
    <w:p w14:paraId="2F875FEE">
      <w:pPr>
        <w:keepNext w:val="0"/>
        <w:keepLines w:val="0"/>
        <w:pageBreakBefore w:val="0"/>
        <w:widowControl w:val="0"/>
        <w:kinsoku/>
        <w:wordWrap/>
        <w:overflowPunct/>
        <w:topLinePunct w:val="0"/>
        <w:autoSpaceDE/>
        <w:autoSpaceDN/>
        <w:bidi w:val="0"/>
        <w:adjustRightInd/>
        <w:snapToGrid/>
        <w:textAlignment w:val="auto"/>
        <w:rPr>
          <w:rFonts w:hint="default" w:ascii="Times New Roman Regular" w:hAnsi="Times New Roman Regular" w:cs="Times New Roman Regular"/>
          <w:color w:val="auto"/>
        </w:rPr>
      </w:pPr>
    </w:p>
    <w:sectPr>
      <w:pgSz w:w="15840" w:h="12240" w:orient="landscape"/>
      <w:pgMar w:top="1080" w:right="1080" w:bottom="1080" w:left="1080" w:header="708" w:footer="708"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panose1 w:val="020B0604020202090204"/>
    <w:charset w:val="01"/>
    <w:family w:val="swiss"/>
    <w:pitch w:val="default"/>
    <w:sig w:usb0="E0000AFF" w:usb1="00007843" w:usb2="00000001" w:usb3="00000000" w:csb0="400001BF" w:csb1="DFF70000"/>
  </w:font>
  <w:font w:name="黑体">
    <w:altName w:val="汉仪中黑KW"/>
    <w:panose1 w:val="02010609060101010101"/>
    <w:charset w:val="86"/>
    <w:family w:val="auto"/>
    <w:pitch w:val="default"/>
    <w:sig w:usb0="800002BF" w:usb1="38CF7CFA" w:usb2="00000016" w:usb3="00000000" w:csb0="00040001" w:csb1="00000000"/>
  </w:font>
  <w:font w:name="Courier New">
    <w:panose1 w:val="02070409020205090404"/>
    <w:charset w:val="01"/>
    <w:family w:val="modern"/>
    <w:pitch w:val="default"/>
    <w:sig w:usb0="E0000AFF" w:usb1="40007843" w:usb2="00000001" w:usb3="00000000" w:csb0="400001BF" w:csb1="DFF7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Arial">
    <w:panose1 w:val="020B0604020202090204"/>
    <w:charset w:val="00"/>
    <w:family w:val="auto"/>
    <w:pitch w:val="default"/>
    <w:sig w:usb0="E0000AFF" w:usb1="00007843" w:usb2="00000001" w:usb3="00000000" w:csb0="400001BF" w:csb1="DFF70000"/>
  </w:font>
  <w:font w:name="汉仪书宋二KW">
    <w:panose1 w:val="00020600040101010101"/>
    <w:charset w:val="86"/>
    <w:family w:val="auto"/>
    <w:pitch w:val="default"/>
    <w:sig w:usb0="A00002BF" w:usb1="18EF7CFA" w:usb2="00000016" w:usb3="00000000" w:csb0="00040000" w:csb1="00000000"/>
  </w:font>
  <w:font w:name="Helvetica Neue">
    <w:panose1 w:val="02000503000000020004"/>
    <w:charset w:val="00"/>
    <w:family w:val="auto"/>
    <w:pitch w:val="default"/>
    <w:sig w:usb0="E50002FF" w:usb1="500079DB" w:usb2="00000010" w:usb3="00000000" w:csb0="00000000" w:csb1="00000000"/>
  </w:font>
  <w:font w:name="汉仪中黑KW">
    <w:panose1 w:val="00020600040101010101"/>
    <w:charset w:val="86"/>
    <w:family w:val="auto"/>
    <w:pitch w:val="default"/>
    <w:sig w:usb0="A00002BF" w:usb1="18EF7CFA" w:usb2="00000016" w:usb3="00000000" w:csb0="00040000" w:csb1="00000000"/>
  </w:font>
  <w:font w:name="Kingsoft Sign">
    <w:panose1 w:val="05050102010706020507"/>
    <w:charset w:val="00"/>
    <w:family w:val="auto"/>
    <w:pitch w:val="default"/>
    <w:sig w:usb0="00000000" w:usb1="10000000" w:usb2="00000000" w:usb3="00000000" w:csb0="00000001" w:csb1="00000000"/>
  </w:font>
  <w:font w:name="Arial Unicode MS">
    <w:panose1 w:val="020B0604020202020204"/>
    <w:charset w:val="86"/>
    <w:family w:val="auto"/>
    <w:pitch w:val="default"/>
    <w:sig w:usb0="FFFFFFFF" w:usb1="E9FFFFFF" w:usb2="0000003F" w:usb3="00000000" w:csb0="603F01FF" w:csb1="FFFF0000"/>
  </w:font>
  <w:font w:name="宋体-简">
    <w:panose1 w:val="02010800040101010101"/>
    <w:charset w:val="86"/>
    <w:family w:val="auto"/>
    <w:pitch w:val="default"/>
    <w:sig w:usb0="00000001" w:usb1="080F0000" w:usb2="00000000" w:usb3="00000000" w:csb0="00040000" w:csb1="00000000"/>
  </w:font>
  <w:font w:name="Times New Roman Regular">
    <w:panose1 w:val="02020503050405090304"/>
    <w:charset w:val="00"/>
    <w:family w:val="auto"/>
    <w:pitch w:val="default"/>
    <w:sig w:usb0="E0000AFF" w:usb1="00007843" w:usb2="00000001" w:usb3="00000000" w:csb0="400001BF" w:csb1="DFF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63"/>
  <w:doNotDisplayPageBoundaries w:val="1"/>
  <w:displayBackgroundShape w:val="1"/>
  <w:documentProtection w:enforcement="0"/>
  <w:compat>
    <w:useFELayout/>
    <w:compatSetting w:name="compatibilityMode" w:uri="http://schemas.microsoft.com/office/word" w:val="15"/>
  </w:compat>
  <w:rsids>
    <w:rsidRoot w:val="00000000"/>
    <w:rsid w:val="DEFBA70F"/>
    <w:rsid w:val="DFAE8445"/>
    <w:rsid w:val="EDEB36AA"/>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iPriority="99"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iPriority="99" w:name="footnote reference"/>
    <w:lsdException w:unhideWhenUsed="0" w:uiPriority="0" w:semiHidden="0" w:name="annotation reference"/>
    <w:lsdException w:unhideWhenUsed="0" w:uiPriority="0" w:semiHidden="0" w:name="line number"/>
    <w:lsdException w:unhideWhenUsed="0" w:uiPriority="0" w:semiHidden="0" w:name="page number"/>
    <w:lsdException w:uiPriority="99" w:name="endnote reference"/>
    <w:lsdException w:uiPriority="99"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sz w:val="21"/>
      <w:szCs w:val="22"/>
    </w:rPr>
  </w:style>
  <w:style w:type="paragraph" w:styleId="2">
    <w:name w:val="heading 1"/>
    <w:next w:val="1"/>
    <w:qFormat/>
    <w:uiPriority w:val="0"/>
    <w:rPr>
      <w:color w:val="2E74B5"/>
      <w:sz w:val="32"/>
      <w:szCs w:val="32"/>
    </w:rPr>
  </w:style>
  <w:style w:type="paragraph" w:styleId="3">
    <w:name w:val="heading 2"/>
    <w:next w:val="1"/>
    <w:qFormat/>
    <w:uiPriority w:val="0"/>
    <w:rPr>
      <w:color w:val="2E74B5"/>
      <w:sz w:val="26"/>
      <w:szCs w:val="26"/>
    </w:rPr>
  </w:style>
  <w:style w:type="paragraph" w:styleId="4">
    <w:name w:val="heading 3"/>
    <w:next w:val="1"/>
    <w:qFormat/>
    <w:uiPriority w:val="0"/>
    <w:rPr>
      <w:color w:val="1F4D78"/>
      <w:sz w:val="24"/>
      <w:szCs w:val="24"/>
    </w:rPr>
  </w:style>
  <w:style w:type="paragraph" w:styleId="5">
    <w:name w:val="heading 4"/>
    <w:next w:val="1"/>
    <w:qFormat/>
    <w:uiPriority w:val="0"/>
    <w:rPr>
      <w:i/>
      <w:iCs/>
      <w:color w:val="2E74B5"/>
      <w:sz w:val="21"/>
      <w:szCs w:val="22"/>
    </w:rPr>
  </w:style>
  <w:style w:type="paragraph" w:styleId="6">
    <w:name w:val="heading 5"/>
    <w:next w:val="1"/>
    <w:qFormat/>
    <w:uiPriority w:val="0"/>
    <w:rPr>
      <w:color w:val="2E74B5"/>
      <w:sz w:val="21"/>
      <w:szCs w:val="22"/>
    </w:rPr>
  </w:style>
  <w:style w:type="paragraph" w:styleId="7">
    <w:name w:val="heading 6"/>
    <w:next w:val="1"/>
    <w:qFormat/>
    <w:uiPriority w:val="0"/>
    <w:rPr>
      <w:color w:val="1F4D78"/>
      <w:sz w:val="21"/>
      <w:szCs w:val="22"/>
    </w:rPr>
  </w:style>
  <w:style w:type="character" w:default="1" w:styleId="12">
    <w:name w:val="Default Paragraph Font"/>
    <w:semiHidden/>
    <w:uiPriority w:val="0"/>
  </w:style>
  <w:style w:type="table" w:default="1" w:styleId="11">
    <w:name w:val="Normal Table"/>
    <w:semiHidden/>
    <w:uiPriority w:val="0"/>
    <w:tblPr>
      <w:tblCellMar>
        <w:top w:w="0" w:type="dxa"/>
        <w:left w:w="108" w:type="dxa"/>
        <w:bottom w:w="0" w:type="dxa"/>
        <w:right w:w="108" w:type="dxa"/>
      </w:tblCellMar>
    </w:tblPr>
  </w:style>
  <w:style w:type="paragraph" w:styleId="8">
    <w:name w:val="endnote text"/>
    <w:link w:val="18"/>
    <w:semiHidden/>
    <w:unhideWhenUsed/>
    <w:uiPriority w:val="99"/>
    <w:pPr>
      <w:spacing w:after="0" w:line="240" w:lineRule="auto"/>
    </w:pPr>
    <w:rPr>
      <w:sz w:val="20"/>
      <w:szCs w:val="20"/>
    </w:rPr>
  </w:style>
  <w:style w:type="paragraph" w:styleId="9">
    <w:name w:val="footnote text"/>
    <w:link w:val="17"/>
    <w:semiHidden/>
    <w:unhideWhenUsed/>
    <w:uiPriority w:val="99"/>
    <w:pPr>
      <w:spacing w:after="0" w:line="240" w:lineRule="auto"/>
    </w:pPr>
    <w:rPr>
      <w:sz w:val="20"/>
      <w:szCs w:val="20"/>
    </w:rPr>
  </w:style>
  <w:style w:type="paragraph" w:styleId="10">
    <w:name w:val="Title"/>
    <w:qFormat/>
    <w:uiPriority w:val="0"/>
    <w:rPr>
      <w:sz w:val="56"/>
      <w:szCs w:val="56"/>
    </w:rPr>
  </w:style>
  <w:style w:type="character" w:styleId="13">
    <w:name w:val="endnote reference"/>
    <w:semiHidden/>
    <w:unhideWhenUsed/>
    <w:uiPriority w:val="99"/>
    <w:rPr>
      <w:vertAlign w:val="superscript"/>
    </w:rPr>
  </w:style>
  <w:style w:type="character" w:styleId="14">
    <w:name w:val="Hyperlink"/>
    <w:unhideWhenUsed/>
    <w:uiPriority w:val="99"/>
    <w:rPr>
      <w:color w:val="0563C1"/>
      <w:u w:val="single"/>
    </w:rPr>
  </w:style>
  <w:style w:type="character" w:styleId="15">
    <w:name w:val="footnote reference"/>
    <w:semiHidden/>
    <w:unhideWhenUsed/>
    <w:uiPriority w:val="99"/>
    <w:rPr>
      <w:vertAlign w:val="superscript"/>
    </w:rPr>
  </w:style>
  <w:style w:type="paragraph" w:styleId="16">
    <w:name w:val="List Paragraph"/>
    <w:qFormat/>
    <w:uiPriority w:val="0"/>
    <w:rPr>
      <w:sz w:val="21"/>
      <w:szCs w:val="22"/>
    </w:rPr>
  </w:style>
  <w:style w:type="character" w:customStyle="1" w:styleId="17">
    <w:name w:val="Footnote Text Char"/>
    <w:link w:val="9"/>
    <w:semiHidden/>
    <w:unhideWhenUsed/>
    <w:uiPriority w:val="99"/>
    <w:rPr>
      <w:sz w:val="20"/>
      <w:szCs w:val="20"/>
    </w:rPr>
  </w:style>
  <w:style w:type="character" w:customStyle="1" w:styleId="18">
    <w:name w:val="Endnote Text Char"/>
    <w:link w:val="8"/>
    <w:semiHidden/>
    <w:unhideWhenUsed/>
    <w:uiPriority w:val="99"/>
    <w:rPr>
      <w:sz w:val="20"/>
      <w:szCs w:val="20"/>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13</Pages>
  <TotalTime>1</TotalTime>
  <ScaleCrop>false</ScaleCrop>
  <LinksUpToDate>false</LinksUpToDate>
  <Application>WPS Office_7.4.1.8983_F1E327BC-269C-435d-A152-05C5408002CA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becb91676</cp:lastModifiedBy>
  <dcterms:modified xsi:type="dcterms:W3CDTF">2026-07-18T07:28:20Z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2052-7.4.1.8983</vt:lpwstr>
  </property>
  <property fmtid="{D5CDD505-2E9C-101B-9397-08002B2CF9AE}" pid="3" name="ICV">
    <vt:lpwstr>E54708D0AF64CF7864715B6A441375DC_43</vt:lpwstr>
  </property>
</Properties>
</file>