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1BE80" w14:textId="77777777" w:rsidR="00AF1BF8" w:rsidRDefault="00000000">
      <w:pPr>
        <w:pStyle w:val="af7"/>
      </w:pPr>
      <w:r>
        <w:rPr>
          <w:rFonts w:hint="eastAsia"/>
        </w:rPr>
        <w:t>S</w:t>
      </w:r>
      <w:r>
        <w:t>upplementary data for</w:t>
      </w:r>
    </w:p>
    <w:p w14:paraId="0495FFA8" w14:textId="77777777" w:rsidR="00AF1BF8" w:rsidRDefault="00AF1BF8">
      <w:pPr>
        <w:spacing w:afterLines="100" w:after="312"/>
        <w:ind w:firstLine="420"/>
        <w:jc w:val="center"/>
        <w:rPr>
          <w:b/>
          <w:bCs/>
          <w:color w:val="000000" w:themeColor="text1"/>
          <w:sz w:val="28"/>
          <w:szCs w:val="28"/>
        </w:rPr>
      </w:pPr>
    </w:p>
    <w:p w14:paraId="097D8AA1" w14:textId="77777777" w:rsidR="00AF1BF8" w:rsidRDefault="00000000">
      <w:pPr>
        <w:spacing w:afterLines="100" w:after="312"/>
        <w:ind w:firstLine="420"/>
        <w:jc w:val="center"/>
        <w:rPr>
          <w:b/>
          <w:bCs/>
          <w:color w:val="000000" w:themeColor="text1"/>
          <w:sz w:val="28"/>
          <w:szCs w:val="28"/>
        </w:rPr>
      </w:pPr>
      <w:r>
        <w:rPr>
          <w:b/>
          <w:bCs/>
          <w:color w:val="000000" w:themeColor="text1"/>
          <w:sz w:val="28"/>
          <w:szCs w:val="28"/>
        </w:rPr>
        <w:t>Synergistic regulation of pollutant reduction and carbon mitigation in wastewater treatment plants under the rainfall-induced inflow and infiltration in the sewer network</w:t>
      </w:r>
    </w:p>
    <w:p w14:paraId="303BF79D" w14:textId="77777777" w:rsidR="00AF1BF8" w:rsidRDefault="00AF1BF8">
      <w:pPr>
        <w:spacing w:afterLines="100" w:after="312"/>
        <w:ind w:firstLine="420"/>
        <w:jc w:val="center"/>
        <w:rPr>
          <w:b/>
          <w:bCs/>
          <w:color w:val="000000" w:themeColor="text1"/>
          <w:sz w:val="28"/>
          <w:szCs w:val="28"/>
        </w:rPr>
      </w:pPr>
    </w:p>
    <w:p w14:paraId="07971390" w14:textId="77777777" w:rsidR="00AF1BF8" w:rsidRDefault="00000000">
      <w:pPr>
        <w:spacing w:afterLines="100" w:after="312"/>
        <w:ind w:firstLine="420"/>
        <w:jc w:val="center"/>
        <w:rPr>
          <w:rFonts w:eastAsiaTheme="minorEastAsia" w:cs="Times New Roman"/>
          <w:b/>
          <w:bCs/>
          <w:color w:val="000000" w:themeColor="text1"/>
          <w:sz w:val="30"/>
          <w:szCs w:val="30"/>
        </w:rPr>
      </w:pPr>
      <w:r>
        <w:rPr>
          <w:b/>
          <w:bCs/>
          <w:color w:val="000000" w:themeColor="text1"/>
          <w:sz w:val="28"/>
          <w:szCs w:val="28"/>
        </w:rPr>
        <w:t xml:space="preserve">Aliya </w:t>
      </w:r>
      <w:proofErr w:type="spellStart"/>
      <w:proofErr w:type="gramStart"/>
      <w:r>
        <w:rPr>
          <w:b/>
          <w:bCs/>
          <w:color w:val="000000" w:themeColor="text1"/>
          <w:sz w:val="28"/>
          <w:szCs w:val="28"/>
        </w:rPr>
        <w:t>Abulimiti</w:t>
      </w:r>
      <w:r>
        <w:rPr>
          <w:rFonts w:cs="Times New Roman"/>
          <w:i/>
          <w:iCs/>
          <w:sz w:val="20"/>
          <w:szCs w:val="20"/>
          <w:vertAlign w:val="superscript"/>
        </w:rPr>
        <w:t>a,b</w:t>
      </w:r>
      <w:proofErr w:type="spellEnd"/>
      <w:proofErr w:type="gramEnd"/>
      <w:r>
        <w:rPr>
          <w:b/>
          <w:bCs/>
          <w:color w:val="000000" w:themeColor="text1"/>
          <w:sz w:val="28"/>
          <w:szCs w:val="28"/>
        </w:rPr>
        <w:t xml:space="preserve">, </w:t>
      </w:r>
      <w:proofErr w:type="spellStart"/>
      <w:r>
        <w:rPr>
          <w:b/>
          <w:bCs/>
          <w:color w:val="000000" w:themeColor="text1"/>
          <w:sz w:val="28"/>
          <w:szCs w:val="28"/>
        </w:rPr>
        <w:t>Yinfan</w:t>
      </w:r>
      <w:proofErr w:type="spellEnd"/>
      <w:r>
        <w:rPr>
          <w:b/>
          <w:bCs/>
          <w:color w:val="000000" w:themeColor="text1"/>
          <w:sz w:val="28"/>
          <w:szCs w:val="28"/>
        </w:rPr>
        <w:t xml:space="preserve"> Zhao</w:t>
      </w:r>
      <w:r>
        <w:rPr>
          <w:rFonts w:cs="Times New Roman" w:hint="eastAsia"/>
          <w:i/>
          <w:iCs/>
          <w:sz w:val="20"/>
          <w:szCs w:val="20"/>
          <w:vertAlign w:val="superscript"/>
        </w:rPr>
        <w:t xml:space="preserve"> b</w:t>
      </w:r>
      <w:r>
        <w:rPr>
          <w:b/>
          <w:bCs/>
          <w:color w:val="000000" w:themeColor="text1"/>
          <w:sz w:val="28"/>
          <w:szCs w:val="28"/>
        </w:rPr>
        <w:t xml:space="preserve">, </w:t>
      </w:r>
      <w:r>
        <w:rPr>
          <w:rFonts w:hint="eastAsia"/>
          <w:b/>
          <w:bCs/>
          <w:color w:val="000000" w:themeColor="text1"/>
          <w:sz w:val="28"/>
          <w:szCs w:val="28"/>
        </w:rPr>
        <w:t xml:space="preserve">Nan </w:t>
      </w:r>
      <w:proofErr w:type="spellStart"/>
      <w:r>
        <w:rPr>
          <w:rFonts w:hint="eastAsia"/>
          <w:b/>
          <w:bCs/>
          <w:color w:val="000000" w:themeColor="text1"/>
          <w:sz w:val="28"/>
          <w:szCs w:val="28"/>
        </w:rPr>
        <w:t>Zhao</w:t>
      </w:r>
      <w:r>
        <w:rPr>
          <w:rFonts w:cs="Times New Roman" w:hint="eastAsia"/>
          <w:i/>
          <w:iCs/>
          <w:sz w:val="20"/>
          <w:szCs w:val="20"/>
          <w:vertAlign w:val="superscript"/>
        </w:rPr>
        <w:t>b</w:t>
      </w:r>
      <w:proofErr w:type="spellEnd"/>
      <w:r>
        <w:rPr>
          <w:b/>
          <w:bCs/>
          <w:color w:val="000000" w:themeColor="text1"/>
          <w:sz w:val="28"/>
          <w:szCs w:val="28"/>
        </w:rPr>
        <w:t xml:space="preserve">, </w:t>
      </w:r>
      <w:proofErr w:type="spellStart"/>
      <w:r>
        <w:rPr>
          <w:b/>
          <w:bCs/>
          <w:color w:val="000000" w:themeColor="text1"/>
          <w:sz w:val="28"/>
          <w:szCs w:val="28"/>
        </w:rPr>
        <w:t>Xiuheng</w:t>
      </w:r>
      <w:proofErr w:type="spellEnd"/>
      <w:r>
        <w:rPr>
          <w:b/>
          <w:bCs/>
          <w:color w:val="000000" w:themeColor="text1"/>
          <w:sz w:val="28"/>
          <w:szCs w:val="28"/>
        </w:rPr>
        <w:t xml:space="preserve"> Wang</w:t>
      </w:r>
      <w:r>
        <w:rPr>
          <w:rFonts w:cs="Times New Roman" w:hint="eastAsia"/>
          <w:i/>
          <w:iCs/>
          <w:sz w:val="20"/>
          <w:szCs w:val="20"/>
          <w:vertAlign w:val="superscript"/>
        </w:rPr>
        <w:t xml:space="preserve"> b</w:t>
      </w:r>
      <w:r>
        <w:rPr>
          <w:rFonts w:cs="Times New Roman"/>
          <w:i/>
          <w:iCs/>
          <w:sz w:val="20"/>
          <w:szCs w:val="20"/>
          <w:vertAlign w:val="superscript"/>
        </w:rPr>
        <w:t>, c</w:t>
      </w:r>
      <w:r>
        <w:rPr>
          <w:b/>
          <w:bCs/>
          <w:color w:val="000000" w:themeColor="text1"/>
          <w:sz w:val="28"/>
          <w:szCs w:val="28"/>
        </w:rPr>
        <w:t xml:space="preserve">, </w:t>
      </w:r>
      <w:proofErr w:type="spellStart"/>
      <w:r>
        <w:rPr>
          <w:b/>
          <w:bCs/>
          <w:color w:val="000000" w:themeColor="text1"/>
          <w:sz w:val="28"/>
          <w:szCs w:val="28"/>
        </w:rPr>
        <w:t>Nanqi</w:t>
      </w:r>
      <w:proofErr w:type="spellEnd"/>
      <w:r>
        <w:rPr>
          <w:b/>
          <w:bCs/>
          <w:color w:val="000000" w:themeColor="text1"/>
          <w:sz w:val="28"/>
          <w:szCs w:val="28"/>
        </w:rPr>
        <w:t xml:space="preserve"> Ren </w:t>
      </w:r>
      <w:r>
        <w:rPr>
          <w:rFonts w:cs="Times New Roman" w:hint="eastAsia"/>
          <w:i/>
          <w:iCs/>
          <w:sz w:val="20"/>
          <w:szCs w:val="20"/>
          <w:vertAlign w:val="superscript"/>
        </w:rPr>
        <w:t>b</w:t>
      </w:r>
      <w:r>
        <w:rPr>
          <w:rFonts w:cs="Times New Roman"/>
          <w:i/>
          <w:iCs/>
          <w:sz w:val="20"/>
          <w:szCs w:val="20"/>
          <w:vertAlign w:val="superscript"/>
        </w:rPr>
        <w:t>, c</w:t>
      </w:r>
      <w:r>
        <w:rPr>
          <w:rFonts w:eastAsia="楷体"/>
          <w:i/>
          <w:iCs/>
          <w:sz w:val="20"/>
        </w:rPr>
        <w:t>*</w:t>
      </w:r>
    </w:p>
    <w:p w14:paraId="49D62067" w14:textId="77777777" w:rsidR="00AF1BF8" w:rsidRDefault="00000000">
      <w:pPr>
        <w:spacing w:afterLines="100" w:after="312"/>
        <w:ind w:firstLine="420"/>
        <w:rPr>
          <w:rFonts w:cs="Times New Roman"/>
          <w:i/>
          <w:iCs/>
          <w:sz w:val="20"/>
          <w:szCs w:val="20"/>
        </w:rPr>
      </w:pPr>
      <w:r>
        <w:rPr>
          <w:rFonts w:cs="Times New Roman"/>
          <w:i/>
          <w:iCs/>
          <w:sz w:val="20"/>
          <w:szCs w:val="20"/>
          <w:vertAlign w:val="superscript"/>
        </w:rPr>
        <w:t xml:space="preserve">a </w:t>
      </w:r>
      <w:bookmarkStart w:id="0" w:name="_Hlk98953625"/>
      <w:r>
        <w:rPr>
          <w:rFonts w:cs="Times New Roman" w:hint="eastAsia"/>
          <w:i/>
          <w:iCs/>
          <w:sz w:val="20"/>
          <w:szCs w:val="20"/>
        </w:rPr>
        <w:t>School</w:t>
      </w:r>
      <w:r>
        <w:rPr>
          <w:rFonts w:cs="Times New Roman"/>
          <w:i/>
          <w:iCs/>
          <w:sz w:val="20"/>
          <w:szCs w:val="20"/>
        </w:rPr>
        <w:t xml:space="preserve"> </w:t>
      </w:r>
      <w:r>
        <w:rPr>
          <w:rFonts w:cs="Times New Roman" w:hint="eastAsia"/>
          <w:i/>
          <w:iCs/>
          <w:sz w:val="20"/>
          <w:szCs w:val="20"/>
        </w:rPr>
        <w:t>o</w:t>
      </w:r>
      <w:r>
        <w:rPr>
          <w:rFonts w:cs="Times New Roman"/>
          <w:i/>
          <w:iCs/>
          <w:sz w:val="20"/>
          <w:szCs w:val="20"/>
        </w:rPr>
        <w:t>f Civil Engineering, Kashi University, Kashi 844000, China</w:t>
      </w:r>
    </w:p>
    <w:bookmarkEnd w:id="0"/>
    <w:p w14:paraId="36A5E5E3" w14:textId="77777777" w:rsidR="00AF1BF8" w:rsidRDefault="00000000">
      <w:pPr>
        <w:spacing w:afterLines="100" w:after="312"/>
        <w:ind w:firstLine="420"/>
        <w:rPr>
          <w:rFonts w:cs="Times New Roman"/>
          <w:i/>
          <w:iCs/>
          <w:sz w:val="20"/>
          <w:szCs w:val="20"/>
        </w:rPr>
      </w:pPr>
      <w:r>
        <w:rPr>
          <w:rFonts w:cs="Times New Roman"/>
          <w:i/>
          <w:iCs/>
          <w:sz w:val="20"/>
          <w:szCs w:val="20"/>
          <w:vertAlign w:val="superscript"/>
        </w:rPr>
        <w:t xml:space="preserve">b </w:t>
      </w:r>
      <w:bookmarkStart w:id="1" w:name="OLE_LINK273"/>
      <w:bookmarkStart w:id="2" w:name="_Hlk98953643"/>
      <w:r>
        <w:rPr>
          <w:rFonts w:cs="Times New Roman"/>
          <w:i/>
          <w:iCs/>
          <w:sz w:val="20"/>
          <w:szCs w:val="20"/>
        </w:rPr>
        <w:t>School of Environment</w:t>
      </w:r>
      <w:bookmarkEnd w:id="1"/>
      <w:r>
        <w:rPr>
          <w:rFonts w:cs="Times New Roman"/>
          <w:i/>
          <w:iCs/>
          <w:sz w:val="20"/>
          <w:szCs w:val="20"/>
        </w:rPr>
        <w:t>, Harbin Institute of Technology, Harbin, 150090, PR China</w:t>
      </w:r>
      <w:bookmarkEnd w:id="2"/>
      <w:r>
        <w:rPr>
          <w:rFonts w:cs="Times New Roman"/>
          <w:i/>
          <w:iCs/>
          <w:sz w:val="20"/>
          <w:szCs w:val="20"/>
        </w:rPr>
        <w:t xml:space="preserve"> </w:t>
      </w:r>
    </w:p>
    <w:p w14:paraId="15710079" w14:textId="77777777" w:rsidR="00AF1BF8" w:rsidRDefault="00000000">
      <w:pPr>
        <w:spacing w:afterLines="100" w:after="312"/>
        <w:ind w:firstLine="420"/>
        <w:rPr>
          <w:rFonts w:cs="Times New Roman"/>
          <w:i/>
          <w:iCs/>
          <w:sz w:val="20"/>
          <w:szCs w:val="20"/>
        </w:rPr>
      </w:pPr>
      <w:r>
        <w:rPr>
          <w:rFonts w:cs="Times New Roman"/>
          <w:i/>
          <w:iCs/>
          <w:sz w:val="20"/>
          <w:szCs w:val="20"/>
        </w:rPr>
        <w:t>c State key Laboratory of urban Water Resource and Environment, Harbin Institute of Technology, Harbin, 150090, P.R. China</w:t>
      </w:r>
    </w:p>
    <w:p w14:paraId="2B2BCE9E" w14:textId="77777777" w:rsidR="00AF1BF8" w:rsidRDefault="00AF1BF8">
      <w:pPr>
        <w:spacing w:before="120" w:after="120"/>
        <w:ind w:firstLineChars="200" w:firstLine="400"/>
        <w:rPr>
          <w:rFonts w:cs="Times New Roman"/>
          <w:i/>
          <w:iCs/>
          <w:sz w:val="20"/>
          <w:szCs w:val="20"/>
        </w:rPr>
      </w:pPr>
    </w:p>
    <w:p w14:paraId="4AA240C4" w14:textId="77777777" w:rsidR="00AF1BF8" w:rsidRDefault="00000000">
      <w:pPr>
        <w:pStyle w:val="7-Affili-ENG"/>
      </w:pPr>
      <w:r>
        <w:rPr>
          <w:rFonts w:eastAsia="楷体"/>
          <w:i w:val="0"/>
          <w:iCs/>
          <w:sz w:val="20"/>
        </w:rPr>
        <w:t xml:space="preserve">* Corresponding author E-mail: </w:t>
      </w:r>
      <w:hyperlink r:id="rId7" w:history="1">
        <w:proofErr w:type="spellStart"/>
        <w:r w:rsidR="00AF1BF8">
          <w:rPr>
            <w:rStyle w:val="af0"/>
            <w:rFonts w:eastAsia="楷体"/>
            <w:sz w:val="20"/>
          </w:rPr>
          <w:t>rnq@hit.edu.cn</w:t>
        </w:r>
        <w:proofErr w:type="spellEnd"/>
      </w:hyperlink>
    </w:p>
    <w:p w14:paraId="4D9B6FFA" w14:textId="77777777" w:rsidR="00AF1BF8" w:rsidRDefault="00AF1BF8">
      <w:pPr>
        <w:spacing w:line="480" w:lineRule="auto"/>
        <w:rPr>
          <w:rFonts w:eastAsia="等线" w:cs="Times New Roman"/>
          <w:b/>
          <w:sz w:val="32"/>
          <w:szCs w:val="32"/>
        </w:rPr>
      </w:pPr>
    </w:p>
    <w:p w14:paraId="5F239C51" w14:textId="77777777" w:rsidR="00AF1BF8" w:rsidRDefault="00AF1BF8">
      <w:pPr>
        <w:spacing w:line="480" w:lineRule="auto"/>
        <w:rPr>
          <w:rFonts w:eastAsia="等线" w:cs="Times New Roman"/>
          <w:b/>
          <w:sz w:val="32"/>
          <w:szCs w:val="32"/>
        </w:rPr>
      </w:pPr>
    </w:p>
    <w:p w14:paraId="7430A8BD" w14:textId="77777777" w:rsidR="00AF1BF8" w:rsidRDefault="00AF1BF8">
      <w:pPr>
        <w:spacing w:line="480" w:lineRule="auto"/>
        <w:rPr>
          <w:rFonts w:eastAsia="等线" w:cs="Times New Roman"/>
          <w:b/>
          <w:sz w:val="32"/>
          <w:szCs w:val="32"/>
        </w:rPr>
      </w:pPr>
    </w:p>
    <w:p w14:paraId="09C64849" w14:textId="77777777" w:rsidR="00AF1BF8" w:rsidRDefault="00AF1BF8">
      <w:pPr>
        <w:spacing w:line="480" w:lineRule="auto"/>
        <w:rPr>
          <w:rFonts w:eastAsia="等线" w:cs="Times New Roman"/>
          <w:b/>
          <w:sz w:val="32"/>
          <w:szCs w:val="32"/>
        </w:rPr>
      </w:pPr>
    </w:p>
    <w:p w14:paraId="16CFC21C" w14:textId="77777777" w:rsidR="00AF1BF8" w:rsidRDefault="00AF1BF8">
      <w:pPr>
        <w:spacing w:line="480" w:lineRule="auto"/>
        <w:rPr>
          <w:rFonts w:eastAsia="等线" w:cs="Times New Roman"/>
          <w:b/>
          <w:sz w:val="32"/>
          <w:szCs w:val="32"/>
        </w:rPr>
      </w:pPr>
    </w:p>
    <w:p w14:paraId="3B565861" w14:textId="77777777" w:rsidR="00AF1BF8" w:rsidRDefault="00AF1BF8">
      <w:pPr>
        <w:spacing w:line="480" w:lineRule="auto"/>
        <w:rPr>
          <w:rFonts w:eastAsia="等线" w:cs="Times New Roman"/>
          <w:b/>
          <w:sz w:val="32"/>
          <w:szCs w:val="32"/>
        </w:rPr>
      </w:pPr>
    </w:p>
    <w:p w14:paraId="7A896185" w14:textId="77777777" w:rsidR="00AF1BF8" w:rsidRDefault="00AF1BF8">
      <w:pPr>
        <w:spacing w:line="480" w:lineRule="auto"/>
        <w:rPr>
          <w:rFonts w:eastAsia="等线" w:cs="Times New Roman"/>
          <w:b/>
          <w:sz w:val="32"/>
          <w:szCs w:val="32"/>
        </w:rPr>
      </w:pPr>
    </w:p>
    <w:p w14:paraId="036F14D2" w14:textId="77777777" w:rsidR="00AF1BF8" w:rsidRDefault="00AF1BF8">
      <w:pPr>
        <w:spacing w:line="480" w:lineRule="auto"/>
        <w:rPr>
          <w:rFonts w:eastAsia="等线" w:cs="Times New Roman"/>
          <w:b/>
          <w:sz w:val="32"/>
          <w:szCs w:val="32"/>
        </w:rPr>
      </w:pPr>
    </w:p>
    <w:p w14:paraId="577E662C" w14:textId="77777777" w:rsidR="00AF1BF8" w:rsidRDefault="00000000">
      <w:pPr>
        <w:rPr>
          <w:b/>
        </w:rPr>
      </w:pPr>
      <w:r>
        <w:rPr>
          <w:b/>
        </w:rPr>
        <w:t>Supporting Information Contents:</w:t>
      </w:r>
    </w:p>
    <w:p w14:paraId="2722946E" w14:textId="77777777" w:rsidR="00AF1BF8" w:rsidRDefault="00000000">
      <w:pPr>
        <w:rPr>
          <w:rFonts w:eastAsiaTheme="minorEastAsia"/>
        </w:rPr>
      </w:pPr>
      <w:r>
        <w:t xml:space="preserve">The number of pages: </w:t>
      </w:r>
      <w:r>
        <w:rPr>
          <w:rFonts w:eastAsiaTheme="minorEastAsia" w:hint="eastAsia"/>
        </w:rPr>
        <w:t>25</w:t>
      </w:r>
    </w:p>
    <w:p w14:paraId="74A50FC2" w14:textId="77777777" w:rsidR="00AF1BF8" w:rsidRDefault="00000000">
      <w:pPr>
        <w:rPr>
          <w:rFonts w:eastAsiaTheme="minorEastAsia"/>
        </w:rPr>
      </w:pPr>
      <w:r>
        <w:t xml:space="preserve">The number of texts: </w:t>
      </w:r>
      <w:r>
        <w:rPr>
          <w:rFonts w:eastAsiaTheme="minorEastAsia" w:hint="eastAsia"/>
        </w:rPr>
        <w:t>8</w:t>
      </w:r>
    </w:p>
    <w:p w14:paraId="7B5A7079" w14:textId="77777777" w:rsidR="00AF1BF8" w:rsidRDefault="00000000">
      <w:pPr>
        <w:rPr>
          <w:rFonts w:eastAsiaTheme="minorEastAsia"/>
        </w:rPr>
      </w:pPr>
      <w:r>
        <w:t xml:space="preserve">The number of tables: </w:t>
      </w:r>
      <w:r>
        <w:rPr>
          <w:rFonts w:eastAsiaTheme="minorEastAsia" w:hint="eastAsia"/>
        </w:rPr>
        <w:t>16</w:t>
      </w:r>
    </w:p>
    <w:p w14:paraId="5799BA7B" w14:textId="77777777" w:rsidR="00AF1BF8" w:rsidRDefault="00000000">
      <w:pPr>
        <w:rPr>
          <w:rFonts w:eastAsiaTheme="minorEastAsia"/>
        </w:rPr>
        <w:sectPr w:rsidR="00AF1BF8">
          <w:pgSz w:w="11906" w:h="16838"/>
          <w:pgMar w:top="1440" w:right="1800" w:bottom="1440" w:left="1800" w:header="851" w:footer="992" w:gutter="0"/>
          <w:cols w:space="425"/>
          <w:docGrid w:type="lines" w:linePitch="312"/>
        </w:sectPr>
      </w:pPr>
      <w:r>
        <w:t xml:space="preserve">The number of figures: </w:t>
      </w:r>
      <w:r>
        <w:rPr>
          <w:rFonts w:eastAsiaTheme="minorEastAsia" w:hint="eastAsia"/>
        </w:rPr>
        <w:t>5</w:t>
      </w:r>
    </w:p>
    <w:p w14:paraId="3F93E982" w14:textId="77777777" w:rsidR="00AF1BF8" w:rsidRDefault="00000000">
      <w:pPr>
        <w:pStyle w:val="1"/>
        <w:spacing w:before="0" w:after="0"/>
        <w:rPr>
          <w:rFonts w:ascii="Times New Roman" w:hAnsi="Times New Roman" w:cs="Times New Roman"/>
          <w:color w:val="004E9A"/>
          <w:sz w:val="28"/>
          <w:szCs w:val="28"/>
        </w:rPr>
      </w:pPr>
      <w:r>
        <w:rPr>
          <w:rFonts w:ascii="Times New Roman" w:hAnsi="Times New Roman" w:cs="Times New Roman"/>
          <w:color w:val="004E9A"/>
          <w:sz w:val="28"/>
          <w:szCs w:val="28"/>
        </w:rPr>
        <w:lastRenderedPageBreak/>
        <w:t xml:space="preserve">Text </w:t>
      </w:r>
      <w:proofErr w:type="spellStart"/>
      <w:r>
        <w:rPr>
          <w:rFonts w:ascii="Times New Roman" w:hAnsi="Times New Roman" w:cs="Times New Roman" w:hint="eastAsia"/>
          <w:color w:val="004E9A"/>
          <w:sz w:val="28"/>
          <w:szCs w:val="28"/>
        </w:rPr>
        <w:t>A.</w:t>
      </w:r>
      <w:r>
        <w:rPr>
          <w:rFonts w:ascii="Times New Roman" w:hAnsi="Times New Roman" w:cs="Times New Roman"/>
          <w:color w:val="004E9A"/>
          <w:sz w:val="28"/>
          <w:szCs w:val="28"/>
        </w:rPr>
        <w:t>1</w:t>
      </w:r>
      <w:proofErr w:type="spellEnd"/>
      <w:r>
        <w:rPr>
          <w:rFonts w:ascii="Times New Roman" w:hAnsi="Times New Roman" w:cs="Times New Roman" w:hint="eastAsia"/>
          <w:color w:val="004E9A"/>
          <w:sz w:val="28"/>
          <w:szCs w:val="28"/>
        </w:rPr>
        <w:t xml:space="preserve"> </w:t>
      </w:r>
      <w:r>
        <w:rPr>
          <w:rFonts w:ascii="Times New Roman" w:hAnsi="Times New Roman" w:cs="Times New Roman"/>
          <w:color w:val="004E9A"/>
          <w:sz w:val="28"/>
          <w:szCs w:val="28"/>
        </w:rPr>
        <w:t>Data preprocessing and temporal harmonization</w:t>
      </w:r>
    </w:p>
    <w:p w14:paraId="2871FE7D" w14:textId="77777777" w:rsidR="00AF1BF8" w:rsidRDefault="00000000">
      <w:pPr>
        <w:ind w:firstLineChars="200" w:firstLine="420"/>
      </w:pPr>
      <w:r>
        <w:t>The raw dataset included hourly influent flow rates, water quality indicators, chemical dosing rates, operational parameters, and meteorological variables. Prior to analysis, all datasets were subjected to quality control and harmonized to a consistent temporal resolution.</w:t>
      </w:r>
    </w:p>
    <w:p w14:paraId="383CC838" w14:textId="77777777" w:rsidR="00AF1BF8" w:rsidRDefault="00000000">
      <w:pPr>
        <w:ind w:firstLineChars="200" w:firstLine="422"/>
      </w:pPr>
      <w:r>
        <w:rPr>
          <w:b/>
          <w:bCs/>
        </w:rPr>
        <w:t>Outlier removal</w:t>
      </w:r>
      <w:r>
        <w:rPr>
          <w:rFonts w:eastAsiaTheme="minorEastAsia" w:hint="eastAsia"/>
        </w:rPr>
        <w:t>:</w:t>
      </w:r>
      <w:r>
        <w:t xml:space="preserve"> Outliers were identified based on instrument-recording errors and process-related plausibility checks. Observations were removed when they were negative, physically impossible, clearly outside the operational range of the wastewater treatment plants, or attributable to sensor malfunction, maintenance activities, or data transmission errors. Typical examples included records in which the influent total nitrogen (TN) concentration was lower than the influent ammonium nitrogen (NH</w:t>
      </w:r>
      <w:r>
        <w:rPr>
          <w:rFonts w:eastAsiaTheme="minorEastAsia" w:hint="eastAsia"/>
          <w:vertAlign w:val="subscript"/>
        </w:rPr>
        <w:t>4</w:t>
      </w:r>
      <w:r>
        <w:rPr>
          <w:rFonts w:eastAsiaTheme="minorEastAsia" w:hint="eastAsia"/>
          <w:vertAlign w:val="superscript"/>
        </w:rPr>
        <w:t>+</w:t>
      </w:r>
      <w:r>
        <w:t>-N) concentration. In addition, negative or zero values in the influent flow series were truncated to the physical lower bound of 0.1 m</w:t>
      </w:r>
      <w:r>
        <w:rPr>
          <w:rFonts w:eastAsiaTheme="minorEastAsia" w:hint="eastAsia"/>
          <w:vertAlign w:val="superscript"/>
        </w:rPr>
        <w:t>3</w:t>
      </w:r>
      <w:r>
        <w:t>/h.</w:t>
      </w:r>
    </w:p>
    <w:p w14:paraId="0ED9D8C6" w14:textId="713F2217" w:rsidR="00AF1BF8" w:rsidRDefault="00000000">
      <w:pPr>
        <w:ind w:firstLineChars="200" w:firstLine="422"/>
      </w:pPr>
      <w:r>
        <w:rPr>
          <w:b/>
          <w:bCs/>
        </w:rPr>
        <w:t>Missing</w:t>
      </w:r>
      <w:r w:rsidR="00E05736">
        <w:rPr>
          <w:rFonts w:hint="eastAsia"/>
          <w:b/>
          <w:bCs/>
        </w:rPr>
        <w:t>-</w:t>
      </w:r>
      <w:r>
        <w:rPr>
          <w:b/>
          <w:bCs/>
        </w:rPr>
        <w:t>value imputation</w:t>
      </w:r>
      <w:r>
        <w:rPr>
          <w:rFonts w:eastAsiaTheme="minorEastAsia" w:hint="eastAsia"/>
        </w:rPr>
        <w:t>:</w:t>
      </w:r>
      <w:r>
        <w:t xml:space="preserve"> Missing values in continuous time-series data were imputed using linear interpolation. Specifically, short-term gaps in influent flow rates, water quality concentrations, pH, and air temperature were filled by time-based linear interpolation. For longer gaps, the median value observed at the same hour on adjacent days was used when comparable operating conditions could be confirmed. Records were excluded from subsequent analysis when data gaps were excessively long or coincided with abnormal operating conditions. Missing rainfall values were not interpolated and were treated as no-rainfall periods in subsequent analyses.</w:t>
      </w:r>
    </w:p>
    <w:p w14:paraId="565DE1E5" w14:textId="77777777" w:rsidR="00AF1BF8" w:rsidRDefault="00000000">
      <w:pPr>
        <w:ind w:firstLineChars="200" w:firstLine="422"/>
        <w:rPr>
          <w:rFonts w:eastAsiaTheme="minorEastAsia"/>
        </w:rPr>
      </w:pPr>
      <w:r>
        <w:rPr>
          <w:b/>
          <w:bCs/>
        </w:rPr>
        <w:t>Temporal harmonization</w:t>
      </w:r>
      <w:r>
        <w:rPr>
          <w:rFonts w:eastAsiaTheme="minorEastAsia" w:hint="eastAsia"/>
        </w:rPr>
        <w:t>:</w:t>
      </w:r>
      <w:r>
        <w:t xml:space="preserve"> Because different variables were recorded at different temporal resolutions, all datasets were harmonized to an hourly scale. Variables originally recorded at sub-hourly resolution were aggregated into hourly averages or hourly totals according to their physical meaning. Rainfall was aggregated as hourly cumulative precipitation, whereas air temperature, water quality concentrations, and pH were expressed as hourly averages. Chemical dosing rates were originally recorded as daily totals and were allocated to the hourly scale in proportion to the hourly influent flow rate of the corresponding day. Operational parameters, such as dissolved oxygen setpoints and return flow ratios, were assumed to remain constant within the same day and were therefore assigned directly to each hourly record. Daily or lower-frequency measurements were matched to the corresponding hourly records only when temporal consistency could be ensured. The temporal coverage, original resolution, preprocessing methods, and missing-value treatment for </w:t>
      </w:r>
      <w:r>
        <w:lastRenderedPageBreak/>
        <w:t xml:space="preserve">each variable are summarized in </w:t>
      </w:r>
      <w:r>
        <w:rPr>
          <w:color w:val="4472C4" w:themeColor="accent1"/>
        </w:rPr>
        <w:t xml:space="preserve">Table </w:t>
      </w:r>
      <w:r>
        <w:rPr>
          <w:rFonts w:eastAsiaTheme="minorEastAsia" w:hint="eastAsia"/>
          <w:color w:val="4472C4" w:themeColor="accent1"/>
        </w:rPr>
        <w:t>A</w:t>
      </w:r>
      <w:r>
        <w:rPr>
          <w:color w:val="4472C4" w:themeColor="accent1"/>
        </w:rPr>
        <w:t>1</w:t>
      </w:r>
      <w:r>
        <w:t>.</w:t>
      </w:r>
    </w:p>
    <w:p w14:paraId="6AAFF058" w14:textId="77777777" w:rsidR="00AF1BF8" w:rsidRDefault="00000000">
      <w:pPr>
        <w:pStyle w:val="af7"/>
        <w:spacing w:line="360" w:lineRule="auto"/>
        <w:ind w:firstLine="498"/>
        <w:jc w:val="center"/>
        <w:rPr>
          <w:sz w:val="21"/>
          <w:szCs w:val="21"/>
        </w:rPr>
      </w:pPr>
      <w:r>
        <w:rPr>
          <w:rFonts w:hint="eastAsia"/>
          <w:color w:val="4472C4" w:themeColor="accent1"/>
          <w:sz w:val="21"/>
          <w:szCs w:val="21"/>
        </w:rPr>
        <w:t>Table A1</w:t>
      </w:r>
      <w:r>
        <w:rPr>
          <w:rFonts w:hint="eastAsia"/>
          <w:sz w:val="21"/>
          <w:szCs w:val="21"/>
        </w:rPr>
        <w:t xml:space="preserve"> </w:t>
      </w:r>
      <w:r>
        <w:rPr>
          <w:sz w:val="21"/>
          <w:szCs w:val="21"/>
        </w:rPr>
        <w:t>Data categories, time periods, resolutions, sources, and preprocessing methods</w:t>
      </w:r>
      <w:r>
        <w:rPr>
          <w:rFonts w:hint="eastAsia"/>
          <w:sz w:val="21"/>
          <w:szCs w:val="21"/>
        </w:rPr>
        <w:t>.</w:t>
      </w:r>
    </w:p>
    <w:tbl>
      <w:tblPr>
        <w:tblStyle w:val="13"/>
        <w:tblW w:w="0" w:type="auto"/>
        <w:tblLook w:val="04A0" w:firstRow="1" w:lastRow="0" w:firstColumn="1" w:lastColumn="0" w:noHBand="0" w:noVBand="1"/>
      </w:tblPr>
      <w:tblGrid>
        <w:gridCol w:w="1499"/>
        <w:gridCol w:w="1620"/>
        <w:gridCol w:w="1534"/>
        <w:gridCol w:w="1301"/>
        <w:gridCol w:w="992"/>
        <w:gridCol w:w="1360"/>
      </w:tblGrid>
      <w:tr w:rsidR="00AF1BF8" w14:paraId="3AC4A887" w14:textId="77777777" w:rsidTr="00E05736">
        <w:trPr>
          <w:cnfStyle w:val="100000000000" w:firstRow="1" w:lastRow="0" w:firstColumn="0" w:lastColumn="0" w:oddVBand="0" w:evenVBand="0" w:oddHBand="0" w:evenHBand="0" w:firstRowFirstColumn="0" w:firstRowLastColumn="0" w:lastRowFirstColumn="0" w:lastRowLastColumn="0"/>
          <w:trHeight w:val="340"/>
        </w:trPr>
        <w:tc>
          <w:tcPr>
            <w:tcW w:w="1499" w:type="dxa"/>
          </w:tcPr>
          <w:p w14:paraId="7AA45E38" w14:textId="77777777" w:rsidR="00AF1BF8" w:rsidRDefault="00000000">
            <w:pPr>
              <w:pStyle w:val="af7"/>
              <w:jc w:val="center"/>
              <w:rPr>
                <w:kern w:val="0"/>
                <w:sz w:val="18"/>
                <w:szCs w:val="18"/>
              </w:rPr>
            </w:pPr>
            <w:r>
              <w:rPr>
                <w:kern w:val="0"/>
                <w:sz w:val="18"/>
                <w:szCs w:val="18"/>
              </w:rPr>
              <w:t>Data category</w:t>
            </w:r>
          </w:p>
        </w:tc>
        <w:tc>
          <w:tcPr>
            <w:tcW w:w="1620" w:type="dxa"/>
          </w:tcPr>
          <w:p w14:paraId="0EBF8D06" w14:textId="77777777" w:rsidR="00AF1BF8" w:rsidRDefault="00000000">
            <w:pPr>
              <w:pStyle w:val="af7"/>
              <w:jc w:val="center"/>
              <w:rPr>
                <w:kern w:val="0"/>
                <w:sz w:val="18"/>
                <w:szCs w:val="18"/>
              </w:rPr>
            </w:pPr>
            <w:r>
              <w:rPr>
                <w:kern w:val="0"/>
                <w:sz w:val="18"/>
                <w:szCs w:val="18"/>
              </w:rPr>
              <w:t>Variable</w:t>
            </w:r>
          </w:p>
        </w:tc>
        <w:tc>
          <w:tcPr>
            <w:tcW w:w="1534" w:type="dxa"/>
          </w:tcPr>
          <w:p w14:paraId="6591CA43" w14:textId="77777777" w:rsidR="00AF1BF8" w:rsidRDefault="00000000">
            <w:pPr>
              <w:pStyle w:val="af7"/>
              <w:jc w:val="center"/>
              <w:rPr>
                <w:kern w:val="0"/>
                <w:sz w:val="18"/>
                <w:szCs w:val="18"/>
              </w:rPr>
            </w:pPr>
            <w:r>
              <w:rPr>
                <w:kern w:val="0"/>
                <w:sz w:val="18"/>
                <w:szCs w:val="18"/>
              </w:rPr>
              <w:t>Time period</w:t>
            </w:r>
          </w:p>
        </w:tc>
        <w:tc>
          <w:tcPr>
            <w:tcW w:w="1301" w:type="dxa"/>
          </w:tcPr>
          <w:p w14:paraId="25095731" w14:textId="77777777" w:rsidR="00AF1BF8" w:rsidRDefault="00000000">
            <w:pPr>
              <w:pStyle w:val="af7"/>
              <w:jc w:val="center"/>
              <w:rPr>
                <w:kern w:val="0"/>
                <w:sz w:val="18"/>
                <w:szCs w:val="18"/>
              </w:rPr>
            </w:pPr>
            <w:r>
              <w:rPr>
                <w:kern w:val="0"/>
                <w:sz w:val="18"/>
                <w:szCs w:val="18"/>
              </w:rPr>
              <w:t>Original resolution</w:t>
            </w:r>
          </w:p>
        </w:tc>
        <w:tc>
          <w:tcPr>
            <w:tcW w:w="992" w:type="dxa"/>
          </w:tcPr>
          <w:p w14:paraId="7262A706" w14:textId="77777777" w:rsidR="00AF1BF8" w:rsidRDefault="00000000">
            <w:pPr>
              <w:pStyle w:val="af7"/>
              <w:jc w:val="center"/>
              <w:rPr>
                <w:kern w:val="0"/>
                <w:sz w:val="18"/>
                <w:szCs w:val="18"/>
              </w:rPr>
            </w:pPr>
            <w:r>
              <w:rPr>
                <w:kern w:val="0"/>
                <w:sz w:val="18"/>
                <w:szCs w:val="18"/>
              </w:rPr>
              <w:t>Unified resolution</w:t>
            </w:r>
          </w:p>
        </w:tc>
        <w:tc>
          <w:tcPr>
            <w:tcW w:w="1360" w:type="dxa"/>
          </w:tcPr>
          <w:p w14:paraId="4DAE822C" w14:textId="77777777" w:rsidR="00AF1BF8" w:rsidRDefault="00000000">
            <w:pPr>
              <w:pStyle w:val="af7"/>
              <w:jc w:val="center"/>
              <w:rPr>
                <w:kern w:val="0"/>
                <w:sz w:val="18"/>
                <w:szCs w:val="18"/>
              </w:rPr>
            </w:pPr>
            <w:r>
              <w:rPr>
                <w:kern w:val="0"/>
                <w:sz w:val="18"/>
                <w:szCs w:val="18"/>
              </w:rPr>
              <w:t>Data source</w:t>
            </w:r>
          </w:p>
        </w:tc>
      </w:tr>
      <w:tr w:rsidR="00AF1BF8" w14:paraId="2AE6AA19" w14:textId="77777777" w:rsidTr="00E05736">
        <w:trPr>
          <w:trHeight w:val="340"/>
        </w:trPr>
        <w:tc>
          <w:tcPr>
            <w:tcW w:w="1499" w:type="dxa"/>
          </w:tcPr>
          <w:p w14:paraId="25821504" w14:textId="77777777" w:rsidR="00AF1BF8" w:rsidRDefault="00000000">
            <w:pPr>
              <w:pStyle w:val="af7"/>
              <w:jc w:val="center"/>
              <w:rPr>
                <w:kern w:val="0"/>
                <w:sz w:val="18"/>
                <w:szCs w:val="18"/>
              </w:rPr>
            </w:pPr>
            <w:r>
              <w:rPr>
                <w:kern w:val="0"/>
                <w:sz w:val="18"/>
                <w:szCs w:val="18"/>
              </w:rPr>
              <w:t>Influent flow</w:t>
            </w:r>
          </w:p>
        </w:tc>
        <w:tc>
          <w:tcPr>
            <w:tcW w:w="1620" w:type="dxa"/>
          </w:tcPr>
          <w:p w14:paraId="0A6D095B" w14:textId="77777777" w:rsidR="00AF1BF8" w:rsidRDefault="00000000">
            <w:pPr>
              <w:pStyle w:val="af7"/>
              <w:jc w:val="center"/>
              <w:rPr>
                <w:kern w:val="0"/>
                <w:sz w:val="18"/>
                <w:szCs w:val="18"/>
              </w:rPr>
            </w:pPr>
            <w:r>
              <w:rPr>
                <w:kern w:val="0"/>
                <w:sz w:val="18"/>
                <w:szCs w:val="18"/>
              </w:rPr>
              <w:t>Influent flow rate</w:t>
            </w:r>
          </w:p>
        </w:tc>
        <w:tc>
          <w:tcPr>
            <w:tcW w:w="1534" w:type="dxa"/>
          </w:tcPr>
          <w:p w14:paraId="140CA5CD" w14:textId="2FD81B2A" w:rsidR="00AF1BF8" w:rsidRDefault="00000000">
            <w:pPr>
              <w:pStyle w:val="af7"/>
              <w:jc w:val="center"/>
              <w:rPr>
                <w:kern w:val="0"/>
                <w:sz w:val="18"/>
                <w:szCs w:val="18"/>
              </w:rPr>
            </w:pPr>
            <w:r>
              <w:rPr>
                <w:kern w:val="0"/>
                <w:sz w:val="18"/>
                <w:szCs w:val="18"/>
              </w:rPr>
              <w:t>Jan</w:t>
            </w:r>
            <w:r w:rsidR="00E05736">
              <w:rPr>
                <w:rFonts w:hint="eastAsia"/>
                <w:kern w:val="0"/>
                <w:sz w:val="18"/>
                <w:szCs w:val="18"/>
              </w:rPr>
              <w:t xml:space="preserve"> </w:t>
            </w:r>
            <w:r w:rsidR="00E05736">
              <w:rPr>
                <w:kern w:val="0"/>
                <w:sz w:val="18"/>
                <w:szCs w:val="18"/>
              </w:rPr>
              <w:t>–</w:t>
            </w:r>
            <w:r w:rsidR="00E05736">
              <w:rPr>
                <w:rFonts w:hint="eastAsia"/>
                <w:kern w:val="0"/>
                <w:sz w:val="18"/>
                <w:szCs w:val="18"/>
              </w:rPr>
              <w:t xml:space="preserve"> </w:t>
            </w:r>
            <w:r>
              <w:rPr>
                <w:kern w:val="0"/>
                <w:sz w:val="18"/>
                <w:szCs w:val="18"/>
              </w:rPr>
              <w:t>Dec 2022</w:t>
            </w:r>
          </w:p>
        </w:tc>
        <w:tc>
          <w:tcPr>
            <w:tcW w:w="1301" w:type="dxa"/>
          </w:tcPr>
          <w:p w14:paraId="444176B9" w14:textId="77777777" w:rsidR="00AF1BF8" w:rsidRDefault="00000000">
            <w:pPr>
              <w:pStyle w:val="af7"/>
              <w:jc w:val="center"/>
              <w:rPr>
                <w:kern w:val="0"/>
                <w:sz w:val="18"/>
                <w:szCs w:val="18"/>
              </w:rPr>
            </w:pPr>
            <w:r>
              <w:rPr>
                <w:kern w:val="0"/>
                <w:sz w:val="18"/>
                <w:szCs w:val="18"/>
              </w:rPr>
              <w:t>Hourly</w:t>
            </w:r>
          </w:p>
        </w:tc>
        <w:tc>
          <w:tcPr>
            <w:tcW w:w="992" w:type="dxa"/>
          </w:tcPr>
          <w:p w14:paraId="1E747B77" w14:textId="77777777" w:rsidR="00AF1BF8" w:rsidRDefault="00000000">
            <w:pPr>
              <w:pStyle w:val="af7"/>
              <w:jc w:val="center"/>
              <w:rPr>
                <w:kern w:val="0"/>
                <w:sz w:val="18"/>
                <w:szCs w:val="18"/>
              </w:rPr>
            </w:pPr>
            <w:r>
              <w:rPr>
                <w:kern w:val="0"/>
                <w:sz w:val="18"/>
                <w:szCs w:val="18"/>
              </w:rPr>
              <w:t>Hourly</w:t>
            </w:r>
          </w:p>
        </w:tc>
        <w:tc>
          <w:tcPr>
            <w:tcW w:w="1360" w:type="dxa"/>
            <w:vMerge w:val="restart"/>
          </w:tcPr>
          <w:p w14:paraId="75B1390D" w14:textId="77777777" w:rsidR="00AF1BF8" w:rsidRDefault="00000000">
            <w:pPr>
              <w:pStyle w:val="af7"/>
              <w:jc w:val="center"/>
              <w:rPr>
                <w:kern w:val="0"/>
                <w:sz w:val="18"/>
                <w:szCs w:val="18"/>
              </w:rPr>
            </w:pPr>
            <w:r>
              <w:rPr>
                <w:rFonts w:hint="eastAsia"/>
                <w:kern w:val="0"/>
                <w:sz w:val="18"/>
                <w:szCs w:val="18"/>
              </w:rPr>
              <w:t>Wastewater treatment plant (</w:t>
            </w:r>
            <w:r>
              <w:rPr>
                <w:kern w:val="0"/>
                <w:sz w:val="18"/>
                <w:szCs w:val="18"/>
              </w:rPr>
              <w:t>WWTP</w:t>
            </w:r>
            <w:r>
              <w:rPr>
                <w:rFonts w:hint="eastAsia"/>
                <w:kern w:val="0"/>
                <w:sz w:val="18"/>
                <w:szCs w:val="18"/>
              </w:rPr>
              <w:t>)</w:t>
            </w:r>
            <w:r>
              <w:rPr>
                <w:kern w:val="0"/>
                <w:sz w:val="18"/>
                <w:szCs w:val="18"/>
              </w:rPr>
              <w:t xml:space="preserve"> monitoring system</w:t>
            </w:r>
          </w:p>
        </w:tc>
      </w:tr>
      <w:tr w:rsidR="00AF1BF8" w14:paraId="06365C5C" w14:textId="77777777" w:rsidTr="00E05736">
        <w:trPr>
          <w:trHeight w:val="340"/>
        </w:trPr>
        <w:tc>
          <w:tcPr>
            <w:tcW w:w="1499" w:type="dxa"/>
            <w:vMerge w:val="restart"/>
          </w:tcPr>
          <w:p w14:paraId="6E185D04" w14:textId="77777777" w:rsidR="00AF1BF8" w:rsidRDefault="00000000">
            <w:pPr>
              <w:pStyle w:val="af7"/>
              <w:jc w:val="center"/>
              <w:rPr>
                <w:kern w:val="0"/>
                <w:sz w:val="18"/>
                <w:szCs w:val="18"/>
              </w:rPr>
            </w:pPr>
            <w:r>
              <w:rPr>
                <w:kern w:val="0"/>
                <w:sz w:val="18"/>
                <w:szCs w:val="18"/>
              </w:rPr>
              <w:t>Water quality</w:t>
            </w:r>
          </w:p>
        </w:tc>
        <w:tc>
          <w:tcPr>
            <w:tcW w:w="1620" w:type="dxa"/>
          </w:tcPr>
          <w:p w14:paraId="37B55DC9" w14:textId="77777777" w:rsidR="00AF1BF8" w:rsidRDefault="00000000">
            <w:pPr>
              <w:pStyle w:val="af7"/>
              <w:jc w:val="center"/>
              <w:rPr>
                <w:kern w:val="0"/>
                <w:sz w:val="18"/>
                <w:szCs w:val="18"/>
              </w:rPr>
            </w:pPr>
            <w:r>
              <w:rPr>
                <w:kern w:val="0"/>
                <w:sz w:val="18"/>
                <w:szCs w:val="18"/>
              </w:rPr>
              <w:t>Influent and effluent COD</w:t>
            </w:r>
          </w:p>
        </w:tc>
        <w:tc>
          <w:tcPr>
            <w:tcW w:w="1534" w:type="dxa"/>
          </w:tcPr>
          <w:p w14:paraId="43DBC142" w14:textId="49A1FA66" w:rsidR="00AF1BF8" w:rsidRDefault="00000000">
            <w:pPr>
              <w:pStyle w:val="af7"/>
              <w:jc w:val="center"/>
              <w:rPr>
                <w:kern w:val="0"/>
                <w:sz w:val="18"/>
                <w:szCs w:val="18"/>
              </w:rPr>
            </w:pPr>
            <w:r>
              <w:rPr>
                <w:kern w:val="0"/>
                <w:sz w:val="18"/>
                <w:szCs w:val="18"/>
              </w:rPr>
              <w:t>May</w:t>
            </w:r>
            <w:r w:rsidR="00E05736">
              <w:rPr>
                <w:rFonts w:hint="eastAsia"/>
                <w:kern w:val="0"/>
                <w:sz w:val="18"/>
                <w:szCs w:val="18"/>
              </w:rPr>
              <w:t xml:space="preserve"> </w:t>
            </w:r>
            <w:r>
              <w:rPr>
                <w:kern w:val="0"/>
                <w:sz w:val="18"/>
                <w:szCs w:val="18"/>
              </w:rPr>
              <w:t>–</w:t>
            </w:r>
            <w:r w:rsidR="00E05736">
              <w:rPr>
                <w:rFonts w:hint="eastAsia"/>
                <w:kern w:val="0"/>
                <w:sz w:val="18"/>
                <w:szCs w:val="18"/>
              </w:rPr>
              <w:t xml:space="preserve"> </w:t>
            </w:r>
            <w:r>
              <w:rPr>
                <w:kern w:val="0"/>
                <w:sz w:val="18"/>
                <w:szCs w:val="18"/>
              </w:rPr>
              <w:t>Sep 2022</w:t>
            </w:r>
          </w:p>
        </w:tc>
        <w:tc>
          <w:tcPr>
            <w:tcW w:w="1301" w:type="dxa"/>
          </w:tcPr>
          <w:p w14:paraId="6091E7A0" w14:textId="77777777" w:rsidR="00AF1BF8" w:rsidRDefault="00000000">
            <w:pPr>
              <w:pStyle w:val="af7"/>
              <w:jc w:val="center"/>
              <w:rPr>
                <w:kern w:val="0"/>
                <w:sz w:val="18"/>
                <w:szCs w:val="18"/>
              </w:rPr>
            </w:pPr>
            <w:r>
              <w:rPr>
                <w:kern w:val="0"/>
                <w:sz w:val="18"/>
                <w:szCs w:val="18"/>
              </w:rPr>
              <w:t>Hourly / routine records</w:t>
            </w:r>
          </w:p>
        </w:tc>
        <w:tc>
          <w:tcPr>
            <w:tcW w:w="992" w:type="dxa"/>
          </w:tcPr>
          <w:p w14:paraId="586FDF7B" w14:textId="77777777" w:rsidR="00AF1BF8" w:rsidRDefault="00000000">
            <w:pPr>
              <w:pStyle w:val="af7"/>
              <w:jc w:val="center"/>
              <w:rPr>
                <w:kern w:val="0"/>
                <w:sz w:val="18"/>
                <w:szCs w:val="18"/>
              </w:rPr>
            </w:pPr>
            <w:r>
              <w:rPr>
                <w:kern w:val="0"/>
                <w:sz w:val="18"/>
                <w:szCs w:val="18"/>
              </w:rPr>
              <w:t>Hourly</w:t>
            </w:r>
          </w:p>
        </w:tc>
        <w:tc>
          <w:tcPr>
            <w:tcW w:w="1360" w:type="dxa"/>
            <w:vMerge/>
          </w:tcPr>
          <w:p w14:paraId="56DD6346" w14:textId="77777777" w:rsidR="00AF1BF8" w:rsidRDefault="00AF1BF8">
            <w:pPr>
              <w:pStyle w:val="af7"/>
              <w:jc w:val="center"/>
              <w:rPr>
                <w:kern w:val="0"/>
                <w:sz w:val="18"/>
                <w:szCs w:val="18"/>
              </w:rPr>
            </w:pPr>
          </w:p>
        </w:tc>
      </w:tr>
      <w:tr w:rsidR="00AF1BF8" w14:paraId="742FB8FA" w14:textId="77777777" w:rsidTr="00E05736">
        <w:trPr>
          <w:trHeight w:val="340"/>
        </w:trPr>
        <w:tc>
          <w:tcPr>
            <w:tcW w:w="1499" w:type="dxa"/>
            <w:vMerge/>
          </w:tcPr>
          <w:p w14:paraId="6E81E66C" w14:textId="77777777" w:rsidR="00AF1BF8" w:rsidRDefault="00AF1BF8">
            <w:pPr>
              <w:pStyle w:val="af7"/>
              <w:jc w:val="center"/>
              <w:rPr>
                <w:kern w:val="0"/>
                <w:sz w:val="18"/>
                <w:szCs w:val="18"/>
              </w:rPr>
            </w:pPr>
          </w:p>
        </w:tc>
        <w:tc>
          <w:tcPr>
            <w:tcW w:w="1620" w:type="dxa"/>
          </w:tcPr>
          <w:p w14:paraId="0871B57F" w14:textId="77777777" w:rsidR="00AF1BF8" w:rsidRDefault="00000000">
            <w:pPr>
              <w:pStyle w:val="af7"/>
              <w:jc w:val="center"/>
              <w:rPr>
                <w:kern w:val="0"/>
                <w:sz w:val="18"/>
                <w:szCs w:val="18"/>
              </w:rPr>
            </w:pPr>
            <w:r>
              <w:rPr>
                <w:kern w:val="0"/>
                <w:sz w:val="18"/>
                <w:szCs w:val="18"/>
              </w:rPr>
              <w:t>Influent and effluent TN</w:t>
            </w:r>
          </w:p>
        </w:tc>
        <w:tc>
          <w:tcPr>
            <w:tcW w:w="1534" w:type="dxa"/>
          </w:tcPr>
          <w:p w14:paraId="0D4C9125" w14:textId="2F9661E9" w:rsidR="00AF1BF8" w:rsidRDefault="00000000">
            <w:pPr>
              <w:pStyle w:val="af7"/>
              <w:jc w:val="center"/>
              <w:rPr>
                <w:kern w:val="0"/>
                <w:sz w:val="18"/>
                <w:szCs w:val="18"/>
              </w:rPr>
            </w:pPr>
            <w:r>
              <w:rPr>
                <w:kern w:val="0"/>
                <w:sz w:val="18"/>
                <w:szCs w:val="18"/>
              </w:rPr>
              <w:t>May</w:t>
            </w:r>
            <w:r w:rsidR="00E05736">
              <w:rPr>
                <w:rFonts w:hint="eastAsia"/>
                <w:kern w:val="0"/>
                <w:sz w:val="18"/>
                <w:szCs w:val="18"/>
              </w:rPr>
              <w:t xml:space="preserve"> </w:t>
            </w:r>
            <w:r>
              <w:rPr>
                <w:kern w:val="0"/>
                <w:sz w:val="18"/>
                <w:szCs w:val="18"/>
              </w:rPr>
              <w:t>–</w:t>
            </w:r>
            <w:r w:rsidR="00E05736">
              <w:rPr>
                <w:rFonts w:hint="eastAsia"/>
                <w:kern w:val="0"/>
                <w:sz w:val="18"/>
                <w:szCs w:val="18"/>
              </w:rPr>
              <w:t xml:space="preserve"> </w:t>
            </w:r>
            <w:r>
              <w:rPr>
                <w:kern w:val="0"/>
                <w:sz w:val="18"/>
                <w:szCs w:val="18"/>
              </w:rPr>
              <w:t>Sep 2022</w:t>
            </w:r>
          </w:p>
        </w:tc>
        <w:tc>
          <w:tcPr>
            <w:tcW w:w="1301" w:type="dxa"/>
          </w:tcPr>
          <w:p w14:paraId="4D690145" w14:textId="77777777" w:rsidR="00AF1BF8" w:rsidRDefault="00000000">
            <w:pPr>
              <w:pStyle w:val="af7"/>
              <w:jc w:val="center"/>
              <w:rPr>
                <w:kern w:val="0"/>
                <w:sz w:val="18"/>
                <w:szCs w:val="18"/>
              </w:rPr>
            </w:pPr>
            <w:r>
              <w:rPr>
                <w:kern w:val="0"/>
                <w:sz w:val="18"/>
                <w:szCs w:val="18"/>
              </w:rPr>
              <w:t>Hourly / routine records</w:t>
            </w:r>
          </w:p>
        </w:tc>
        <w:tc>
          <w:tcPr>
            <w:tcW w:w="992" w:type="dxa"/>
          </w:tcPr>
          <w:p w14:paraId="5062A32F" w14:textId="77777777" w:rsidR="00AF1BF8" w:rsidRDefault="00000000">
            <w:pPr>
              <w:pStyle w:val="af7"/>
              <w:jc w:val="center"/>
              <w:rPr>
                <w:kern w:val="0"/>
                <w:sz w:val="18"/>
                <w:szCs w:val="18"/>
              </w:rPr>
            </w:pPr>
            <w:r>
              <w:rPr>
                <w:kern w:val="0"/>
                <w:sz w:val="18"/>
                <w:szCs w:val="18"/>
              </w:rPr>
              <w:t>Hourly</w:t>
            </w:r>
          </w:p>
        </w:tc>
        <w:tc>
          <w:tcPr>
            <w:tcW w:w="1360" w:type="dxa"/>
            <w:vMerge/>
          </w:tcPr>
          <w:p w14:paraId="731B2A39" w14:textId="77777777" w:rsidR="00AF1BF8" w:rsidRDefault="00AF1BF8">
            <w:pPr>
              <w:pStyle w:val="af7"/>
              <w:jc w:val="center"/>
              <w:rPr>
                <w:kern w:val="0"/>
                <w:sz w:val="18"/>
                <w:szCs w:val="18"/>
              </w:rPr>
            </w:pPr>
          </w:p>
        </w:tc>
      </w:tr>
      <w:tr w:rsidR="00AF1BF8" w14:paraId="2CC93909" w14:textId="77777777" w:rsidTr="00E05736">
        <w:trPr>
          <w:trHeight w:val="340"/>
        </w:trPr>
        <w:tc>
          <w:tcPr>
            <w:tcW w:w="1499" w:type="dxa"/>
            <w:vMerge/>
          </w:tcPr>
          <w:p w14:paraId="65D83ACA" w14:textId="77777777" w:rsidR="00AF1BF8" w:rsidRDefault="00AF1BF8">
            <w:pPr>
              <w:pStyle w:val="af7"/>
              <w:jc w:val="center"/>
              <w:rPr>
                <w:kern w:val="0"/>
                <w:sz w:val="18"/>
                <w:szCs w:val="18"/>
              </w:rPr>
            </w:pPr>
          </w:p>
        </w:tc>
        <w:tc>
          <w:tcPr>
            <w:tcW w:w="1620" w:type="dxa"/>
          </w:tcPr>
          <w:p w14:paraId="33544DD8" w14:textId="77777777" w:rsidR="00AF1BF8" w:rsidRDefault="00000000">
            <w:pPr>
              <w:pStyle w:val="af7"/>
              <w:jc w:val="center"/>
              <w:rPr>
                <w:kern w:val="0"/>
                <w:sz w:val="18"/>
                <w:szCs w:val="18"/>
              </w:rPr>
            </w:pPr>
            <w:r>
              <w:rPr>
                <w:kern w:val="0"/>
                <w:sz w:val="18"/>
                <w:szCs w:val="18"/>
              </w:rPr>
              <w:t>Influent and effluent TP</w:t>
            </w:r>
          </w:p>
        </w:tc>
        <w:tc>
          <w:tcPr>
            <w:tcW w:w="1534" w:type="dxa"/>
          </w:tcPr>
          <w:p w14:paraId="443B37FA" w14:textId="551ECD5F" w:rsidR="00AF1BF8" w:rsidRDefault="00000000">
            <w:pPr>
              <w:pStyle w:val="af7"/>
              <w:jc w:val="center"/>
              <w:rPr>
                <w:kern w:val="0"/>
                <w:sz w:val="18"/>
                <w:szCs w:val="18"/>
              </w:rPr>
            </w:pPr>
            <w:r>
              <w:rPr>
                <w:kern w:val="0"/>
                <w:sz w:val="18"/>
                <w:szCs w:val="18"/>
              </w:rPr>
              <w:t>May</w:t>
            </w:r>
            <w:r w:rsidR="00E05736">
              <w:rPr>
                <w:rFonts w:hint="eastAsia"/>
                <w:kern w:val="0"/>
                <w:sz w:val="18"/>
                <w:szCs w:val="18"/>
              </w:rPr>
              <w:t xml:space="preserve"> </w:t>
            </w:r>
            <w:r>
              <w:rPr>
                <w:kern w:val="0"/>
                <w:sz w:val="18"/>
                <w:szCs w:val="18"/>
              </w:rPr>
              <w:t>–</w:t>
            </w:r>
            <w:r w:rsidR="00E05736">
              <w:rPr>
                <w:rFonts w:hint="eastAsia"/>
                <w:kern w:val="0"/>
                <w:sz w:val="18"/>
                <w:szCs w:val="18"/>
              </w:rPr>
              <w:t xml:space="preserve"> </w:t>
            </w:r>
            <w:r>
              <w:rPr>
                <w:kern w:val="0"/>
                <w:sz w:val="18"/>
                <w:szCs w:val="18"/>
              </w:rPr>
              <w:t>Sep 2022</w:t>
            </w:r>
          </w:p>
        </w:tc>
        <w:tc>
          <w:tcPr>
            <w:tcW w:w="1301" w:type="dxa"/>
          </w:tcPr>
          <w:p w14:paraId="2EDF49DD" w14:textId="77777777" w:rsidR="00AF1BF8" w:rsidRDefault="00000000">
            <w:pPr>
              <w:pStyle w:val="af7"/>
              <w:jc w:val="center"/>
              <w:rPr>
                <w:kern w:val="0"/>
                <w:sz w:val="18"/>
                <w:szCs w:val="18"/>
              </w:rPr>
            </w:pPr>
            <w:r>
              <w:rPr>
                <w:kern w:val="0"/>
                <w:sz w:val="18"/>
                <w:szCs w:val="18"/>
              </w:rPr>
              <w:t>Hourly / routine records</w:t>
            </w:r>
          </w:p>
        </w:tc>
        <w:tc>
          <w:tcPr>
            <w:tcW w:w="992" w:type="dxa"/>
          </w:tcPr>
          <w:p w14:paraId="4721672C" w14:textId="77777777" w:rsidR="00AF1BF8" w:rsidRDefault="00000000">
            <w:pPr>
              <w:pStyle w:val="af7"/>
              <w:jc w:val="center"/>
              <w:rPr>
                <w:kern w:val="0"/>
                <w:sz w:val="18"/>
                <w:szCs w:val="18"/>
              </w:rPr>
            </w:pPr>
            <w:r>
              <w:rPr>
                <w:kern w:val="0"/>
                <w:sz w:val="18"/>
                <w:szCs w:val="18"/>
              </w:rPr>
              <w:t>Hourly</w:t>
            </w:r>
          </w:p>
        </w:tc>
        <w:tc>
          <w:tcPr>
            <w:tcW w:w="1360" w:type="dxa"/>
            <w:vMerge/>
          </w:tcPr>
          <w:p w14:paraId="677FCC30" w14:textId="77777777" w:rsidR="00AF1BF8" w:rsidRDefault="00AF1BF8">
            <w:pPr>
              <w:pStyle w:val="af7"/>
              <w:jc w:val="center"/>
              <w:rPr>
                <w:kern w:val="0"/>
                <w:sz w:val="18"/>
                <w:szCs w:val="18"/>
              </w:rPr>
            </w:pPr>
          </w:p>
        </w:tc>
      </w:tr>
      <w:tr w:rsidR="00AF1BF8" w14:paraId="199545E1" w14:textId="77777777" w:rsidTr="00E05736">
        <w:trPr>
          <w:trHeight w:val="340"/>
        </w:trPr>
        <w:tc>
          <w:tcPr>
            <w:tcW w:w="1499" w:type="dxa"/>
            <w:vMerge/>
          </w:tcPr>
          <w:p w14:paraId="3E9DE1D1" w14:textId="77777777" w:rsidR="00AF1BF8" w:rsidRDefault="00AF1BF8">
            <w:pPr>
              <w:pStyle w:val="af7"/>
              <w:jc w:val="center"/>
              <w:rPr>
                <w:kern w:val="0"/>
                <w:sz w:val="18"/>
                <w:szCs w:val="18"/>
              </w:rPr>
            </w:pPr>
          </w:p>
        </w:tc>
        <w:tc>
          <w:tcPr>
            <w:tcW w:w="1620" w:type="dxa"/>
          </w:tcPr>
          <w:p w14:paraId="49ECD6B5" w14:textId="77777777" w:rsidR="00AF1BF8" w:rsidRDefault="00000000">
            <w:pPr>
              <w:pStyle w:val="af7"/>
              <w:jc w:val="center"/>
              <w:rPr>
                <w:kern w:val="0"/>
                <w:sz w:val="18"/>
                <w:szCs w:val="18"/>
              </w:rPr>
            </w:pPr>
            <w:r>
              <w:rPr>
                <w:kern w:val="0"/>
                <w:sz w:val="18"/>
                <w:szCs w:val="18"/>
              </w:rPr>
              <w:t>Influent and effluent</w:t>
            </w:r>
            <w:r>
              <w:rPr>
                <w:rFonts w:hint="eastAsia"/>
                <w:kern w:val="0"/>
                <w:sz w:val="18"/>
                <w:szCs w:val="18"/>
              </w:rPr>
              <w:t xml:space="preserve"> </w:t>
            </w:r>
            <w:r>
              <w:rPr>
                <w:kern w:val="0"/>
                <w:sz w:val="18"/>
                <w:szCs w:val="18"/>
              </w:rPr>
              <w:t>NH</w:t>
            </w:r>
            <w:r>
              <w:rPr>
                <w:rFonts w:eastAsiaTheme="minorEastAsia" w:hint="eastAsia"/>
                <w:kern w:val="0"/>
                <w:sz w:val="18"/>
                <w:szCs w:val="18"/>
                <w:vertAlign w:val="subscript"/>
              </w:rPr>
              <w:t>4</w:t>
            </w:r>
            <w:r>
              <w:rPr>
                <w:rFonts w:eastAsiaTheme="minorEastAsia" w:hint="eastAsia"/>
                <w:kern w:val="0"/>
                <w:sz w:val="18"/>
                <w:szCs w:val="18"/>
                <w:vertAlign w:val="superscript"/>
              </w:rPr>
              <w:t>+</w:t>
            </w:r>
            <w:r>
              <w:rPr>
                <w:kern w:val="0"/>
                <w:sz w:val="18"/>
                <w:szCs w:val="18"/>
              </w:rPr>
              <w:t>-N</w:t>
            </w:r>
          </w:p>
        </w:tc>
        <w:tc>
          <w:tcPr>
            <w:tcW w:w="1534" w:type="dxa"/>
          </w:tcPr>
          <w:p w14:paraId="1DF5B80B" w14:textId="11F56355" w:rsidR="00AF1BF8" w:rsidRDefault="00000000">
            <w:pPr>
              <w:pStyle w:val="af7"/>
              <w:jc w:val="center"/>
              <w:rPr>
                <w:kern w:val="0"/>
                <w:sz w:val="18"/>
                <w:szCs w:val="18"/>
              </w:rPr>
            </w:pPr>
            <w:r>
              <w:rPr>
                <w:kern w:val="0"/>
                <w:sz w:val="18"/>
                <w:szCs w:val="18"/>
              </w:rPr>
              <w:t>May</w:t>
            </w:r>
            <w:r w:rsidR="00E05736">
              <w:rPr>
                <w:rFonts w:hint="eastAsia"/>
                <w:kern w:val="0"/>
                <w:sz w:val="18"/>
                <w:szCs w:val="18"/>
              </w:rPr>
              <w:t xml:space="preserve"> </w:t>
            </w:r>
            <w:r>
              <w:rPr>
                <w:kern w:val="0"/>
                <w:sz w:val="18"/>
                <w:szCs w:val="18"/>
              </w:rPr>
              <w:t>–</w:t>
            </w:r>
            <w:r w:rsidR="00E05736">
              <w:rPr>
                <w:rFonts w:hint="eastAsia"/>
                <w:kern w:val="0"/>
                <w:sz w:val="18"/>
                <w:szCs w:val="18"/>
              </w:rPr>
              <w:t xml:space="preserve"> </w:t>
            </w:r>
            <w:r>
              <w:rPr>
                <w:kern w:val="0"/>
                <w:sz w:val="18"/>
                <w:szCs w:val="18"/>
              </w:rPr>
              <w:t>Sep 2022</w:t>
            </w:r>
          </w:p>
        </w:tc>
        <w:tc>
          <w:tcPr>
            <w:tcW w:w="1301" w:type="dxa"/>
          </w:tcPr>
          <w:p w14:paraId="76A2531D" w14:textId="77777777" w:rsidR="00AF1BF8" w:rsidRDefault="00000000">
            <w:pPr>
              <w:pStyle w:val="af7"/>
              <w:jc w:val="center"/>
              <w:rPr>
                <w:kern w:val="0"/>
                <w:sz w:val="18"/>
                <w:szCs w:val="18"/>
              </w:rPr>
            </w:pPr>
            <w:r>
              <w:rPr>
                <w:kern w:val="0"/>
                <w:sz w:val="18"/>
                <w:szCs w:val="18"/>
              </w:rPr>
              <w:t>Hourly / routine records</w:t>
            </w:r>
          </w:p>
        </w:tc>
        <w:tc>
          <w:tcPr>
            <w:tcW w:w="992" w:type="dxa"/>
          </w:tcPr>
          <w:p w14:paraId="4C5B6690" w14:textId="77777777" w:rsidR="00AF1BF8" w:rsidRDefault="00000000">
            <w:pPr>
              <w:pStyle w:val="af7"/>
              <w:jc w:val="center"/>
              <w:rPr>
                <w:kern w:val="0"/>
                <w:sz w:val="18"/>
                <w:szCs w:val="18"/>
              </w:rPr>
            </w:pPr>
            <w:r>
              <w:rPr>
                <w:kern w:val="0"/>
                <w:sz w:val="18"/>
                <w:szCs w:val="18"/>
              </w:rPr>
              <w:t>Hourly</w:t>
            </w:r>
          </w:p>
        </w:tc>
        <w:tc>
          <w:tcPr>
            <w:tcW w:w="1360" w:type="dxa"/>
            <w:vMerge/>
          </w:tcPr>
          <w:p w14:paraId="697A72DC" w14:textId="77777777" w:rsidR="00AF1BF8" w:rsidRDefault="00AF1BF8">
            <w:pPr>
              <w:pStyle w:val="af7"/>
              <w:jc w:val="center"/>
              <w:rPr>
                <w:kern w:val="0"/>
                <w:sz w:val="18"/>
                <w:szCs w:val="18"/>
              </w:rPr>
            </w:pPr>
          </w:p>
        </w:tc>
      </w:tr>
      <w:tr w:rsidR="00AF1BF8" w14:paraId="32637206" w14:textId="77777777" w:rsidTr="00E05736">
        <w:trPr>
          <w:trHeight w:val="340"/>
        </w:trPr>
        <w:tc>
          <w:tcPr>
            <w:tcW w:w="1499" w:type="dxa"/>
            <w:vMerge/>
          </w:tcPr>
          <w:p w14:paraId="0EA6880E" w14:textId="77777777" w:rsidR="00AF1BF8" w:rsidRDefault="00AF1BF8">
            <w:pPr>
              <w:pStyle w:val="af7"/>
              <w:jc w:val="center"/>
              <w:rPr>
                <w:kern w:val="0"/>
                <w:sz w:val="18"/>
                <w:szCs w:val="18"/>
              </w:rPr>
            </w:pPr>
          </w:p>
        </w:tc>
        <w:tc>
          <w:tcPr>
            <w:tcW w:w="1620" w:type="dxa"/>
          </w:tcPr>
          <w:p w14:paraId="25BE4739" w14:textId="77777777" w:rsidR="00AF1BF8" w:rsidRDefault="00000000">
            <w:pPr>
              <w:pStyle w:val="af7"/>
              <w:jc w:val="center"/>
              <w:rPr>
                <w:kern w:val="0"/>
                <w:sz w:val="18"/>
                <w:szCs w:val="18"/>
              </w:rPr>
            </w:pPr>
            <w:r>
              <w:rPr>
                <w:kern w:val="0"/>
                <w:sz w:val="18"/>
                <w:szCs w:val="18"/>
              </w:rPr>
              <w:t>pH</w:t>
            </w:r>
          </w:p>
        </w:tc>
        <w:tc>
          <w:tcPr>
            <w:tcW w:w="1534" w:type="dxa"/>
          </w:tcPr>
          <w:p w14:paraId="0FBF09C9" w14:textId="5C708045" w:rsidR="00AF1BF8" w:rsidRDefault="00000000">
            <w:pPr>
              <w:pStyle w:val="af7"/>
              <w:jc w:val="center"/>
              <w:rPr>
                <w:kern w:val="0"/>
                <w:sz w:val="18"/>
                <w:szCs w:val="18"/>
              </w:rPr>
            </w:pPr>
            <w:r>
              <w:rPr>
                <w:kern w:val="0"/>
                <w:sz w:val="18"/>
                <w:szCs w:val="18"/>
              </w:rPr>
              <w:t>May</w:t>
            </w:r>
            <w:r w:rsidR="00E05736">
              <w:rPr>
                <w:rFonts w:hint="eastAsia"/>
                <w:kern w:val="0"/>
                <w:sz w:val="18"/>
                <w:szCs w:val="18"/>
              </w:rPr>
              <w:t xml:space="preserve"> </w:t>
            </w:r>
            <w:r>
              <w:rPr>
                <w:kern w:val="0"/>
                <w:sz w:val="18"/>
                <w:szCs w:val="18"/>
              </w:rPr>
              <w:t>–</w:t>
            </w:r>
            <w:r w:rsidR="00E05736">
              <w:rPr>
                <w:rFonts w:hint="eastAsia"/>
                <w:kern w:val="0"/>
                <w:sz w:val="18"/>
                <w:szCs w:val="18"/>
              </w:rPr>
              <w:t xml:space="preserve"> </w:t>
            </w:r>
            <w:r>
              <w:rPr>
                <w:kern w:val="0"/>
                <w:sz w:val="18"/>
                <w:szCs w:val="18"/>
              </w:rPr>
              <w:t>Sep 2022</w:t>
            </w:r>
          </w:p>
        </w:tc>
        <w:tc>
          <w:tcPr>
            <w:tcW w:w="1301" w:type="dxa"/>
          </w:tcPr>
          <w:p w14:paraId="2EE720B6" w14:textId="77777777" w:rsidR="00AF1BF8" w:rsidRDefault="00000000">
            <w:pPr>
              <w:pStyle w:val="af7"/>
              <w:jc w:val="center"/>
              <w:rPr>
                <w:kern w:val="0"/>
                <w:sz w:val="18"/>
                <w:szCs w:val="18"/>
              </w:rPr>
            </w:pPr>
            <w:r>
              <w:rPr>
                <w:kern w:val="0"/>
                <w:sz w:val="18"/>
                <w:szCs w:val="18"/>
              </w:rPr>
              <w:t>Hourly</w:t>
            </w:r>
          </w:p>
        </w:tc>
        <w:tc>
          <w:tcPr>
            <w:tcW w:w="992" w:type="dxa"/>
          </w:tcPr>
          <w:p w14:paraId="73DEC4E6" w14:textId="77777777" w:rsidR="00AF1BF8" w:rsidRDefault="00000000">
            <w:pPr>
              <w:pStyle w:val="af7"/>
              <w:jc w:val="center"/>
              <w:rPr>
                <w:kern w:val="0"/>
                <w:sz w:val="18"/>
                <w:szCs w:val="18"/>
              </w:rPr>
            </w:pPr>
            <w:r>
              <w:rPr>
                <w:kern w:val="0"/>
                <w:sz w:val="18"/>
                <w:szCs w:val="18"/>
              </w:rPr>
              <w:t>Hourly</w:t>
            </w:r>
          </w:p>
        </w:tc>
        <w:tc>
          <w:tcPr>
            <w:tcW w:w="1360" w:type="dxa"/>
            <w:vMerge/>
          </w:tcPr>
          <w:p w14:paraId="4434A324" w14:textId="77777777" w:rsidR="00AF1BF8" w:rsidRDefault="00AF1BF8">
            <w:pPr>
              <w:pStyle w:val="af7"/>
              <w:jc w:val="center"/>
              <w:rPr>
                <w:kern w:val="0"/>
                <w:sz w:val="18"/>
                <w:szCs w:val="18"/>
              </w:rPr>
            </w:pPr>
          </w:p>
        </w:tc>
      </w:tr>
      <w:tr w:rsidR="00AF1BF8" w14:paraId="06CD3EB0" w14:textId="77777777" w:rsidTr="00E05736">
        <w:trPr>
          <w:trHeight w:val="340"/>
        </w:trPr>
        <w:tc>
          <w:tcPr>
            <w:tcW w:w="1499" w:type="dxa"/>
          </w:tcPr>
          <w:p w14:paraId="2C1A10C5" w14:textId="77777777" w:rsidR="00AF1BF8" w:rsidRDefault="00000000">
            <w:pPr>
              <w:pStyle w:val="af7"/>
              <w:jc w:val="center"/>
              <w:rPr>
                <w:kern w:val="0"/>
                <w:sz w:val="18"/>
                <w:szCs w:val="18"/>
              </w:rPr>
            </w:pPr>
            <w:r>
              <w:rPr>
                <w:kern w:val="0"/>
                <w:sz w:val="18"/>
                <w:szCs w:val="18"/>
              </w:rPr>
              <w:t>Chemical dosing</w:t>
            </w:r>
          </w:p>
        </w:tc>
        <w:tc>
          <w:tcPr>
            <w:tcW w:w="1620" w:type="dxa"/>
          </w:tcPr>
          <w:p w14:paraId="7F021F11" w14:textId="77777777" w:rsidR="00AF1BF8" w:rsidRDefault="00000000">
            <w:pPr>
              <w:pStyle w:val="af7"/>
              <w:jc w:val="center"/>
              <w:rPr>
                <w:kern w:val="0"/>
                <w:sz w:val="18"/>
                <w:szCs w:val="18"/>
              </w:rPr>
            </w:pPr>
            <w:r>
              <w:rPr>
                <w:kern w:val="0"/>
                <w:sz w:val="18"/>
                <w:szCs w:val="18"/>
              </w:rPr>
              <w:t>Chemical dosing</w:t>
            </w:r>
            <w:r>
              <w:rPr>
                <w:rFonts w:hint="eastAsia"/>
                <w:kern w:val="0"/>
                <w:sz w:val="18"/>
                <w:szCs w:val="18"/>
              </w:rPr>
              <w:t xml:space="preserve"> rate</w:t>
            </w:r>
          </w:p>
        </w:tc>
        <w:tc>
          <w:tcPr>
            <w:tcW w:w="1534" w:type="dxa"/>
          </w:tcPr>
          <w:p w14:paraId="0F6ED6A6" w14:textId="412FF60F" w:rsidR="00AF1BF8" w:rsidRDefault="00000000">
            <w:pPr>
              <w:pStyle w:val="af7"/>
              <w:jc w:val="center"/>
              <w:rPr>
                <w:kern w:val="0"/>
                <w:sz w:val="18"/>
                <w:szCs w:val="18"/>
              </w:rPr>
            </w:pPr>
            <w:r>
              <w:rPr>
                <w:kern w:val="0"/>
                <w:sz w:val="18"/>
                <w:szCs w:val="18"/>
              </w:rPr>
              <w:t>May</w:t>
            </w:r>
            <w:r w:rsidR="00E05736">
              <w:rPr>
                <w:rFonts w:hint="eastAsia"/>
                <w:kern w:val="0"/>
                <w:sz w:val="18"/>
                <w:szCs w:val="18"/>
              </w:rPr>
              <w:t xml:space="preserve"> </w:t>
            </w:r>
            <w:r>
              <w:rPr>
                <w:kern w:val="0"/>
                <w:sz w:val="18"/>
                <w:szCs w:val="18"/>
              </w:rPr>
              <w:t>–</w:t>
            </w:r>
            <w:r w:rsidR="00E05736">
              <w:rPr>
                <w:rFonts w:hint="eastAsia"/>
                <w:kern w:val="0"/>
                <w:sz w:val="18"/>
                <w:szCs w:val="18"/>
              </w:rPr>
              <w:t xml:space="preserve"> </w:t>
            </w:r>
            <w:r>
              <w:rPr>
                <w:kern w:val="0"/>
                <w:sz w:val="18"/>
                <w:szCs w:val="18"/>
              </w:rPr>
              <w:t>Sep 2022</w:t>
            </w:r>
          </w:p>
        </w:tc>
        <w:tc>
          <w:tcPr>
            <w:tcW w:w="1301" w:type="dxa"/>
          </w:tcPr>
          <w:p w14:paraId="2A2D615E" w14:textId="77777777" w:rsidR="00AF1BF8" w:rsidRDefault="00000000">
            <w:pPr>
              <w:pStyle w:val="af7"/>
              <w:jc w:val="center"/>
              <w:rPr>
                <w:kern w:val="0"/>
                <w:sz w:val="18"/>
                <w:szCs w:val="18"/>
              </w:rPr>
            </w:pPr>
            <w:r>
              <w:rPr>
                <w:kern w:val="0"/>
                <w:sz w:val="18"/>
                <w:szCs w:val="18"/>
              </w:rPr>
              <w:t>Daily</w:t>
            </w:r>
          </w:p>
        </w:tc>
        <w:tc>
          <w:tcPr>
            <w:tcW w:w="992" w:type="dxa"/>
          </w:tcPr>
          <w:p w14:paraId="29FD1C6E" w14:textId="77777777" w:rsidR="00AF1BF8" w:rsidRDefault="00000000">
            <w:pPr>
              <w:pStyle w:val="af7"/>
              <w:jc w:val="center"/>
              <w:rPr>
                <w:kern w:val="0"/>
                <w:sz w:val="18"/>
                <w:szCs w:val="18"/>
              </w:rPr>
            </w:pPr>
            <w:r>
              <w:rPr>
                <w:kern w:val="0"/>
                <w:sz w:val="18"/>
                <w:szCs w:val="18"/>
              </w:rPr>
              <w:t>Hourly</w:t>
            </w:r>
          </w:p>
        </w:tc>
        <w:tc>
          <w:tcPr>
            <w:tcW w:w="1360" w:type="dxa"/>
            <w:vMerge/>
          </w:tcPr>
          <w:p w14:paraId="6E387429" w14:textId="77777777" w:rsidR="00AF1BF8" w:rsidRDefault="00AF1BF8">
            <w:pPr>
              <w:pStyle w:val="af7"/>
              <w:jc w:val="center"/>
              <w:rPr>
                <w:kern w:val="0"/>
                <w:sz w:val="18"/>
                <w:szCs w:val="18"/>
              </w:rPr>
            </w:pPr>
          </w:p>
        </w:tc>
      </w:tr>
      <w:tr w:rsidR="00AF1BF8" w14:paraId="0E52FF26" w14:textId="77777777" w:rsidTr="00E05736">
        <w:trPr>
          <w:trHeight w:val="340"/>
        </w:trPr>
        <w:tc>
          <w:tcPr>
            <w:tcW w:w="1499" w:type="dxa"/>
          </w:tcPr>
          <w:p w14:paraId="0AEA87BC" w14:textId="77777777" w:rsidR="00AF1BF8" w:rsidRDefault="00000000">
            <w:pPr>
              <w:pStyle w:val="af7"/>
              <w:jc w:val="center"/>
              <w:rPr>
                <w:kern w:val="0"/>
                <w:sz w:val="18"/>
                <w:szCs w:val="18"/>
              </w:rPr>
            </w:pPr>
            <w:r>
              <w:rPr>
                <w:kern w:val="0"/>
                <w:sz w:val="18"/>
                <w:szCs w:val="18"/>
              </w:rPr>
              <w:t>Operational parameters</w:t>
            </w:r>
          </w:p>
        </w:tc>
        <w:tc>
          <w:tcPr>
            <w:tcW w:w="1620" w:type="dxa"/>
          </w:tcPr>
          <w:p w14:paraId="6265E7B3" w14:textId="77777777" w:rsidR="00AF1BF8" w:rsidRDefault="00000000">
            <w:pPr>
              <w:pStyle w:val="af7"/>
              <w:jc w:val="center"/>
              <w:rPr>
                <w:kern w:val="0"/>
                <w:sz w:val="18"/>
                <w:szCs w:val="18"/>
              </w:rPr>
            </w:pPr>
            <w:r>
              <w:rPr>
                <w:kern w:val="0"/>
                <w:sz w:val="18"/>
                <w:szCs w:val="18"/>
              </w:rPr>
              <w:t>Key process parameters</w:t>
            </w:r>
          </w:p>
        </w:tc>
        <w:tc>
          <w:tcPr>
            <w:tcW w:w="1534" w:type="dxa"/>
          </w:tcPr>
          <w:p w14:paraId="7A76A4E7" w14:textId="40636C43" w:rsidR="00AF1BF8" w:rsidRDefault="00000000">
            <w:pPr>
              <w:pStyle w:val="af7"/>
              <w:jc w:val="center"/>
              <w:rPr>
                <w:kern w:val="0"/>
                <w:sz w:val="18"/>
                <w:szCs w:val="18"/>
              </w:rPr>
            </w:pPr>
            <w:r>
              <w:rPr>
                <w:kern w:val="0"/>
                <w:sz w:val="18"/>
                <w:szCs w:val="18"/>
              </w:rPr>
              <w:t>May</w:t>
            </w:r>
            <w:r w:rsidR="00E05736">
              <w:rPr>
                <w:rFonts w:hint="eastAsia"/>
                <w:kern w:val="0"/>
                <w:sz w:val="18"/>
                <w:szCs w:val="18"/>
              </w:rPr>
              <w:t xml:space="preserve"> </w:t>
            </w:r>
            <w:r>
              <w:rPr>
                <w:kern w:val="0"/>
                <w:sz w:val="18"/>
                <w:szCs w:val="18"/>
              </w:rPr>
              <w:t>–</w:t>
            </w:r>
            <w:r w:rsidR="00E05736">
              <w:rPr>
                <w:rFonts w:hint="eastAsia"/>
                <w:kern w:val="0"/>
                <w:sz w:val="18"/>
                <w:szCs w:val="18"/>
              </w:rPr>
              <w:t xml:space="preserve"> </w:t>
            </w:r>
            <w:r>
              <w:rPr>
                <w:kern w:val="0"/>
                <w:sz w:val="18"/>
                <w:szCs w:val="18"/>
              </w:rPr>
              <w:t>Sep 2022</w:t>
            </w:r>
          </w:p>
        </w:tc>
        <w:tc>
          <w:tcPr>
            <w:tcW w:w="1301" w:type="dxa"/>
          </w:tcPr>
          <w:p w14:paraId="34A11AD2" w14:textId="77777777" w:rsidR="00AF1BF8" w:rsidRDefault="00000000">
            <w:pPr>
              <w:pStyle w:val="af7"/>
              <w:jc w:val="center"/>
              <w:rPr>
                <w:kern w:val="0"/>
                <w:sz w:val="18"/>
                <w:szCs w:val="18"/>
              </w:rPr>
            </w:pPr>
            <w:r>
              <w:rPr>
                <w:kern w:val="0"/>
                <w:sz w:val="18"/>
                <w:szCs w:val="18"/>
              </w:rPr>
              <w:t>Daily / operation records</w:t>
            </w:r>
          </w:p>
        </w:tc>
        <w:tc>
          <w:tcPr>
            <w:tcW w:w="992" w:type="dxa"/>
          </w:tcPr>
          <w:p w14:paraId="238EA928" w14:textId="77777777" w:rsidR="00AF1BF8" w:rsidRDefault="00000000">
            <w:pPr>
              <w:pStyle w:val="af7"/>
              <w:jc w:val="center"/>
              <w:rPr>
                <w:kern w:val="0"/>
                <w:sz w:val="18"/>
                <w:szCs w:val="18"/>
              </w:rPr>
            </w:pPr>
            <w:r>
              <w:rPr>
                <w:kern w:val="0"/>
                <w:sz w:val="18"/>
                <w:szCs w:val="18"/>
              </w:rPr>
              <w:t>Hourly</w:t>
            </w:r>
          </w:p>
        </w:tc>
        <w:tc>
          <w:tcPr>
            <w:tcW w:w="1360" w:type="dxa"/>
            <w:vMerge/>
          </w:tcPr>
          <w:p w14:paraId="32FC2638" w14:textId="77777777" w:rsidR="00AF1BF8" w:rsidRDefault="00AF1BF8">
            <w:pPr>
              <w:pStyle w:val="af7"/>
              <w:jc w:val="center"/>
              <w:rPr>
                <w:kern w:val="0"/>
                <w:sz w:val="18"/>
                <w:szCs w:val="18"/>
              </w:rPr>
            </w:pPr>
          </w:p>
        </w:tc>
      </w:tr>
      <w:tr w:rsidR="00AF1BF8" w14:paraId="4A1BAD37" w14:textId="77777777" w:rsidTr="00E05736">
        <w:trPr>
          <w:trHeight w:val="340"/>
        </w:trPr>
        <w:tc>
          <w:tcPr>
            <w:tcW w:w="1499" w:type="dxa"/>
          </w:tcPr>
          <w:p w14:paraId="21130F40" w14:textId="77777777" w:rsidR="00AF1BF8" w:rsidRDefault="00000000">
            <w:pPr>
              <w:pStyle w:val="af7"/>
              <w:jc w:val="center"/>
              <w:rPr>
                <w:kern w:val="0"/>
                <w:sz w:val="18"/>
                <w:szCs w:val="18"/>
              </w:rPr>
            </w:pPr>
            <w:r>
              <w:rPr>
                <w:kern w:val="0"/>
                <w:sz w:val="18"/>
                <w:szCs w:val="18"/>
              </w:rPr>
              <w:t>Meteorological data</w:t>
            </w:r>
          </w:p>
        </w:tc>
        <w:tc>
          <w:tcPr>
            <w:tcW w:w="1620" w:type="dxa"/>
          </w:tcPr>
          <w:p w14:paraId="733CD7CC" w14:textId="77777777" w:rsidR="00AF1BF8" w:rsidRDefault="00000000">
            <w:pPr>
              <w:pStyle w:val="af7"/>
              <w:jc w:val="center"/>
              <w:rPr>
                <w:kern w:val="0"/>
                <w:sz w:val="18"/>
                <w:szCs w:val="18"/>
              </w:rPr>
            </w:pPr>
            <w:r>
              <w:rPr>
                <w:kern w:val="0"/>
                <w:sz w:val="18"/>
                <w:szCs w:val="18"/>
              </w:rPr>
              <w:t>Rainfall, air temperature</w:t>
            </w:r>
          </w:p>
        </w:tc>
        <w:tc>
          <w:tcPr>
            <w:tcW w:w="1534" w:type="dxa"/>
          </w:tcPr>
          <w:p w14:paraId="002FAD3E" w14:textId="69BFA47D" w:rsidR="00AF1BF8" w:rsidRDefault="00000000">
            <w:pPr>
              <w:pStyle w:val="af7"/>
              <w:jc w:val="center"/>
              <w:rPr>
                <w:kern w:val="0"/>
                <w:sz w:val="18"/>
                <w:szCs w:val="18"/>
              </w:rPr>
            </w:pPr>
            <w:r>
              <w:rPr>
                <w:kern w:val="0"/>
                <w:sz w:val="18"/>
                <w:szCs w:val="18"/>
              </w:rPr>
              <w:t>May</w:t>
            </w:r>
            <w:r w:rsidR="00E05736">
              <w:rPr>
                <w:rFonts w:hint="eastAsia"/>
                <w:kern w:val="0"/>
                <w:sz w:val="18"/>
                <w:szCs w:val="18"/>
              </w:rPr>
              <w:t xml:space="preserve"> </w:t>
            </w:r>
            <w:r>
              <w:rPr>
                <w:kern w:val="0"/>
                <w:sz w:val="18"/>
                <w:szCs w:val="18"/>
              </w:rPr>
              <w:t>–</w:t>
            </w:r>
            <w:r w:rsidR="00E05736">
              <w:rPr>
                <w:rFonts w:hint="eastAsia"/>
                <w:kern w:val="0"/>
                <w:sz w:val="18"/>
                <w:szCs w:val="18"/>
              </w:rPr>
              <w:t xml:space="preserve"> </w:t>
            </w:r>
            <w:r>
              <w:rPr>
                <w:kern w:val="0"/>
                <w:sz w:val="18"/>
                <w:szCs w:val="18"/>
              </w:rPr>
              <w:t>Sep 2022</w:t>
            </w:r>
          </w:p>
        </w:tc>
        <w:tc>
          <w:tcPr>
            <w:tcW w:w="1301" w:type="dxa"/>
          </w:tcPr>
          <w:p w14:paraId="4015C804" w14:textId="77777777" w:rsidR="00AF1BF8" w:rsidRDefault="00000000">
            <w:pPr>
              <w:pStyle w:val="af7"/>
              <w:jc w:val="center"/>
              <w:rPr>
                <w:kern w:val="0"/>
                <w:sz w:val="18"/>
                <w:szCs w:val="18"/>
              </w:rPr>
            </w:pPr>
            <w:r>
              <w:rPr>
                <w:kern w:val="0"/>
                <w:sz w:val="18"/>
                <w:szCs w:val="18"/>
              </w:rPr>
              <w:t>Hourly</w:t>
            </w:r>
          </w:p>
        </w:tc>
        <w:tc>
          <w:tcPr>
            <w:tcW w:w="992" w:type="dxa"/>
          </w:tcPr>
          <w:p w14:paraId="1EA7068A" w14:textId="77777777" w:rsidR="00AF1BF8" w:rsidRDefault="00000000">
            <w:pPr>
              <w:pStyle w:val="af7"/>
              <w:jc w:val="center"/>
              <w:rPr>
                <w:kern w:val="0"/>
                <w:sz w:val="18"/>
                <w:szCs w:val="18"/>
              </w:rPr>
            </w:pPr>
            <w:r>
              <w:rPr>
                <w:kern w:val="0"/>
                <w:sz w:val="18"/>
                <w:szCs w:val="18"/>
              </w:rPr>
              <w:t>Hourly</w:t>
            </w:r>
          </w:p>
        </w:tc>
        <w:tc>
          <w:tcPr>
            <w:tcW w:w="1360" w:type="dxa"/>
          </w:tcPr>
          <w:p w14:paraId="08B2B022" w14:textId="4EB34CE7" w:rsidR="00AF1BF8" w:rsidRDefault="00000000">
            <w:pPr>
              <w:pStyle w:val="af7"/>
              <w:jc w:val="center"/>
              <w:rPr>
                <w:kern w:val="0"/>
                <w:sz w:val="18"/>
                <w:szCs w:val="18"/>
              </w:rPr>
            </w:pPr>
            <w:r>
              <w:rPr>
                <w:kern w:val="0"/>
                <w:sz w:val="18"/>
                <w:szCs w:val="18"/>
              </w:rPr>
              <w:t xml:space="preserve">China </w:t>
            </w:r>
            <w:r w:rsidR="00E05736">
              <w:rPr>
                <w:rFonts w:hint="eastAsia"/>
                <w:kern w:val="0"/>
                <w:sz w:val="18"/>
                <w:szCs w:val="18"/>
              </w:rPr>
              <w:t>M</w:t>
            </w:r>
            <w:r>
              <w:rPr>
                <w:kern w:val="0"/>
                <w:sz w:val="18"/>
                <w:szCs w:val="18"/>
              </w:rPr>
              <w:t xml:space="preserve">eteorological </w:t>
            </w:r>
            <w:r w:rsidR="00E05736">
              <w:rPr>
                <w:rFonts w:hint="eastAsia"/>
                <w:kern w:val="0"/>
                <w:sz w:val="18"/>
                <w:szCs w:val="18"/>
              </w:rPr>
              <w:t>D</w:t>
            </w:r>
            <w:r>
              <w:rPr>
                <w:kern w:val="0"/>
                <w:sz w:val="18"/>
                <w:szCs w:val="18"/>
              </w:rPr>
              <w:t xml:space="preserve">ata </w:t>
            </w:r>
            <w:r w:rsidR="00E05736">
              <w:rPr>
                <w:rFonts w:hint="eastAsia"/>
                <w:kern w:val="0"/>
                <w:sz w:val="18"/>
                <w:szCs w:val="18"/>
              </w:rPr>
              <w:t>S</w:t>
            </w:r>
            <w:r>
              <w:rPr>
                <w:kern w:val="0"/>
                <w:sz w:val="18"/>
                <w:szCs w:val="18"/>
              </w:rPr>
              <w:t xml:space="preserve">ervice </w:t>
            </w:r>
            <w:r w:rsidR="00E05736">
              <w:rPr>
                <w:rFonts w:hint="eastAsia"/>
                <w:kern w:val="0"/>
                <w:sz w:val="18"/>
                <w:szCs w:val="18"/>
              </w:rPr>
              <w:t>C</w:t>
            </w:r>
            <w:r>
              <w:rPr>
                <w:kern w:val="0"/>
                <w:sz w:val="18"/>
                <w:szCs w:val="18"/>
              </w:rPr>
              <w:t>entre</w:t>
            </w:r>
          </w:p>
        </w:tc>
      </w:tr>
    </w:tbl>
    <w:p w14:paraId="22D0FEE8" w14:textId="77777777" w:rsidR="00AF1BF8" w:rsidRDefault="00000000">
      <w:pPr>
        <w:pStyle w:val="1"/>
        <w:spacing w:before="0" w:after="0"/>
        <w:rPr>
          <w:rFonts w:ascii="Times New Roman" w:hAnsi="Times New Roman" w:cs="Times New Roman"/>
          <w:color w:val="004E9A"/>
          <w:sz w:val="28"/>
          <w:szCs w:val="28"/>
        </w:rPr>
      </w:pPr>
      <w:bookmarkStart w:id="3" w:name="OLE_LINK28"/>
      <w:bookmarkStart w:id="4" w:name="OLE_LINK3"/>
      <w:r>
        <w:rPr>
          <w:rFonts w:ascii="Times New Roman" w:hAnsi="Times New Roman" w:cs="Times New Roman"/>
          <w:color w:val="004E9A"/>
          <w:sz w:val="28"/>
          <w:szCs w:val="28"/>
        </w:rPr>
        <w:t xml:space="preserve">Text </w:t>
      </w:r>
      <w:proofErr w:type="spellStart"/>
      <w:r>
        <w:rPr>
          <w:rFonts w:ascii="Times New Roman" w:hAnsi="Times New Roman" w:cs="Times New Roman" w:hint="eastAsia"/>
          <w:color w:val="004E9A"/>
          <w:sz w:val="28"/>
          <w:szCs w:val="28"/>
        </w:rPr>
        <w:t>A.</w:t>
      </w:r>
      <w:r>
        <w:rPr>
          <w:rFonts w:ascii="Times New Roman" w:hAnsi="Times New Roman" w:cs="Times New Roman"/>
          <w:color w:val="004E9A"/>
          <w:sz w:val="28"/>
          <w:szCs w:val="28"/>
        </w:rPr>
        <w:t>2</w:t>
      </w:r>
      <w:proofErr w:type="spellEnd"/>
      <w:r>
        <w:rPr>
          <w:rFonts w:ascii="Times New Roman" w:hAnsi="Times New Roman" w:cs="Times New Roman" w:hint="eastAsia"/>
          <w:color w:val="004E9A"/>
          <w:sz w:val="28"/>
          <w:szCs w:val="28"/>
        </w:rPr>
        <w:t xml:space="preserve"> </w:t>
      </w:r>
      <w:r>
        <w:rPr>
          <w:rFonts w:ascii="Times New Roman" w:hAnsi="Times New Roman" w:cs="Times New Roman"/>
          <w:color w:val="004E9A"/>
          <w:sz w:val="28"/>
          <w:szCs w:val="28"/>
        </w:rPr>
        <w:t>Development of baseline flow prediction models</w:t>
      </w:r>
    </w:p>
    <w:p w14:paraId="46CFE1A6" w14:textId="77777777" w:rsidR="00AF1BF8" w:rsidRDefault="00000000">
      <w:pPr>
        <w:pStyle w:val="2"/>
        <w:spacing w:before="10" w:after="10"/>
        <w:rPr>
          <w:rFonts w:ascii="Times New Roman" w:hAnsi="Times New Roman" w:cs="Times New Roman"/>
          <w:sz w:val="24"/>
          <w:szCs w:val="24"/>
        </w:rPr>
      </w:pPr>
      <w:r>
        <w:rPr>
          <w:rFonts w:ascii="Times New Roman" w:hAnsi="Times New Roman" w:cs="Times New Roman"/>
          <w:sz w:val="24"/>
          <w:szCs w:val="24"/>
        </w:rPr>
        <w:t xml:space="preserve">Text </w:t>
      </w:r>
      <w:proofErr w:type="spellStart"/>
      <w:r>
        <w:rPr>
          <w:rFonts w:ascii="Times New Roman" w:hAnsi="Times New Roman" w:cs="Times New Roman"/>
          <w:sz w:val="24"/>
          <w:szCs w:val="24"/>
        </w:rPr>
        <w:t>A.2.1</w:t>
      </w:r>
      <w:proofErr w:type="spellEnd"/>
      <w:r>
        <w:rPr>
          <w:rFonts w:ascii="Times New Roman" w:hAnsi="Times New Roman" w:cs="Times New Roman"/>
          <w:sz w:val="24"/>
          <w:szCs w:val="24"/>
        </w:rPr>
        <w:t xml:space="preserve"> Data preprocessing and identification of rainfall-affected periods</w:t>
      </w:r>
    </w:p>
    <w:p w14:paraId="30106F34" w14:textId="77777777" w:rsidR="00AF1BF8" w:rsidRDefault="00000000">
      <w:pPr>
        <w:ind w:firstLineChars="200" w:firstLine="420"/>
        <w:rPr>
          <w:rFonts w:eastAsiaTheme="minorEastAsia"/>
        </w:rPr>
      </w:pPr>
      <w:r>
        <w:rPr>
          <w:rFonts w:eastAsiaTheme="minorEastAsia"/>
        </w:rPr>
        <w:t>To construct the baseline domestic wastewater flow, this study developed time-series prediction models based on hourly influent flow data from the WWTPs. The raw data were first processed by standardizing timestamp formats, resampling to an hourly scale, and sorting chronologically. Invalid and missing values in the influent flow series were filled using linear interpolation. If a small number of missing values remained after interpolation, forward filling and backward filling were further applied to ensure the continuity of the hourly time series.</w:t>
      </w:r>
    </w:p>
    <w:p w14:paraId="0186E5D3" w14:textId="77777777" w:rsidR="00AF1BF8" w:rsidRDefault="00000000">
      <w:pPr>
        <w:ind w:firstLineChars="200" w:firstLine="420"/>
        <w:rPr>
          <w:rFonts w:eastAsiaTheme="minorEastAsia"/>
        </w:rPr>
      </w:pPr>
      <w:r>
        <w:rPr>
          <w:rFonts w:eastAsiaTheme="minorEastAsia"/>
        </w:rPr>
        <w:t xml:space="preserve">Rainfall data were mainly used to identify rainfall events and their subsequent impact periods. An hour was classified as a rainfall period when the rainfall depth in that hour was greater than 0. For adjacent rainfall events, if the intervening dry interval was short, the events were treated as part of the same continuous rainfall-affected process. Because background groundwater infiltration in the study area was relatively weak, abnormal increases in influent flow during the rainy season were </w:t>
      </w:r>
      <w:r>
        <w:rPr>
          <w:rFonts w:eastAsiaTheme="minorEastAsia"/>
        </w:rPr>
        <w:lastRenderedPageBreak/>
        <w:t>assumed to be mainly caused by rainfall and post-rainfall sewer network responses. Therefore, positive residuals between the observed influent flow and the predicted baseline flow were used to represent rainfall-related inflow and infiltration (I/I) increments.</w:t>
      </w:r>
    </w:p>
    <w:p w14:paraId="2F2B9184" w14:textId="77777777" w:rsidR="00AF1BF8" w:rsidRDefault="00000000">
      <w:pPr>
        <w:ind w:firstLineChars="200" w:firstLine="420"/>
        <w:rPr>
          <w:rFonts w:eastAsiaTheme="minorEastAsia"/>
        </w:rPr>
      </w:pPr>
      <w:r>
        <w:rPr>
          <w:rFonts w:eastAsiaTheme="minorEastAsia"/>
        </w:rPr>
        <w:t>The dataset was split chronologically into training and testing subsets, with the first 80% of the time-series data used for model training and the remaining 20% used for model testing. This chronological split avoided temporal information leakage caused by random partitioning and was appropriate for continuous time-series data such as WWTP influent flow.</w:t>
      </w:r>
    </w:p>
    <w:p w14:paraId="357A41D5" w14:textId="77777777" w:rsidR="00AF1BF8" w:rsidRDefault="00000000">
      <w:pPr>
        <w:pStyle w:val="2"/>
        <w:spacing w:before="10" w:after="10"/>
        <w:rPr>
          <w:rFonts w:ascii="Times New Roman" w:hAnsi="Times New Roman" w:cs="Times New Roman"/>
          <w:sz w:val="24"/>
          <w:szCs w:val="24"/>
        </w:rPr>
      </w:pPr>
      <w:r>
        <w:rPr>
          <w:rFonts w:ascii="Times New Roman" w:hAnsi="Times New Roman" w:cs="Times New Roman" w:hint="eastAsia"/>
          <w:sz w:val="24"/>
          <w:szCs w:val="24"/>
        </w:rPr>
        <w:t xml:space="preserve">Text </w:t>
      </w:r>
      <w:proofErr w:type="spellStart"/>
      <w:r>
        <w:rPr>
          <w:rFonts w:ascii="Times New Roman" w:hAnsi="Times New Roman" w:cs="Times New Roman" w:hint="eastAsia"/>
          <w:sz w:val="24"/>
          <w:szCs w:val="24"/>
        </w:rPr>
        <w:t>A</w:t>
      </w:r>
      <w:r>
        <w:rPr>
          <w:rFonts w:ascii="Times New Roman" w:hAnsi="Times New Roman" w:cs="Times New Roman"/>
          <w:sz w:val="24"/>
          <w:szCs w:val="24"/>
        </w:rPr>
        <w:t>2.2</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Random forest</w:t>
      </w:r>
      <w:proofErr w:type="gramEnd"/>
      <w:r>
        <w:rPr>
          <w:rFonts w:ascii="Times New Roman" w:hAnsi="Times New Roman" w:cs="Times New Roman"/>
          <w:sz w:val="24"/>
          <w:szCs w:val="24"/>
        </w:rPr>
        <w:t xml:space="preserve"> model</w:t>
      </w:r>
    </w:p>
    <w:p w14:paraId="2E3C554B" w14:textId="77777777" w:rsidR="00AF1BF8" w:rsidRDefault="00000000">
      <w:pPr>
        <w:ind w:firstLineChars="200" w:firstLine="420"/>
        <w:rPr>
          <w:rFonts w:eastAsiaTheme="minorEastAsia"/>
        </w:rPr>
      </w:pPr>
      <w:r>
        <w:rPr>
          <w:rFonts w:eastAsiaTheme="minorEastAsia"/>
        </w:rPr>
        <w:t xml:space="preserve">The random forest (RF) model was used to capture nonlinear relationships between influent flow and temporal features, historical statistical features, and lagged flow features. The model </w:t>
      </w:r>
      <w:proofErr w:type="gramStart"/>
      <w:r>
        <w:rPr>
          <w:rFonts w:eastAsiaTheme="minorEastAsia"/>
        </w:rPr>
        <w:t>inputs</w:t>
      </w:r>
      <w:r>
        <w:rPr>
          <w:rFonts w:eastAsiaTheme="minorEastAsia" w:hint="eastAsia"/>
        </w:rPr>
        <w:t xml:space="preserve"> </w:t>
      </w:r>
      <w:r>
        <w:rPr>
          <w:rFonts w:eastAsiaTheme="minorEastAsia"/>
        </w:rPr>
        <w:t xml:space="preserve"> included</w:t>
      </w:r>
      <w:proofErr w:type="gramEnd"/>
      <w:r>
        <w:rPr>
          <w:rFonts w:eastAsiaTheme="minorEastAsia"/>
        </w:rPr>
        <w:t xml:space="preserve"> basic temporal features, categorical temporal features, historical statistical features, and lagged flow features</w:t>
      </w:r>
      <w:r>
        <w:rPr>
          <w:rFonts w:eastAsiaTheme="minorEastAsia" w:hint="eastAsia"/>
        </w:rPr>
        <w:t xml:space="preserve"> (</w:t>
      </w:r>
      <w:r>
        <w:rPr>
          <w:rFonts w:eastAsiaTheme="minorEastAsia" w:hint="eastAsia"/>
          <w:color w:val="4472C4" w:themeColor="accent1"/>
        </w:rPr>
        <w:t xml:space="preserve">Table </w:t>
      </w:r>
      <w:proofErr w:type="spellStart"/>
      <w:r>
        <w:rPr>
          <w:rFonts w:eastAsiaTheme="minorEastAsia" w:hint="eastAsia"/>
          <w:color w:val="4472C4" w:themeColor="accent1"/>
        </w:rPr>
        <w:t>A2</w:t>
      </w:r>
      <w:proofErr w:type="spellEnd"/>
      <w:r>
        <w:rPr>
          <w:rFonts w:eastAsiaTheme="minorEastAsia" w:hint="eastAsia"/>
        </w:rPr>
        <w:t>)</w:t>
      </w:r>
      <w:r>
        <w:rPr>
          <w:rFonts w:eastAsiaTheme="minorEastAsia"/>
        </w:rPr>
        <w:t>. The basic temporal features included hour, day, month, year, day of week, day of year, and week of year. The categorical temporal features included weekday indicator, weekend indicator, season, and intraday time period. The historical statistical features included the 24 h and 72 h rolling mean influent flows. The lagged flow features included influent flow at 1 h, 2 h, 3 h, 6 h, 12 h, and 24 h before the prediction time.</w:t>
      </w:r>
    </w:p>
    <w:p w14:paraId="5BA0F65C" w14:textId="77777777" w:rsidR="00AF1BF8" w:rsidRDefault="00000000">
      <w:pPr>
        <w:ind w:firstLineChars="200" w:firstLine="420"/>
        <w:rPr>
          <w:rFonts w:eastAsiaTheme="minorEastAsia"/>
        </w:rPr>
      </w:pPr>
      <w:r>
        <w:rPr>
          <w:rFonts w:eastAsiaTheme="minorEastAsia"/>
        </w:rPr>
        <w:t>To reduce the influence of differences in numerical scales among variables, Min-Max normalization was applied to influent flow, rolling mean flow, lagged flow, and other numerical variables. The RF regression model was configured with 200 decision trees, a maximum tree depth of 15, a minimum of 5 samples required for node splitting, and a minimum of 2 samples per leaf node. The square-</w:t>
      </w:r>
      <w:proofErr w:type="spellStart"/>
      <w:r>
        <w:rPr>
          <w:rFonts w:eastAsiaTheme="minorEastAsia"/>
        </w:rPr>
        <w:t>root</w:t>
      </w:r>
      <w:proofErr w:type="spellEnd"/>
      <w:r>
        <w:rPr>
          <w:rFonts w:eastAsiaTheme="minorEastAsia"/>
        </w:rPr>
        <w:t xml:space="preserve"> strategy was used for feature selection at each split, and a fixed random seed was set to ensure reproducibility. The main model parameters are summarized in </w:t>
      </w:r>
      <w:r>
        <w:rPr>
          <w:rFonts w:eastAsiaTheme="minorEastAsia"/>
          <w:color w:val="4472C4" w:themeColor="accent1"/>
        </w:rPr>
        <w:t xml:space="preserve">Table </w:t>
      </w:r>
      <w:proofErr w:type="spellStart"/>
      <w:r>
        <w:rPr>
          <w:rFonts w:eastAsiaTheme="minorEastAsia" w:hint="eastAsia"/>
          <w:color w:val="4472C4" w:themeColor="accent1"/>
        </w:rPr>
        <w:t>A</w:t>
      </w:r>
      <w:r>
        <w:rPr>
          <w:rFonts w:eastAsiaTheme="minorEastAsia"/>
          <w:color w:val="4472C4" w:themeColor="accent1"/>
        </w:rPr>
        <w:t>3</w:t>
      </w:r>
      <w:proofErr w:type="spellEnd"/>
      <w:r>
        <w:rPr>
          <w:rFonts w:eastAsiaTheme="minorEastAsia"/>
        </w:rPr>
        <w:t>. Model outputs were inverse-transformed to restore the predicted values to the original flow scale.</w:t>
      </w:r>
    </w:p>
    <w:p w14:paraId="491818A3" w14:textId="77777777" w:rsidR="00AF1BF8" w:rsidRDefault="00000000">
      <w:pPr>
        <w:pStyle w:val="2"/>
        <w:spacing w:before="10" w:after="10"/>
        <w:rPr>
          <w:rFonts w:ascii="Times New Roman" w:hAnsi="Times New Roman" w:cs="Times New Roman"/>
          <w:color w:val="004E9A"/>
          <w:sz w:val="24"/>
          <w:szCs w:val="24"/>
        </w:rPr>
      </w:pPr>
      <w:r>
        <w:rPr>
          <w:rFonts w:ascii="Times New Roman" w:hAnsi="Times New Roman" w:cs="Times New Roman" w:hint="eastAsia"/>
          <w:sz w:val="24"/>
          <w:szCs w:val="24"/>
        </w:rPr>
        <w:t xml:space="preserve">Text </w:t>
      </w:r>
      <w:proofErr w:type="spellStart"/>
      <w:r>
        <w:rPr>
          <w:rFonts w:ascii="Times New Roman" w:hAnsi="Times New Roman" w:cs="Times New Roman" w:hint="eastAsia"/>
          <w:sz w:val="24"/>
          <w:szCs w:val="24"/>
        </w:rPr>
        <w:t>A.</w:t>
      </w:r>
      <w:r>
        <w:rPr>
          <w:rFonts w:ascii="Times New Roman" w:hAnsi="Times New Roman" w:cs="Times New Roman"/>
          <w:sz w:val="24"/>
          <w:szCs w:val="24"/>
        </w:rPr>
        <w:t>2.3</w:t>
      </w:r>
      <w:proofErr w:type="spellEnd"/>
      <w:r>
        <w:rPr>
          <w:rFonts w:ascii="Times New Roman" w:hAnsi="Times New Roman" w:cs="Times New Roman"/>
          <w:sz w:val="24"/>
          <w:szCs w:val="24"/>
        </w:rPr>
        <w:t xml:space="preserve"> Long short-term memory network model</w:t>
      </w:r>
    </w:p>
    <w:p w14:paraId="3C7610AA" w14:textId="77777777" w:rsidR="00AF1BF8" w:rsidRDefault="00000000">
      <w:pPr>
        <w:ind w:firstLineChars="200" w:firstLine="420"/>
        <w:rPr>
          <w:rFonts w:eastAsiaTheme="minorEastAsia"/>
        </w:rPr>
      </w:pPr>
      <w:r>
        <w:rPr>
          <w:rFonts w:eastAsiaTheme="minorEastAsia"/>
        </w:rPr>
        <w:t>The long short-term memory network (LSTM) model was used to characterize temporal dependencies in the influent flow series. To enhance the ability of the model to identify periodic variations, sine–cosine encoding was applied to the hour and weekday variables, generating four periodic features: hour sine, hour cosine, weekday sine, and weekday cosine. The model inputs included normalized influent flow and these four periodic temporal features</w:t>
      </w:r>
      <w:r>
        <w:rPr>
          <w:rFonts w:eastAsiaTheme="minorEastAsia" w:hint="eastAsia"/>
        </w:rPr>
        <w:t xml:space="preserve"> (</w:t>
      </w:r>
      <w:r>
        <w:rPr>
          <w:rFonts w:eastAsiaTheme="minorEastAsia" w:hint="eastAsia"/>
          <w:color w:val="4472C4" w:themeColor="accent1"/>
        </w:rPr>
        <w:t xml:space="preserve">Table </w:t>
      </w:r>
      <w:proofErr w:type="spellStart"/>
      <w:r>
        <w:rPr>
          <w:rFonts w:eastAsiaTheme="minorEastAsia" w:hint="eastAsia"/>
          <w:color w:val="4472C4" w:themeColor="accent1"/>
        </w:rPr>
        <w:t>A2</w:t>
      </w:r>
      <w:proofErr w:type="spellEnd"/>
      <w:r>
        <w:rPr>
          <w:rFonts w:eastAsiaTheme="minorEastAsia" w:hint="eastAsia"/>
        </w:rPr>
        <w:t>)</w:t>
      </w:r>
      <w:r>
        <w:rPr>
          <w:rFonts w:eastAsiaTheme="minorEastAsia"/>
        </w:rPr>
        <w:t>.</w:t>
      </w:r>
    </w:p>
    <w:p w14:paraId="186A0F5E" w14:textId="77777777" w:rsidR="00AF1BF8" w:rsidRDefault="00000000">
      <w:pPr>
        <w:ind w:firstLineChars="200" w:firstLine="420"/>
        <w:rPr>
          <w:rFonts w:eastAsiaTheme="minorEastAsia"/>
        </w:rPr>
      </w:pPr>
      <w:r>
        <w:rPr>
          <w:rFonts w:eastAsiaTheme="minorEastAsia"/>
        </w:rPr>
        <w:lastRenderedPageBreak/>
        <w:t>Considering the pronounced diurnal pattern of WWTP influent flow, a 24 h time step was used in the LSTM model; that is, the influent flow and periodic features from the previous 24 h were used to predict the influent flow at the current time. The model adopted a two-layer stacked LSTM architecture. The first LSTM layer contained 64 units and returned the full sequence, while the second LSTM layer contained 32 units to further extract temporal features. A dropout layer with a dropout rate of 0.2 was applied after each LSTM layer to reduce the risk of overfitting. The output layer was a fully connected layer that predicted the normalized influent flow at the current time.</w:t>
      </w:r>
    </w:p>
    <w:p w14:paraId="37DC592C" w14:textId="77777777" w:rsidR="00AF1BF8" w:rsidRDefault="00000000">
      <w:pPr>
        <w:rPr>
          <w:rFonts w:eastAsiaTheme="minorEastAsia"/>
        </w:rPr>
      </w:pPr>
      <w:r>
        <w:rPr>
          <w:rFonts w:eastAsiaTheme="minorEastAsia"/>
        </w:rPr>
        <w:t>The model was trained using the Adam optimizer, with mean absolute error (MAE) as the loss function. The maximum number of training epochs was set to 100, the batch size was set to 32, and 10% of the training data were used as the validation set. Early stopping was applied during training. Specifically, training was terminated when the validation loss did not decrease for 10 consecutive epochs, and the model parameters corresponding to the lowest validation loss were retained.</w:t>
      </w:r>
      <w:r>
        <w:rPr>
          <w:rFonts w:eastAsiaTheme="minorEastAsia" w:hint="eastAsia"/>
        </w:rPr>
        <w:t xml:space="preserve"> </w:t>
      </w:r>
      <w:r>
        <w:rPr>
          <w:rFonts w:eastAsiaTheme="minorEastAsia"/>
        </w:rPr>
        <w:t xml:space="preserve">The main model parameters are listed in </w:t>
      </w:r>
      <w:r>
        <w:rPr>
          <w:rFonts w:eastAsiaTheme="minorEastAsia"/>
          <w:color w:val="4472C4" w:themeColor="accent1"/>
        </w:rPr>
        <w:t xml:space="preserve">Table </w:t>
      </w:r>
      <w:proofErr w:type="spellStart"/>
      <w:r>
        <w:rPr>
          <w:rFonts w:eastAsiaTheme="minorEastAsia" w:hint="eastAsia"/>
          <w:color w:val="4472C4" w:themeColor="accent1"/>
        </w:rPr>
        <w:t>A</w:t>
      </w:r>
      <w:r>
        <w:rPr>
          <w:rFonts w:eastAsiaTheme="minorEastAsia"/>
          <w:color w:val="4472C4" w:themeColor="accent1"/>
        </w:rPr>
        <w:t>3</w:t>
      </w:r>
      <w:proofErr w:type="spellEnd"/>
      <w:r>
        <w:rPr>
          <w:rFonts w:eastAsiaTheme="minorEastAsia"/>
        </w:rPr>
        <w:t>.</w:t>
      </w:r>
    </w:p>
    <w:p w14:paraId="1B55C687" w14:textId="77777777" w:rsidR="00AF1BF8" w:rsidRDefault="00000000">
      <w:pPr>
        <w:pStyle w:val="2"/>
        <w:spacing w:before="10" w:after="10"/>
        <w:rPr>
          <w:rFonts w:ascii="Times New Roman" w:hAnsi="Times New Roman" w:cs="Times New Roman"/>
          <w:sz w:val="24"/>
          <w:szCs w:val="24"/>
        </w:rPr>
      </w:pPr>
      <w:r>
        <w:rPr>
          <w:rFonts w:ascii="Times New Roman" w:hAnsi="Times New Roman" w:cs="Times New Roman" w:hint="eastAsia"/>
          <w:sz w:val="24"/>
          <w:szCs w:val="24"/>
        </w:rPr>
        <w:t xml:space="preserve">Text </w:t>
      </w:r>
      <w:proofErr w:type="spellStart"/>
      <w:r>
        <w:rPr>
          <w:rFonts w:ascii="Times New Roman" w:hAnsi="Times New Roman" w:cs="Times New Roman" w:hint="eastAsia"/>
          <w:sz w:val="24"/>
          <w:szCs w:val="24"/>
        </w:rPr>
        <w:t>A.</w:t>
      </w:r>
      <w:r>
        <w:rPr>
          <w:rFonts w:ascii="Times New Roman" w:hAnsi="Times New Roman" w:cs="Times New Roman"/>
          <w:sz w:val="24"/>
          <w:szCs w:val="24"/>
        </w:rPr>
        <w:t>2.4</w:t>
      </w:r>
      <w:proofErr w:type="spellEnd"/>
      <w:r>
        <w:rPr>
          <w:rFonts w:ascii="Times New Roman" w:hAnsi="Times New Roman" w:cs="Times New Roman"/>
          <w:sz w:val="24"/>
          <w:szCs w:val="24"/>
        </w:rPr>
        <w:t xml:space="preserve"> Prophet model</w:t>
      </w:r>
    </w:p>
    <w:p w14:paraId="44ADDED7" w14:textId="77777777" w:rsidR="00AF1BF8" w:rsidRDefault="00000000">
      <w:pPr>
        <w:ind w:firstLineChars="200" w:firstLine="420"/>
        <w:rPr>
          <w:rFonts w:eastAsiaTheme="minorEastAsia"/>
        </w:rPr>
      </w:pPr>
      <w:r>
        <w:rPr>
          <w:rFonts w:eastAsiaTheme="minorEastAsia"/>
        </w:rPr>
        <w:t>The Prophet model was used to represent the trend, daily seasonality, and weekly seasonality of influent flow. Considering the pronounced seasonal characteristics of the regional climate and influent flow fluctuations, a season-specific modelling strategy was adopted. The year was divided into spring, summer, autumn, and winter</w:t>
      </w:r>
      <w:r>
        <w:rPr>
          <w:rFonts w:eastAsiaTheme="minorEastAsia" w:hint="eastAsia"/>
        </w:rPr>
        <w:t xml:space="preserve"> (</w:t>
      </w:r>
      <w:r>
        <w:rPr>
          <w:rFonts w:eastAsiaTheme="minorEastAsia" w:hint="eastAsia"/>
          <w:color w:val="4472C4" w:themeColor="accent1"/>
        </w:rPr>
        <w:t xml:space="preserve">Table </w:t>
      </w:r>
      <w:proofErr w:type="spellStart"/>
      <w:r>
        <w:rPr>
          <w:rFonts w:eastAsiaTheme="minorEastAsia" w:hint="eastAsia"/>
          <w:color w:val="4472C4" w:themeColor="accent1"/>
        </w:rPr>
        <w:t>A2</w:t>
      </w:r>
      <w:proofErr w:type="spellEnd"/>
      <w:r>
        <w:rPr>
          <w:rFonts w:eastAsiaTheme="minorEastAsia" w:hint="eastAsia"/>
        </w:rPr>
        <w:t>)</w:t>
      </w:r>
      <w:r>
        <w:rPr>
          <w:rFonts w:eastAsiaTheme="minorEastAsia"/>
        </w:rPr>
        <w:t>. Spring included April and May, summer included June to August, autumn included September and October, and winter included November to March of the following year. During seasonal transition periods, the predictions from adjacent seasonal models were smoothly connected to avoid abrupt changes in the baseline flow caused by seasonal switching.</w:t>
      </w:r>
    </w:p>
    <w:p w14:paraId="5D4AC7FA" w14:textId="371D11F8" w:rsidR="00AF1BF8" w:rsidRDefault="00000000">
      <w:pPr>
        <w:ind w:firstLineChars="200" w:firstLine="420"/>
        <w:rPr>
          <w:rFonts w:eastAsiaTheme="minorEastAsia"/>
        </w:rPr>
      </w:pPr>
      <w:r>
        <w:rPr>
          <w:rFonts w:eastAsiaTheme="minorEastAsia"/>
        </w:rPr>
        <w:t xml:space="preserve">For each season, the Prophet model included daily and weekly seasonal components and used an additive seasonality mode. The changepoint prior scale was set to 1, the seasonality prior scale was set to 10, and both daily and weekly seasonality were included. During model training, an iterative residual-filtering strategy was used to identify and remove abnormal disturbance points. Specifically, a Prophet model was first trained using the samples from the corresponding season to generate the predicted baseline flow. Residuals were then calculated as the difference between observed influent flow and predicted baseline flow, and abnormal points were identified using a </w:t>
      </w:r>
      <m:oMath>
        <m:r>
          <m:rPr>
            <m:nor/>
          </m:rPr>
          <w:rPr>
            <w:rFonts w:eastAsiaTheme="minorEastAsia" w:cs="Times New Roman"/>
          </w:rPr>
          <m:t>k-σ</m:t>
        </m:r>
      </m:oMath>
      <w:r>
        <w:rPr>
          <w:rFonts w:eastAsiaTheme="minorEastAsia"/>
        </w:rPr>
        <w:t xml:space="preserve"> criterion. After removing the abnormal points, the model was retrained. This process was </w:t>
      </w:r>
      <w:r>
        <w:rPr>
          <w:rFonts w:eastAsiaTheme="minorEastAsia"/>
        </w:rPr>
        <w:lastRenderedPageBreak/>
        <w:t>repeated for a maximum of 10 iterations, with k set to 1.1.</w:t>
      </w:r>
    </w:p>
    <w:p w14:paraId="18E6B4EA" w14:textId="77777777" w:rsidR="00AF1BF8" w:rsidRDefault="00000000">
      <w:pPr>
        <w:ind w:firstLineChars="200" w:firstLine="420"/>
        <w:rPr>
          <w:rFonts w:eastAsiaTheme="minorEastAsia"/>
        </w:rPr>
      </w:pPr>
      <w:r>
        <w:rPr>
          <w:rFonts w:eastAsiaTheme="minorEastAsia"/>
        </w:rPr>
        <w:t xml:space="preserve">Multiple stopping criteria were used during the iterative modelling process. Iteration was terminated early when the Anderson–Darling test of the residual distribution satisfied the predefined stability condition, when the maximum positive residual was lower than the predefined threshold, or when the correlation between predictions from two consecutive iterations exceeded 0.999. The main model parameters are provided in </w:t>
      </w:r>
      <w:r w:rsidRPr="001D4BEA">
        <w:rPr>
          <w:rFonts w:eastAsiaTheme="minorEastAsia"/>
          <w:color w:val="4472C4" w:themeColor="accent1"/>
        </w:rPr>
        <w:t xml:space="preserve">Table </w:t>
      </w:r>
      <w:proofErr w:type="spellStart"/>
      <w:r w:rsidRPr="001D4BEA">
        <w:rPr>
          <w:rFonts w:eastAsiaTheme="minorEastAsia" w:hint="eastAsia"/>
          <w:color w:val="4472C4" w:themeColor="accent1"/>
        </w:rPr>
        <w:t>A</w:t>
      </w:r>
      <w:r w:rsidRPr="001D4BEA">
        <w:rPr>
          <w:rFonts w:eastAsiaTheme="minorEastAsia"/>
          <w:color w:val="4472C4" w:themeColor="accent1"/>
        </w:rPr>
        <w:t>3</w:t>
      </w:r>
      <w:proofErr w:type="spellEnd"/>
      <w:r>
        <w:rPr>
          <w:rFonts w:eastAsiaTheme="minorEastAsia" w:hint="eastAsia"/>
        </w:rPr>
        <w:t xml:space="preserve">. </w:t>
      </w:r>
      <w:r>
        <w:rPr>
          <w:rFonts w:eastAsiaTheme="minorEastAsia"/>
        </w:rPr>
        <w:t>After model training, the season-specific models were used to generate a complete hourly baseline flow series. Missing baseline flow values caused by seasonal transitions or local data gaps were filled using time-based interpolation, followed by forward and backward filling, to obtain a continuous baseline domestic wastewater flow series.</w:t>
      </w:r>
    </w:p>
    <w:p w14:paraId="65B7287B" w14:textId="77777777" w:rsidR="00AF1BF8" w:rsidRDefault="00000000">
      <w:pPr>
        <w:ind w:firstLineChars="200" w:firstLine="420"/>
        <w:rPr>
          <w:rFonts w:eastAsiaTheme="minorEastAsia"/>
        </w:rPr>
      </w:pPr>
      <w:r>
        <w:rPr>
          <w:rFonts w:eastAsiaTheme="minorEastAsia"/>
        </w:rPr>
        <w:t>In the final identification of I/I, only positive anomalous residuals in which the observed influent flow exceeded the predicted baseline flow were treated as rainfall-related flow increments. This prevented negative residuals from being misclassified as extraneous water intrusion. To reduce misclassification caused by single-hour fluctuations, a 3 h moving-window majority voting approach was applied to smooth the wet-period labels.</w:t>
      </w:r>
    </w:p>
    <w:p w14:paraId="3E98EEB8" w14:textId="77777777" w:rsidR="00AF1BF8" w:rsidRDefault="00000000">
      <w:pPr>
        <w:pStyle w:val="2"/>
        <w:spacing w:before="10" w:after="10"/>
        <w:rPr>
          <w:rFonts w:ascii="Times New Roman" w:hAnsi="Times New Roman" w:cs="Times New Roman"/>
          <w:color w:val="004E9A"/>
          <w:sz w:val="24"/>
          <w:szCs w:val="24"/>
        </w:rPr>
      </w:pPr>
      <w:r>
        <w:rPr>
          <w:rFonts w:ascii="Times New Roman" w:hAnsi="Times New Roman" w:cs="Times New Roman" w:hint="eastAsia"/>
          <w:sz w:val="24"/>
          <w:szCs w:val="24"/>
        </w:rPr>
        <w:t xml:space="preserve">Test </w:t>
      </w:r>
      <w:proofErr w:type="spellStart"/>
      <w:r>
        <w:rPr>
          <w:rFonts w:ascii="Times New Roman" w:hAnsi="Times New Roman" w:cs="Times New Roman" w:hint="eastAsia"/>
          <w:sz w:val="24"/>
          <w:szCs w:val="24"/>
        </w:rPr>
        <w:t>A.</w:t>
      </w:r>
      <w:r>
        <w:rPr>
          <w:rFonts w:ascii="Times New Roman" w:hAnsi="Times New Roman" w:cs="Times New Roman"/>
          <w:sz w:val="24"/>
          <w:szCs w:val="24"/>
        </w:rPr>
        <w:t>2.5</w:t>
      </w:r>
      <w:proofErr w:type="spellEnd"/>
      <w:r>
        <w:rPr>
          <w:rFonts w:ascii="Times New Roman" w:hAnsi="Times New Roman" w:cs="Times New Roman"/>
          <w:sz w:val="24"/>
          <w:szCs w:val="24"/>
        </w:rPr>
        <w:t xml:space="preserve"> Model evaluation metrics and selection criteria</w:t>
      </w:r>
    </w:p>
    <w:p w14:paraId="0C0AE23D" w14:textId="77777777" w:rsidR="00AF1BF8" w:rsidRDefault="00000000">
      <w:pPr>
        <w:ind w:firstLineChars="200" w:firstLine="420"/>
        <w:rPr>
          <w:rFonts w:eastAsiaTheme="minorEastAsia"/>
        </w:rPr>
      </w:pPr>
      <w:r>
        <w:rPr>
          <w:rFonts w:eastAsiaTheme="minorEastAsia"/>
        </w:rPr>
        <w:t>Model prediction performance was evaluated using mean absolute error (MAE) and root mean square error (</w:t>
      </w:r>
      <w:proofErr w:type="spellStart"/>
      <w:r>
        <w:rPr>
          <w:rFonts w:eastAsiaTheme="minorEastAsia"/>
        </w:rPr>
        <w:t>RMSE</w:t>
      </w:r>
      <w:proofErr w:type="spellEnd"/>
      <w:r>
        <w:rPr>
          <w:rFonts w:eastAsiaTheme="minorEastAsia"/>
        </w:rPr>
        <w:t>):</w:t>
      </w:r>
    </w:p>
    <w:p w14:paraId="1895E606" w14:textId="77777777" w:rsidR="00AF1BF8" w:rsidRDefault="00000000">
      <w:pPr>
        <w:ind w:firstLineChars="200" w:firstLine="420"/>
        <w:rPr>
          <w:rFonts w:eastAsiaTheme="minorEastAsia"/>
        </w:rPr>
      </w:pPr>
      <m:oMathPara>
        <m:oMath>
          <m:eqArr>
            <m:eqArrPr>
              <m:maxDist m:val="1"/>
              <m:ctrlPr>
                <w:rPr>
                  <w:rFonts w:ascii="Cambria Math" w:eastAsiaTheme="minorEastAsia" w:hAnsi="Cambria Math"/>
                  <w:i/>
                </w:rPr>
              </m:ctrlPr>
            </m:eqArrPr>
            <m:e>
              <m:r>
                <w:rPr>
                  <w:rFonts w:ascii="Cambria Math" w:eastAsiaTheme="minorEastAsia" w:hAnsi="Cambria Math"/>
                </w:rPr>
                <m:t>MAE=</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nary>
                <m:naryPr>
                  <m:chr m:val="∑"/>
                  <m:limLoc m:val="undOvr"/>
                  <m:ctrlPr>
                    <w:rPr>
                      <w:rFonts w:ascii="Cambria Math" w:eastAsiaTheme="minorEastAsia" w:hAnsi="Cambria Math"/>
                      <w:i/>
                    </w:rPr>
                  </m:ctrlPr>
                </m:naryPr>
                <m:sub>
                  <m:r>
                    <w:rPr>
                      <w:rFonts w:ascii="Cambria Math" w:eastAsiaTheme="minorEastAsia" w:hAnsi="Cambria Math"/>
                    </w:rPr>
                    <m:t>i=1</m:t>
                  </m:r>
                </m:sub>
                <m:sup>
                  <m:r>
                    <w:rPr>
                      <w:rFonts w:ascii="Cambria Math" w:eastAsiaTheme="minorEastAsia" w:hAnsi="Cambria Math"/>
                    </w:rPr>
                    <m:t>n</m:t>
                  </m:r>
                </m:sup>
                <m:e>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hint="eastAsia"/>
                            </w:rPr>
                            <m:t>y</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acc>
                            <m:accPr>
                              <m:ctrlPr>
                                <w:rPr>
                                  <w:rFonts w:ascii="Cambria Math" w:eastAsiaTheme="minorEastAsia" w:hAnsi="Cambria Math"/>
                                  <w:i/>
                                </w:rPr>
                              </m:ctrlPr>
                            </m:accPr>
                            <m:e>
                              <m:r>
                                <w:rPr>
                                  <w:rFonts w:ascii="Cambria Math" w:eastAsiaTheme="minorEastAsia" w:hAnsi="Cambria Math"/>
                                </w:rPr>
                                <m:t>y</m:t>
                              </m:r>
                            </m:e>
                          </m:acc>
                        </m:e>
                        <m:sub>
                          <m:r>
                            <w:rPr>
                              <w:rFonts w:ascii="Cambria Math" w:eastAsiaTheme="minorEastAsia" w:hAnsi="Cambria Math"/>
                            </w:rPr>
                            <m:t>i</m:t>
                          </m:r>
                        </m:sub>
                      </m:sSub>
                    </m:e>
                  </m:d>
                </m:e>
              </m:nary>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e>
              </m:d>
            </m:e>
          </m:eqArr>
        </m:oMath>
      </m:oMathPara>
    </w:p>
    <w:p w14:paraId="49A63FEF" w14:textId="77777777" w:rsidR="00AF1BF8" w:rsidRDefault="00000000">
      <w:pPr>
        <w:ind w:firstLineChars="200" w:firstLine="420"/>
        <w:rPr>
          <w:rFonts w:eastAsiaTheme="minorEastAsia"/>
        </w:rPr>
      </w:pPr>
      <m:oMathPara>
        <m:oMath>
          <m:eqArr>
            <m:eqArrPr>
              <m:maxDist m:val="1"/>
              <m:ctrlPr>
                <w:rPr>
                  <w:rFonts w:ascii="Cambria Math" w:eastAsiaTheme="minorEastAsia" w:hAnsi="Cambria Math"/>
                  <w:i/>
                </w:rPr>
              </m:ctrlPr>
            </m:eqArrPr>
            <m:e>
              <m:r>
                <w:rPr>
                  <w:rFonts w:ascii="Cambria Math" w:eastAsiaTheme="minorEastAsia" w:hAnsi="Cambria Math"/>
                </w:rPr>
                <m:t>RMSE=</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n</m:t>
                      </m:r>
                    </m:den>
                  </m:f>
                  <m:nary>
                    <m:naryPr>
                      <m:chr m:val="∑"/>
                      <m:limLoc m:val="undOvr"/>
                      <m:ctrlPr>
                        <w:rPr>
                          <w:rFonts w:ascii="Cambria Math" w:eastAsiaTheme="minorEastAsia" w:hAnsi="Cambria Math"/>
                          <w:i/>
                        </w:rPr>
                      </m:ctrlPr>
                    </m:naryPr>
                    <m:sub>
                      <m:r>
                        <w:rPr>
                          <w:rFonts w:ascii="Cambria Math" w:eastAsiaTheme="minorEastAsia" w:hAnsi="Cambria Math"/>
                        </w:rPr>
                        <m:t>i=1</m:t>
                      </m:r>
                    </m:sub>
                    <m:sup>
                      <m:r>
                        <w:rPr>
                          <w:rFonts w:ascii="Cambria Math" w:eastAsiaTheme="minorEastAsia" w:hAnsi="Cambria Math"/>
                        </w:rPr>
                        <m:t>n</m:t>
                      </m:r>
                    </m:sup>
                    <m:e>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hint="eastAsia"/>
                                    </w:rPr>
                                    <m:t>y</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acc>
                                    <m:accPr>
                                      <m:ctrlPr>
                                        <w:rPr>
                                          <w:rFonts w:ascii="Cambria Math" w:eastAsiaTheme="minorEastAsia" w:hAnsi="Cambria Math"/>
                                          <w:i/>
                                        </w:rPr>
                                      </m:ctrlPr>
                                    </m:accPr>
                                    <m:e>
                                      <m:r>
                                        <w:rPr>
                                          <w:rFonts w:ascii="Cambria Math" w:eastAsiaTheme="minorEastAsia" w:hAnsi="Cambria Math"/>
                                        </w:rPr>
                                        <m:t>y</m:t>
                                      </m:r>
                                    </m:e>
                                  </m:acc>
                                </m:e>
                                <m:sub>
                                  <m:r>
                                    <w:rPr>
                                      <w:rFonts w:ascii="Cambria Math" w:eastAsiaTheme="minorEastAsia" w:hAnsi="Cambria Math"/>
                                    </w:rPr>
                                    <m:t>i</m:t>
                                  </m:r>
                                </m:sub>
                              </m:sSub>
                            </m:e>
                          </m:d>
                        </m:e>
                        <m:sup>
                          <m:r>
                            <w:rPr>
                              <w:rFonts w:ascii="Cambria Math" w:eastAsiaTheme="minorEastAsia" w:hAnsi="Cambria Math"/>
                            </w:rPr>
                            <m:t>2</m:t>
                          </m:r>
                        </m:sup>
                      </m:sSup>
                    </m:e>
                  </m:nary>
                </m:e>
              </m:ra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m:t>
                  </m:r>
                </m:e>
              </m:d>
            </m:e>
          </m:eqArr>
        </m:oMath>
      </m:oMathPara>
    </w:p>
    <w:p w14:paraId="09EF7FCE" w14:textId="2C4052AC" w:rsidR="00AF1BF8" w:rsidRDefault="00000000">
      <w:pPr>
        <w:ind w:firstLineChars="200" w:firstLine="420"/>
        <w:rPr>
          <w:rFonts w:eastAsiaTheme="minorEastAsia"/>
        </w:rPr>
      </w:pPr>
      <w:r>
        <w:rPr>
          <w:rFonts w:eastAsiaTheme="minorEastAsia"/>
        </w:rPr>
        <w:t xml:space="preserve">where (n) is the number of samples, </w:t>
      </w:r>
      <m:oMath>
        <m:sSub>
          <m:sSubPr>
            <m:ctrlPr>
              <w:rPr>
                <w:rFonts w:ascii="Cambria Math" w:eastAsiaTheme="minorEastAsia" w:hAnsi="Cambria Math"/>
                <w:i/>
              </w:rPr>
            </m:ctrlPr>
          </m:sSubPr>
          <m:e>
            <m:r>
              <w:rPr>
                <w:rFonts w:ascii="Cambria Math" w:eastAsiaTheme="minorEastAsia" w:hAnsi="Cambria Math" w:hint="eastAsia"/>
              </w:rPr>
              <m:t>y</m:t>
            </m:r>
          </m:e>
          <m:sub>
            <m:r>
              <w:rPr>
                <w:rFonts w:ascii="Cambria Math" w:eastAsiaTheme="minorEastAsia" w:hAnsi="Cambria Math"/>
              </w:rPr>
              <m:t>i</m:t>
            </m:r>
          </m:sub>
        </m:sSub>
      </m:oMath>
      <w:r>
        <w:rPr>
          <w:rFonts w:eastAsiaTheme="minorEastAsia"/>
        </w:rPr>
        <w:t xml:space="preserve"> is the observed influent flow, m</w:t>
      </w:r>
      <w:r w:rsidR="00E05736" w:rsidRPr="00E05736">
        <w:rPr>
          <w:rFonts w:eastAsiaTheme="minorEastAsia" w:hint="eastAsia"/>
          <w:vertAlign w:val="superscript"/>
        </w:rPr>
        <w:t>3</w:t>
      </w:r>
      <w:r>
        <w:rPr>
          <w:rFonts w:eastAsiaTheme="minorEastAsia"/>
        </w:rPr>
        <w:t xml:space="preserve">/h, and </w:t>
      </w:r>
      <m:oMath>
        <m:sSub>
          <m:sSubPr>
            <m:ctrlPr>
              <w:rPr>
                <w:rFonts w:ascii="Cambria Math" w:eastAsiaTheme="minorEastAsia" w:hAnsi="Cambria Math"/>
                <w:i/>
              </w:rPr>
            </m:ctrlPr>
          </m:sSubPr>
          <m:e>
            <m:acc>
              <m:accPr>
                <m:ctrlPr>
                  <w:rPr>
                    <w:rFonts w:ascii="Cambria Math" w:eastAsiaTheme="minorEastAsia" w:hAnsi="Cambria Math"/>
                    <w:i/>
                  </w:rPr>
                </m:ctrlPr>
              </m:accPr>
              <m:e>
                <m:r>
                  <w:rPr>
                    <w:rFonts w:ascii="Cambria Math" w:eastAsiaTheme="minorEastAsia" w:hAnsi="Cambria Math"/>
                  </w:rPr>
                  <m:t>y</m:t>
                </m:r>
              </m:e>
            </m:acc>
          </m:e>
          <m:sub>
            <m:r>
              <w:rPr>
                <w:rFonts w:ascii="Cambria Math" w:eastAsiaTheme="minorEastAsia" w:hAnsi="Cambria Math"/>
              </w:rPr>
              <m:t>i</m:t>
            </m:r>
          </m:sub>
        </m:sSub>
      </m:oMath>
      <w:r>
        <w:rPr>
          <w:rFonts w:eastAsiaTheme="minorEastAsia"/>
        </w:rPr>
        <w:t xml:space="preserve"> is the model-predicted influent flow, m</w:t>
      </w:r>
      <w:r w:rsidR="00E05736" w:rsidRPr="00E05736">
        <w:rPr>
          <w:rFonts w:eastAsiaTheme="minorEastAsia" w:hint="eastAsia"/>
          <w:vertAlign w:val="superscript"/>
        </w:rPr>
        <w:t>3</w:t>
      </w:r>
      <w:r>
        <w:rPr>
          <w:rFonts w:eastAsiaTheme="minorEastAsia"/>
        </w:rPr>
        <w:t xml:space="preserve">/h. MAE reflects the average absolute magnitude of prediction errors, whereas </w:t>
      </w:r>
      <w:proofErr w:type="spellStart"/>
      <w:r>
        <w:rPr>
          <w:rFonts w:eastAsiaTheme="minorEastAsia"/>
        </w:rPr>
        <w:t>RMSE</w:t>
      </w:r>
      <w:proofErr w:type="spellEnd"/>
      <w:r>
        <w:rPr>
          <w:rFonts w:eastAsiaTheme="minorEastAsia"/>
        </w:rPr>
        <w:t xml:space="preserve"> is more sensitive to large errors.</w:t>
      </w:r>
    </w:p>
    <w:p w14:paraId="5174C394" w14:textId="47883B13" w:rsidR="00AF1BF8" w:rsidRDefault="00000000" w:rsidP="00E05736">
      <w:pPr>
        <w:ind w:firstLineChars="200" w:firstLine="420"/>
        <w:rPr>
          <w:rFonts w:eastAsiaTheme="minorEastAsia"/>
        </w:rPr>
      </w:pPr>
      <w:r>
        <w:rPr>
          <w:rFonts w:eastAsiaTheme="minorEastAsia"/>
        </w:rPr>
        <w:t>Because the objective of this study was not merely short-term flow forecasting but the construction of a baseline domestic wastewater flow, model selection was based not only on prediction error but also on the ability of each model to characterize daily and weekly periodicity, prediction stability, dependence on lagged flow variables, and interpretability.</w:t>
      </w:r>
    </w:p>
    <w:bookmarkEnd w:id="3"/>
    <w:p w14:paraId="077FDA6A" w14:textId="77777777" w:rsidR="00AF1BF8" w:rsidRDefault="00AF1BF8">
      <w:pPr>
        <w:rPr>
          <w:rFonts w:eastAsiaTheme="minorEastAsia"/>
        </w:rPr>
      </w:pPr>
    </w:p>
    <w:p w14:paraId="4EEAB939" w14:textId="77777777" w:rsidR="00AF1BF8" w:rsidRDefault="00000000">
      <w:pPr>
        <w:ind w:firstLineChars="300" w:firstLine="630"/>
        <w:jc w:val="center"/>
        <w:rPr>
          <w:rFonts w:eastAsiaTheme="minorEastAsia"/>
        </w:rPr>
      </w:pPr>
      <w:r>
        <w:rPr>
          <w:rFonts w:eastAsiaTheme="minorEastAsia"/>
          <w:color w:val="4472C4" w:themeColor="accent1"/>
        </w:rPr>
        <w:lastRenderedPageBreak/>
        <w:t xml:space="preserve">Table </w:t>
      </w:r>
      <w:proofErr w:type="spellStart"/>
      <w:r>
        <w:rPr>
          <w:rFonts w:eastAsiaTheme="minorEastAsia"/>
          <w:color w:val="4472C4" w:themeColor="accent1"/>
        </w:rPr>
        <w:t>A</w:t>
      </w:r>
      <w:r>
        <w:rPr>
          <w:rFonts w:eastAsiaTheme="minorEastAsia" w:hint="eastAsia"/>
          <w:color w:val="4472C4" w:themeColor="accent1"/>
        </w:rPr>
        <w:t>2</w:t>
      </w:r>
      <w:proofErr w:type="spellEnd"/>
      <w:r>
        <w:rPr>
          <w:rFonts w:eastAsiaTheme="minorEastAsia" w:hint="eastAsia"/>
          <w:color w:val="4472C4" w:themeColor="accent1"/>
        </w:rPr>
        <w:t xml:space="preserve"> </w:t>
      </w:r>
      <w:r>
        <w:rPr>
          <w:rFonts w:eastAsiaTheme="minorEastAsia"/>
        </w:rPr>
        <w:t>Input variables of the baseline flow prediction models</w:t>
      </w:r>
    </w:p>
    <w:tbl>
      <w:tblPr>
        <w:tblStyle w:val="af"/>
        <w:tblW w:w="8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
        <w:gridCol w:w="1657"/>
        <w:gridCol w:w="3063"/>
        <w:gridCol w:w="2666"/>
      </w:tblGrid>
      <w:tr w:rsidR="00AF1BF8" w14:paraId="0A2AACBC" w14:textId="77777777">
        <w:tc>
          <w:tcPr>
            <w:tcW w:w="973" w:type="dxa"/>
            <w:tcBorders>
              <w:top w:val="single" w:sz="12" w:space="0" w:color="auto"/>
              <w:bottom w:val="single" w:sz="4" w:space="0" w:color="auto"/>
            </w:tcBorders>
            <w:vAlign w:val="center"/>
          </w:tcPr>
          <w:p w14:paraId="1DD099B3" w14:textId="77777777" w:rsidR="00AF1BF8" w:rsidRDefault="00000000">
            <w:pPr>
              <w:spacing w:line="240" w:lineRule="auto"/>
              <w:jc w:val="center"/>
              <w:rPr>
                <w:rFonts w:eastAsiaTheme="minorEastAsia"/>
                <w:kern w:val="0"/>
                <w:sz w:val="20"/>
                <w:szCs w:val="20"/>
              </w:rPr>
            </w:pPr>
            <w:r>
              <w:rPr>
                <w:rFonts w:eastAsiaTheme="minorEastAsia"/>
                <w:b/>
                <w:bCs/>
                <w:kern w:val="0"/>
                <w:sz w:val="20"/>
                <w:szCs w:val="20"/>
              </w:rPr>
              <w:t>Model</w:t>
            </w:r>
          </w:p>
        </w:tc>
        <w:tc>
          <w:tcPr>
            <w:tcW w:w="1657" w:type="dxa"/>
            <w:tcBorders>
              <w:top w:val="single" w:sz="12" w:space="0" w:color="auto"/>
              <w:bottom w:val="single" w:sz="4" w:space="0" w:color="auto"/>
            </w:tcBorders>
            <w:vAlign w:val="center"/>
          </w:tcPr>
          <w:p w14:paraId="66A52145" w14:textId="77777777" w:rsidR="00AF1BF8" w:rsidRDefault="00000000">
            <w:pPr>
              <w:spacing w:line="240" w:lineRule="auto"/>
              <w:jc w:val="center"/>
              <w:rPr>
                <w:rFonts w:eastAsiaTheme="minorEastAsia"/>
                <w:kern w:val="0"/>
                <w:sz w:val="20"/>
                <w:szCs w:val="20"/>
              </w:rPr>
            </w:pPr>
            <w:r>
              <w:rPr>
                <w:rFonts w:eastAsiaTheme="minorEastAsia"/>
                <w:b/>
                <w:bCs/>
                <w:kern w:val="0"/>
                <w:sz w:val="20"/>
                <w:szCs w:val="20"/>
              </w:rPr>
              <w:t>Input variable category</w:t>
            </w:r>
          </w:p>
        </w:tc>
        <w:tc>
          <w:tcPr>
            <w:tcW w:w="3063" w:type="dxa"/>
            <w:tcBorders>
              <w:top w:val="single" w:sz="12" w:space="0" w:color="auto"/>
              <w:bottom w:val="single" w:sz="4" w:space="0" w:color="auto"/>
            </w:tcBorders>
            <w:vAlign w:val="center"/>
          </w:tcPr>
          <w:p w14:paraId="67FA4B93" w14:textId="77777777" w:rsidR="00AF1BF8" w:rsidRDefault="00000000">
            <w:pPr>
              <w:spacing w:line="240" w:lineRule="auto"/>
              <w:jc w:val="center"/>
              <w:rPr>
                <w:rFonts w:eastAsiaTheme="minorEastAsia"/>
                <w:kern w:val="0"/>
                <w:sz w:val="20"/>
                <w:szCs w:val="20"/>
              </w:rPr>
            </w:pPr>
            <w:r>
              <w:rPr>
                <w:rFonts w:eastAsiaTheme="minorEastAsia"/>
                <w:b/>
                <w:bCs/>
                <w:kern w:val="0"/>
                <w:sz w:val="20"/>
                <w:szCs w:val="20"/>
              </w:rPr>
              <w:t>Specific variables</w:t>
            </w:r>
          </w:p>
        </w:tc>
        <w:tc>
          <w:tcPr>
            <w:tcW w:w="2666" w:type="dxa"/>
            <w:tcBorders>
              <w:top w:val="single" w:sz="12" w:space="0" w:color="auto"/>
              <w:bottom w:val="single" w:sz="4" w:space="0" w:color="auto"/>
            </w:tcBorders>
            <w:vAlign w:val="center"/>
          </w:tcPr>
          <w:p w14:paraId="08323BBE" w14:textId="77777777" w:rsidR="00AF1BF8" w:rsidRDefault="00000000">
            <w:pPr>
              <w:spacing w:line="240" w:lineRule="auto"/>
              <w:jc w:val="center"/>
              <w:rPr>
                <w:rFonts w:eastAsiaTheme="minorEastAsia"/>
                <w:kern w:val="0"/>
                <w:sz w:val="20"/>
                <w:szCs w:val="20"/>
              </w:rPr>
            </w:pPr>
            <w:r>
              <w:rPr>
                <w:rFonts w:eastAsiaTheme="minorEastAsia"/>
                <w:b/>
                <w:bCs/>
                <w:kern w:val="0"/>
                <w:sz w:val="20"/>
                <w:szCs w:val="20"/>
              </w:rPr>
              <w:t>Purpose</w:t>
            </w:r>
          </w:p>
        </w:tc>
      </w:tr>
      <w:tr w:rsidR="00AF1BF8" w14:paraId="4DE0070F" w14:textId="77777777">
        <w:tc>
          <w:tcPr>
            <w:tcW w:w="973" w:type="dxa"/>
            <w:vMerge w:val="restart"/>
            <w:tcBorders>
              <w:top w:val="single" w:sz="4" w:space="0" w:color="auto"/>
            </w:tcBorders>
            <w:vAlign w:val="center"/>
          </w:tcPr>
          <w:p w14:paraId="2231716E"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RF</w:t>
            </w:r>
          </w:p>
        </w:tc>
        <w:tc>
          <w:tcPr>
            <w:tcW w:w="1657" w:type="dxa"/>
            <w:tcBorders>
              <w:top w:val="single" w:sz="4" w:space="0" w:color="auto"/>
            </w:tcBorders>
            <w:vAlign w:val="center"/>
          </w:tcPr>
          <w:p w14:paraId="5DD9473A"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Basic temporal features</w:t>
            </w:r>
          </w:p>
        </w:tc>
        <w:tc>
          <w:tcPr>
            <w:tcW w:w="3063" w:type="dxa"/>
            <w:tcBorders>
              <w:top w:val="single" w:sz="4" w:space="0" w:color="auto"/>
            </w:tcBorders>
            <w:vAlign w:val="center"/>
          </w:tcPr>
          <w:p w14:paraId="738E53BC"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Hour, day, month, year, day of week, day of year, week of year</w:t>
            </w:r>
          </w:p>
        </w:tc>
        <w:tc>
          <w:tcPr>
            <w:tcW w:w="2666" w:type="dxa"/>
            <w:tcBorders>
              <w:top w:val="single" w:sz="4" w:space="0" w:color="auto"/>
            </w:tcBorders>
            <w:vAlign w:val="center"/>
          </w:tcPr>
          <w:p w14:paraId="362F4111"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Characterize flow variations at different temporal scales</w:t>
            </w:r>
          </w:p>
        </w:tc>
      </w:tr>
      <w:tr w:rsidR="00AF1BF8" w14:paraId="4E458C65" w14:textId="77777777">
        <w:tc>
          <w:tcPr>
            <w:tcW w:w="973" w:type="dxa"/>
            <w:vMerge/>
            <w:vAlign w:val="center"/>
          </w:tcPr>
          <w:p w14:paraId="267BBB25" w14:textId="77777777" w:rsidR="00AF1BF8" w:rsidRDefault="00AF1BF8">
            <w:pPr>
              <w:spacing w:line="240" w:lineRule="auto"/>
              <w:jc w:val="center"/>
              <w:rPr>
                <w:rFonts w:eastAsiaTheme="minorEastAsia"/>
                <w:kern w:val="0"/>
                <w:sz w:val="20"/>
                <w:szCs w:val="20"/>
              </w:rPr>
            </w:pPr>
          </w:p>
        </w:tc>
        <w:tc>
          <w:tcPr>
            <w:tcW w:w="1657" w:type="dxa"/>
            <w:vAlign w:val="center"/>
          </w:tcPr>
          <w:p w14:paraId="73C7351C"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Categorical temporal features</w:t>
            </w:r>
          </w:p>
        </w:tc>
        <w:tc>
          <w:tcPr>
            <w:tcW w:w="3063" w:type="dxa"/>
            <w:vAlign w:val="center"/>
          </w:tcPr>
          <w:p w14:paraId="3C4D55A1"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Weekday indicator, weekend indicator, season, intraday time period</w:t>
            </w:r>
          </w:p>
        </w:tc>
        <w:tc>
          <w:tcPr>
            <w:tcW w:w="2666" w:type="dxa"/>
            <w:vAlign w:val="center"/>
          </w:tcPr>
          <w:p w14:paraId="7DDACF09"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Distinguish differences between weekdays and weekends, seasons, and intraday periods</w:t>
            </w:r>
          </w:p>
        </w:tc>
      </w:tr>
      <w:tr w:rsidR="00AF1BF8" w14:paraId="5F0148DB" w14:textId="77777777">
        <w:tc>
          <w:tcPr>
            <w:tcW w:w="973" w:type="dxa"/>
            <w:vMerge/>
            <w:vAlign w:val="center"/>
          </w:tcPr>
          <w:p w14:paraId="5D27EFE8" w14:textId="77777777" w:rsidR="00AF1BF8" w:rsidRDefault="00AF1BF8">
            <w:pPr>
              <w:spacing w:line="240" w:lineRule="auto"/>
              <w:jc w:val="center"/>
              <w:rPr>
                <w:rFonts w:eastAsiaTheme="minorEastAsia"/>
                <w:kern w:val="0"/>
                <w:sz w:val="20"/>
                <w:szCs w:val="20"/>
              </w:rPr>
            </w:pPr>
          </w:p>
        </w:tc>
        <w:tc>
          <w:tcPr>
            <w:tcW w:w="1657" w:type="dxa"/>
            <w:vAlign w:val="center"/>
          </w:tcPr>
          <w:p w14:paraId="602B82BA"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Historical statistical features</w:t>
            </w:r>
          </w:p>
        </w:tc>
        <w:tc>
          <w:tcPr>
            <w:tcW w:w="3063" w:type="dxa"/>
            <w:vAlign w:val="center"/>
          </w:tcPr>
          <w:p w14:paraId="0043058C"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24 h rolling mean, 72 h rolling mean</w:t>
            </w:r>
          </w:p>
        </w:tc>
        <w:tc>
          <w:tcPr>
            <w:tcW w:w="2666" w:type="dxa"/>
            <w:vAlign w:val="center"/>
          </w:tcPr>
          <w:p w14:paraId="26387585"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Represent short- and medium-term flow variation trends</w:t>
            </w:r>
          </w:p>
        </w:tc>
      </w:tr>
      <w:tr w:rsidR="00AF1BF8" w14:paraId="7B7E8A41" w14:textId="77777777">
        <w:tc>
          <w:tcPr>
            <w:tcW w:w="973" w:type="dxa"/>
            <w:vMerge/>
            <w:vAlign w:val="center"/>
          </w:tcPr>
          <w:p w14:paraId="4F54E41B" w14:textId="77777777" w:rsidR="00AF1BF8" w:rsidRDefault="00AF1BF8">
            <w:pPr>
              <w:spacing w:line="240" w:lineRule="auto"/>
              <w:jc w:val="center"/>
              <w:rPr>
                <w:rFonts w:eastAsiaTheme="minorEastAsia"/>
                <w:kern w:val="0"/>
                <w:sz w:val="20"/>
                <w:szCs w:val="20"/>
              </w:rPr>
            </w:pPr>
          </w:p>
        </w:tc>
        <w:tc>
          <w:tcPr>
            <w:tcW w:w="1657" w:type="dxa"/>
            <w:vAlign w:val="center"/>
          </w:tcPr>
          <w:p w14:paraId="06BFC4E4"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Lagged flow features</w:t>
            </w:r>
          </w:p>
        </w:tc>
        <w:tc>
          <w:tcPr>
            <w:tcW w:w="3063" w:type="dxa"/>
            <w:vAlign w:val="center"/>
          </w:tcPr>
          <w:p w14:paraId="05F11395" w14:textId="77777777" w:rsidR="00AF1BF8" w:rsidRDefault="00000000">
            <w:pPr>
              <w:spacing w:line="240" w:lineRule="auto"/>
              <w:jc w:val="center"/>
              <w:rPr>
                <w:rFonts w:eastAsiaTheme="minorEastAsia"/>
                <w:i/>
                <w:kern w:val="0"/>
                <w:sz w:val="20"/>
                <w:szCs w:val="20"/>
              </w:rPr>
            </w:pPr>
            <m:oMathPara>
              <m:oMath>
                <m:sSub>
                  <m:sSubPr>
                    <m:ctrlPr>
                      <w:rPr>
                        <w:rFonts w:ascii="Cambria Math" w:eastAsiaTheme="minorEastAsia" w:hAnsi="Cambria Math"/>
                        <w:i/>
                        <w:kern w:val="0"/>
                        <w:sz w:val="20"/>
                        <w:szCs w:val="20"/>
                      </w:rPr>
                    </m:ctrlPr>
                  </m:sSubPr>
                  <m:e>
                    <m:r>
                      <w:rPr>
                        <w:rFonts w:ascii="Cambria Math" w:eastAsiaTheme="minorEastAsia" w:hAnsi="Cambria Math"/>
                        <w:kern w:val="0"/>
                        <w:sz w:val="20"/>
                        <w:szCs w:val="20"/>
                      </w:rPr>
                      <m:t>Q</m:t>
                    </m:r>
                  </m:e>
                  <m:sub>
                    <m:r>
                      <w:rPr>
                        <w:rFonts w:ascii="Cambria Math" w:eastAsiaTheme="minorEastAsia" w:hAnsi="Cambria Math"/>
                        <w:kern w:val="0"/>
                        <w:sz w:val="20"/>
                        <w:szCs w:val="20"/>
                      </w:rPr>
                      <m:t>t-1</m:t>
                    </m:r>
                  </m:sub>
                </m:sSub>
                <m:r>
                  <w:rPr>
                    <w:rFonts w:ascii="Cambria Math" w:eastAsiaTheme="minorEastAsia" w:hAnsi="Cambria Math"/>
                    <w:kern w:val="0"/>
                    <w:sz w:val="20"/>
                    <w:szCs w:val="20"/>
                  </w:rPr>
                  <m:t>,</m:t>
                </m:r>
                <m:sSub>
                  <m:sSubPr>
                    <m:ctrlPr>
                      <w:rPr>
                        <w:rFonts w:ascii="Cambria Math" w:eastAsiaTheme="minorEastAsia" w:hAnsi="Cambria Math"/>
                        <w:i/>
                        <w:kern w:val="0"/>
                        <w:sz w:val="20"/>
                        <w:szCs w:val="20"/>
                      </w:rPr>
                    </m:ctrlPr>
                  </m:sSubPr>
                  <m:e>
                    <m:r>
                      <w:rPr>
                        <w:rFonts w:ascii="Cambria Math" w:eastAsiaTheme="minorEastAsia" w:hAnsi="Cambria Math"/>
                        <w:kern w:val="0"/>
                        <w:sz w:val="20"/>
                        <w:szCs w:val="20"/>
                      </w:rPr>
                      <m:t>Q</m:t>
                    </m:r>
                  </m:e>
                  <m:sub>
                    <m:r>
                      <w:rPr>
                        <w:rFonts w:ascii="Cambria Math" w:eastAsiaTheme="minorEastAsia" w:hAnsi="Cambria Math"/>
                        <w:kern w:val="0"/>
                        <w:sz w:val="20"/>
                        <w:szCs w:val="20"/>
                      </w:rPr>
                      <m:t>t-2</m:t>
                    </m:r>
                  </m:sub>
                </m:sSub>
                <m:r>
                  <w:rPr>
                    <w:rFonts w:ascii="Cambria Math" w:eastAsiaTheme="minorEastAsia" w:hAnsi="Cambria Math"/>
                    <w:kern w:val="0"/>
                    <w:sz w:val="20"/>
                    <w:szCs w:val="20"/>
                  </w:rPr>
                  <m:t>,</m:t>
                </m:r>
                <m:sSub>
                  <m:sSubPr>
                    <m:ctrlPr>
                      <w:rPr>
                        <w:rFonts w:ascii="Cambria Math" w:eastAsiaTheme="minorEastAsia" w:hAnsi="Cambria Math"/>
                        <w:i/>
                        <w:kern w:val="0"/>
                        <w:sz w:val="20"/>
                        <w:szCs w:val="20"/>
                      </w:rPr>
                    </m:ctrlPr>
                  </m:sSubPr>
                  <m:e>
                    <m:r>
                      <w:rPr>
                        <w:rFonts w:ascii="Cambria Math" w:eastAsiaTheme="minorEastAsia" w:hAnsi="Cambria Math"/>
                        <w:kern w:val="0"/>
                        <w:sz w:val="20"/>
                        <w:szCs w:val="20"/>
                      </w:rPr>
                      <m:t>Q</m:t>
                    </m:r>
                  </m:e>
                  <m:sub>
                    <m:r>
                      <w:rPr>
                        <w:rFonts w:ascii="Cambria Math" w:eastAsiaTheme="minorEastAsia" w:hAnsi="Cambria Math"/>
                        <w:kern w:val="0"/>
                        <w:sz w:val="20"/>
                        <w:szCs w:val="20"/>
                      </w:rPr>
                      <m:t>t-3</m:t>
                    </m:r>
                  </m:sub>
                </m:sSub>
                <m:r>
                  <w:rPr>
                    <w:rFonts w:ascii="Cambria Math" w:eastAsiaTheme="minorEastAsia" w:hAnsi="Cambria Math"/>
                    <w:kern w:val="0"/>
                    <w:sz w:val="20"/>
                    <w:szCs w:val="20"/>
                  </w:rPr>
                  <m:t>,</m:t>
                </m:r>
                <m:sSub>
                  <m:sSubPr>
                    <m:ctrlPr>
                      <w:rPr>
                        <w:rFonts w:ascii="Cambria Math" w:eastAsiaTheme="minorEastAsia" w:hAnsi="Cambria Math"/>
                        <w:i/>
                        <w:kern w:val="0"/>
                        <w:sz w:val="20"/>
                        <w:szCs w:val="20"/>
                      </w:rPr>
                    </m:ctrlPr>
                  </m:sSubPr>
                  <m:e>
                    <m:r>
                      <w:rPr>
                        <w:rFonts w:ascii="Cambria Math" w:eastAsiaTheme="minorEastAsia" w:hAnsi="Cambria Math"/>
                        <w:kern w:val="0"/>
                        <w:sz w:val="20"/>
                        <w:szCs w:val="20"/>
                      </w:rPr>
                      <m:t>Q</m:t>
                    </m:r>
                  </m:e>
                  <m:sub>
                    <m:r>
                      <w:rPr>
                        <w:rFonts w:ascii="Cambria Math" w:eastAsiaTheme="minorEastAsia" w:hAnsi="Cambria Math"/>
                        <w:kern w:val="0"/>
                        <w:sz w:val="20"/>
                        <w:szCs w:val="20"/>
                      </w:rPr>
                      <m:t>t-6</m:t>
                    </m:r>
                  </m:sub>
                </m:sSub>
                <m:r>
                  <w:rPr>
                    <w:rFonts w:ascii="Cambria Math" w:eastAsiaTheme="minorEastAsia" w:hAnsi="Cambria Math"/>
                    <w:kern w:val="0"/>
                    <w:sz w:val="20"/>
                    <w:szCs w:val="20"/>
                  </w:rPr>
                  <m:t>,</m:t>
                </m:r>
                <m:sSub>
                  <m:sSubPr>
                    <m:ctrlPr>
                      <w:rPr>
                        <w:rFonts w:ascii="Cambria Math" w:eastAsiaTheme="minorEastAsia" w:hAnsi="Cambria Math"/>
                        <w:i/>
                        <w:kern w:val="0"/>
                        <w:sz w:val="20"/>
                        <w:szCs w:val="20"/>
                      </w:rPr>
                    </m:ctrlPr>
                  </m:sSubPr>
                  <m:e>
                    <m:r>
                      <w:rPr>
                        <w:rFonts w:ascii="Cambria Math" w:eastAsiaTheme="minorEastAsia" w:hAnsi="Cambria Math"/>
                        <w:kern w:val="0"/>
                        <w:sz w:val="20"/>
                        <w:szCs w:val="20"/>
                      </w:rPr>
                      <m:t>Q</m:t>
                    </m:r>
                  </m:e>
                  <m:sub>
                    <m:r>
                      <w:rPr>
                        <w:rFonts w:ascii="Cambria Math" w:eastAsiaTheme="minorEastAsia" w:hAnsi="Cambria Math"/>
                        <w:kern w:val="0"/>
                        <w:sz w:val="20"/>
                        <w:szCs w:val="20"/>
                      </w:rPr>
                      <m:t>t-12</m:t>
                    </m:r>
                  </m:sub>
                </m:sSub>
                <m:r>
                  <w:rPr>
                    <w:rFonts w:ascii="Cambria Math" w:eastAsiaTheme="minorEastAsia" w:hAnsi="Cambria Math"/>
                    <w:kern w:val="0"/>
                    <w:sz w:val="20"/>
                    <w:szCs w:val="20"/>
                  </w:rPr>
                  <m:t>,</m:t>
                </m:r>
                <m:sSub>
                  <m:sSubPr>
                    <m:ctrlPr>
                      <w:rPr>
                        <w:rFonts w:ascii="Cambria Math" w:eastAsiaTheme="minorEastAsia" w:hAnsi="Cambria Math"/>
                        <w:i/>
                        <w:kern w:val="0"/>
                        <w:sz w:val="20"/>
                        <w:szCs w:val="20"/>
                      </w:rPr>
                    </m:ctrlPr>
                  </m:sSubPr>
                  <m:e>
                    <m:r>
                      <w:rPr>
                        <w:rFonts w:ascii="Cambria Math" w:eastAsiaTheme="minorEastAsia" w:hAnsi="Cambria Math"/>
                        <w:kern w:val="0"/>
                        <w:sz w:val="20"/>
                        <w:szCs w:val="20"/>
                      </w:rPr>
                      <m:t>Q</m:t>
                    </m:r>
                  </m:e>
                  <m:sub>
                    <m:r>
                      <w:rPr>
                        <w:rFonts w:ascii="Cambria Math" w:eastAsiaTheme="minorEastAsia" w:hAnsi="Cambria Math"/>
                        <w:kern w:val="0"/>
                        <w:sz w:val="20"/>
                        <w:szCs w:val="20"/>
                      </w:rPr>
                      <m:t>t-24</m:t>
                    </m:r>
                  </m:sub>
                </m:sSub>
              </m:oMath>
            </m:oMathPara>
          </w:p>
        </w:tc>
        <w:tc>
          <w:tcPr>
            <w:tcW w:w="2666" w:type="dxa"/>
            <w:vAlign w:val="center"/>
          </w:tcPr>
          <w:p w14:paraId="0C88E9D0"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Characterize temporal dependence in influent flow</w:t>
            </w:r>
          </w:p>
        </w:tc>
      </w:tr>
      <w:tr w:rsidR="00AF1BF8" w14:paraId="5FB38BC6" w14:textId="77777777">
        <w:tc>
          <w:tcPr>
            <w:tcW w:w="973" w:type="dxa"/>
            <w:vMerge w:val="restart"/>
            <w:vAlign w:val="center"/>
          </w:tcPr>
          <w:p w14:paraId="408ADA92"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LSTM</w:t>
            </w:r>
          </w:p>
        </w:tc>
        <w:tc>
          <w:tcPr>
            <w:tcW w:w="1657" w:type="dxa"/>
            <w:vAlign w:val="center"/>
          </w:tcPr>
          <w:p w14:paraId="29EFEFBA"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Flow sequence</w:t>
            </w:r>
          </w:p>
        </w:tc>
        <w:tc>
          <w:tcPr>
            <w:tcW w:w="3063" w:type="dxa"/>
            <w:vAlign w:val="center"/>
          </w:tcPr>
          <w:p w14:paraId="74CC807E"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Normalized flow during the previous 24 h</w:t>
            </w:r>
          </w:p>
        </w:tc>
        <w:tc>
          <w:tcPr>
            <w:tcW w:w="2666" w:type="dxa"/>
            <w:vAlign w:val="center"/>
          </w:tcPr>
          <w:p w14:paraId="646A5E61"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Represent the flow variation process over the preceding 24 h</w:t>
            </w:r>
          </w:p>
        </w:tc>
      </w:tr>
      <w:tr w:rsidR="00AF1BF8" w14:paraId="3D35F527" w14:textId="77777777">
        <w:tc>
          <w:tcPr>
            <w:tcW w:w="973" w:type="dxa"/>
            <w:vMerge/>
            <w:vAlign w:val="center"/>
          </w:tcPr>
          <w:p w14:paraId="06061149" w14:textId="77777777" w:rsidR="00AF1BF8" w:rsidRDefault="00AF1BF8">
            <w:pPr>
              <w:spacing w:line="240" w:lineRule="auto"/>
              <w:jc w:val="center"/>
              <w:rPr>
                <w:rFonts w:eastAsiaTheme="minorEastAsia"/>
                <w:kern w:val="0"/>
                <w:sz w:val="20"/>
                <w:szCs w:val="20"/>
              </w:rPr>
            </w:pPr>
          </w:p>
        </w:tc>
        <w:tc>
          <w:tcPr>
            <w:tcW w:w="1657" w:type="dxa"/>
            <w:vAlign w:val="center"/>
          </w:tcPr>
          <w:p w14:paraId="31D1D5A4"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Periodic temporal features</w:t>
            </w:r>
          </w:p>
        </w:tc>
        <w:tc>
          <w:tcPr>
            <w:tcW w:w="3063" w:type="dxa"/>
            <w:vAlign w:val="center"/>
          </w:tcPr>
          <w:p w14:paraId="59FDD04A"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Hour sine, hour cosine, weekday sine, weekday cosine</w:t>
            </w:r>
          </w:p>
        </w:tc>
        <w:tc>
          <w:tcPr>
            <w:tcW w:w="2666" w:type="dxa"/>
            <w:vAlign w:val="center"/>
          </w:tcPr>
          <w:p w14:paraId="792C8D4E"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Characterize daily and weekly periodicity</w:t>
            </w:r>
          </w:p>
        </w:tc>
      </w:tr>
      <w:tr w:rsidR="00AF1BF8" w14:paraId="48BEB300" w14:textId="77777777">
        <w:tc>
          <w:tcPr>
            <w:tcW w:w="973" w:type="dxa"/>
            <w:vMerge w:val="restart"/>
            <w:vAlign w:val="center"/>
          </w:tcPr>
          <w:p w14:paraId="5A0AB0E8"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Prophet</w:t>
            </w:r>
          </w:p>
        </w:tc>
        <w:tc>
          <w:tcPr>
            <w:tcW w:w="1657" w:type="dxa"/>
            <w:vAlign w:val="center"/>
          </w:tcPr>
          <w:p w14:paraId="6731A904"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Time-series variables</w:t>
            </w:r>
          </w:p>
        </w:tc>
        <w:tc>
          <w:tcPr>
            <w:tcW w:w="3063" w:type="dxa"/>
            <w:vAlign w:val="center"/>
          </w:tcPr>
          <w:p w14:paraId="772DFE81"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Timestamp and hourly influent flow</w:t>
            </w:r>
          </w:p>
        </w:tc>
        <w:tc>
          <w:tcPr>
            <w:tcW w:w="2666" w:type="dxa"/>
            <w:vAlign w:val="center"/>
          </w:tcPr>
          <w:p w14:paraId="3A8984F6"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Construct trend, daily seasonality, and weekly seasonality components</w:t>
            </w:r>
          </w:p>
        </w:tc>
      </w:tr>
      <w:tr w:rsidR="00AF1BF8" w14:paraId="782C8F56" w14:textId="77777777">
        <w:tc>
          <w:tcPr>
            <w:tcW w:w="973" w:type="dxa"/>
            <w:vMerge/>
            <w:vAlign w:val="center"/>
          </w:tcPr>
          <w:p w14:paraId="56E5D47A" w14:textId="77777777" w:rsidR="00AF1BF8" w:rsidRDefault="00AF1BF8">
            <w:pPr>
              <w:spacing w:line="240" w:lineRule="auto"/>
              <w:jc w:val="center"/>
              <w:rPr>
                <w:rFonts w:eastAsiaTheme="minorEastAsia"/>
                <w:kern w:val="0"/>
                <w:sz w:val="20"/>
                <w:szCs w:val="20"/>
              </w:rPr>
            </w:pPr>
          </w:p>
        </w:tc>
        <w:tc>
          <w:tcPr>
            <w:tcW w:w="1657" w:type="dxa"/>
            <w:vAlign w:val="center"/>
          </w:tcPr>
          <w:p w14:paraId="4A151F1E"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Seasonal grouping variables</w:t>
            </w:r>
          </w:p>
        </w:tc>
        <w:tc>
          <w:tcPr>
            <w:tcW w:w="3063" w:type="dxa"/>
            <w:vAlign w:val="center"/>
          </w:tcPr>
          <w:p w14:paraId="275790BA"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Spring, summer, autumn, winter</w:t>
            </w:r>
          </w:p>
        </w:tc>
        <w:tc>
          <w:tcPr>
            <w:tcW w:w="2666" w:type="dxa"/>
            <w:vAlign w:val="center"/>
          </w:tcPr>
          <w:p w14:paraId="6557E657"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Account for seasonal differences in flow fluctuations</w:t>
            </w:r>
          </w:p>
        </w:tc>
      </w:tr>
      <w:tr w:rsidR="00AF1BF8" w14:paraId="29FB4B6B" w14:textId="77777777">
        <w:tc>
          <w:tcPr>
            <w:tcW w:w="973" w:type="dxa"/>
            <w:vMerge/>
            <w:tcBorders>
              <w:bottom w:val="single" w:sz="12" w:space="0" w:color="auto"/>
            </w:tcBorders>
            <w:vAlign w:val="center"/>
          </w:tcPr>
          <w:p w14:paraId="6083E07C" w14:textId="77777777" w:rsidR="00AF1BF8" w:rsidRDefault="00AF1BF8">
            <w:pPr>
              <w:spacing w:line="240" w:lineRule="auto"/>
              <w:jc w:val="center"/>
              <w:rPr>
                <w:rFonts w:eastAsiaTheme="minorEastAsia"/>
                <w:kern w:val="0"/>
                <w:sz w:val="20"/>
                <w:szCs w:val="20"/>
              </w:rPr>
            </w:pPr>
          </w:p>
        </w:tc>
        <w:tc>
          <w:tcPr>
            <w:tcW w:w="1657" w:type="dxa"/>
            <w:tcBorders>
              <w:bottom w:val="single" w:sz="12" w:space="0" w:color="auto"/>
            </w:tcBorders>
            <w:vAlign w:val="center"/>
          </w:tcPr>
          <w:p w14:paraId="3E47D3D5"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Residual identification variable</w:t>
            </w:r>
          </w:p>
        </w:tc>
        <w:tc>
          <w:tcPr>
            <w:tcW w:w="3063" w:type="dxa"/>
            <w:tcBorders>
              <w:bottom w:val="single" w:sz="12" w:space="0" w:color="auto"/>
            </w:tcBorders>
            <w:vAlign w:val="center"/>
          </w:tcPr>
          <w:p w14:paraId="64966399"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Residual between observed influent flow and predicted baseline flow</w:t>
            </w:r>
          </w:p>
        </w:tc>
        <w:tc>
          <w:tcPr>
            <w:tcW w:w="2666" w:type="dxa"/>
            <w:tcBorders>
              <w:bottom w:val="single" w:sz="12" w:space="0" w:color="auto"/>
            </w:tcBorders>
            <w:vAlign w:val="center"/>
          </w:tcPr>
          <w:p w14:paraId="7877E0E3"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Iteratively identify and remove abnormal disturbance points</w:t>
            </w:r>
          </w:p>
        </w:tc>
      </w:tr>
    </w:tbl>
    <w:p w14:paraId="28891187" w14:textId="77777777" w:rsidR="00AF1BF8" w:rsidRDefault="00AF1BF8">
      <w:pPr>
        <w:rPr>
          <w:rFonts w:eastAsiaTheme="minorEastAsia"/>
          <w:b/>
          <w:bCs/>
        </w:rPr>
      </w:pPr>
    </w:p>
    <w:p w14:paraId="2D7230BA" w14:textId="77777777" w:rsidR="00AF1BF8" w:rsidRDefault="00000000">
      <w:pPr>
        <w:ind w:firstLineChars="300" w:firstLine="630"/>
        <w:jc w:val="center"/>
        <w:rPr>
          <w:rFonts w:eastAsiaTheme="minorEastAsia"/>
          <w:color w:val="000000" w:themeColor="text1"/>
        </w:rPr>
      </w:pPr>
      <w:r>
        <w:rPr>
          <w:rFonts w:eastAsiaTheme="minorEastAsia"/>
          <w:color w:val="4472C4" w:themeColor="accent1"/>
        </w:rPr>
        <w:t xml:space="preserve">Table </w:t>
      </w:r>
      <w:proofErr w:type="spellStart"/>
      <w:r>
        <w:rPr>
          <w:rFonts w:eastAsiaTheme="minorEastAsia" w:hint="eastAsia"/>
          <w:color w:val="4472C4" w:themeColor="accent1"/>
        </w:rPr>
        <w:t>A</w:t>
      </w:r>
      <w:r>
        <w:rPr>
          <w:rFonts w:eastAsiaTheme="minorEastAsia"/>
          <w:color w:val="4472C4" w:themeColor="accent1"/>
        </w:rPr>
        <w:t>3</w:t>
      </w:r>
      <w:proofErr w:type="spellEnd"/>
      <w:r>
        <w:rPr>
          <w:rFonts w:eastAsiaTheme="minorEastAsia" w:hint="eastAsia"/>
          <w:color w:val="4472C4" w:themeColor="accent1"/>
        </w:rPr>
        <w:t>.</w:t>
      </w:r>
      <w:r>
        <w:rPr>
          <w:rFonts w:eastAsiaTheme="minorEastAsia"/>
          <w:color w:val="4472C4" w:themeColor="accent1"/>
        </w:rPr>
        <w:t xml:space="preserve"> </w:t>
      </w:r>
      <w:r>
        <w:rPr>
          <w:rFonts w:eastAsiaTheme="minorEastAsia"/>
          <w:color w:val="000000" w:themeColor="text1"/>
        </w:rPr>
        <w:t>Main parameter settings of the baseline flow prediction models</w:t>
      </w:r>
    </w:p>
    <w:tbl>
      <w:tblPr>
        <w:tblStyle w:val="af"/>
        <w:tblW w:w="8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3"/>
        <w:gridCol w:w="2798"/>
        <w:gridCol w:w="4678"/>
      </w:tblGrid>
      <w:tr w:rsidR="00AF1BF8" w14:paraId="227D5EB5" w14:textId="77777777">
        <w:tc>
          <w:tcPr>
            <w:tcW w:w="883" w:type="dxa"/>
            <w:tcBorders>
              <w:top w:val="single" w:sz="12" w:space="0" w:color="auto"/>
              <w:bottom w:val="single" w:sz="4" w:space="0" w:color="auto"/>
            </w:tcBorders>
            <w:vAlign w:val="center"/>
          </w:tcPr>
          <w:p w14:paraId="10C40A64" w14:textId="77777777" w:rsidR="00AF1BF8" w:rsidRDefault="00000000">
            <w:pPr>
              <w:spacing w:line="240" w:lineRule="auto"/>
              <w:jc w:val="center"/>
              <w:rPr>
                <w:rFonts w:eastAsiaTheme="minorEastAsia"/>
                <w:color w:val="000000" w:themeColor="text1"/>
                <w:kern w:val="0"/>
                <w:sz w:val="20"/>
                <w:szCs w:val="20"/>
              </w:rPr>
            </w:pPr>
            <w:r>
              <w:rPr>
                <w:rFonts w:eastAsiaTheme="minorEastAsia"/>
                <w:color w:val="000000" w:themeColor="text1"/>
                <w:kern w:val="0"/>
                <w:sz w:val="20"/>
                <w:szCs w:val="20"/>
              </w:rPr>
              <w:t>Model</w:t>
            </w:r>
          </w:p>
        </w:tc>
        <w:tc>
          <w:tcPr>
            <w:tcW w:w="2798" w:type="dxa"/>
            <w:tcBorders>
              <w:top w:val="single" w:sz="12" w:space="0" w:color="auto"/>
              <w:bottom w:val="single" w:sz="4" w:space="0" w:color="auto"/>
            </w:tcBorders>
            <w:vAlign w:val="center"/>
          </w:tcPr>
          <w:p w14:paraId="4BCF685B" w14:textId="77777777" w:rsidR="00AF1BF8" w:rsidRDefault="00000000">
            <w:pPr>
              <w:spacing w:line="240" w:lineRule="auto"/>
              <w:jc w:val="center"/>
              <w:rPr>
                <w:rFonts w:eastAsiaTheme="minorEastAsia"/>
                <w:color w:val="000000" w:themeColor="text1"/>
                <w:kern w:val="0"/>
                <w:sz w:val="20"/>
                <w:szCs w:val="20"/>
              </w:rPr>
            </w:pPr>
            <w:r>
              <w:rPr>
                <w:rFonts w:eastAsiaTheme="minorEastAsia"/>
                <w:color w:val="000000" w:themeColor="text1"/>
                <w:kern w:val="0"/>
                <w:sz w:val="20"/>
                <w:szCs w:val="20"/>
              </w:rPr>
              <w:t>Parameter</w:t>
            </w:r>
          </w:p>
        </w:tc>
        <w:tc>
          <w:tcPr>
            <w:tcW w:w="4678" w:type="dxa"/>
            <w:tcBorders>
              <w:top w:val="single" w:sz="12" w:space="0" w:color="auto"/>
              <w:bottom w:val="single" w:sz="4" w:space="0" w:color="auto"/>
            </w:tcBorders>
            <w:vAlign w:val="center"/>
          </w:tcPr>
          <w:p w14:paraId="6EE35694" w14:textId="77777777" w:rsidR="00AF1BF8" w:rsidRDefault="00000000">
            <w:pPr>
              <w:spacing w:line="240" w:lineRule="auto"/>
              <w:jc w:val="center"/>
              <w:rPr>
                <w:rFonts w:eastAsiaTheme="minorEastAsia"/>
                <w:color w:val="000000" w:themeColor="text1"/>
                <w:kern w:val="0"/>
                <w:sz w:val="20"/>
                <w:szCs w:val="20"/>
              </w:rPr>
            </w:pPr>
            <w:r>
              <w:rPr>
                <w:rFonts w:eastAsiaTheme="minorEastAsia"/>
                <w:color w:val="000000" w:themeColor="text1"/>
                <w:kern w:val="0"/>
                <w:sz w:val="20"/>
                <w:szCs w:val="20"/>
              </w:rPr>
              <w:t>Setting</w:t>
            </w:r>
          </w:p>
        </w:tc>
      </w:tr>
      <w:tr w:rsidR="00AF1BF8" w14:paraId="6B8DF442" w14:textId="77777777">
        <w:tc>
          <w:tcPr>
            <w:tcW w:w="883" w:type="dxa"/>
            <w:vMerge w:val="restart"/>
            <w:tcBorders>
              <w:top w:val="single" w:sz="4" w:space="0" w:color="auto"/>
            </w:tcBorders>
            <w:vAlign w:val="center"/>
          </w:tcPr>
          <w:p w14:paraId="3EA711CE"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hint="eastAsia"/>
                <w:kern w:val="0"/>
                <w:sz w:val="20"/>
                <w:szCs w:val="20"/>
              </w:rPr>
              <w:t>RF</w:t>
            </w:r>
          </w:p>
        </w:tc>
        <w:tc>
          <w:tcPr>
            <w:tcW w:w="2798" w:type="dxa"/>
            <w:tcBorders>
              <w:top w:val="single" w:sz="4" w:space="0" w:color="auto"/>
            </w:tcBorders>
            <w:vAlign w:val="center"/>
          </w:tcPr>
          <w:p w14:paraId="2A62F3B0"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Data split</w:t>
            </w:r>
          </w:p>
        </w:tc>
        <w:tc>
          <w:tcPr>
            <w:tcW w:w="4678" w:type="dxa"/>
            <w:tcBorders>
              <w:top w:val="single" w:sz="4" w:space="0" w:color="auto"/>
            </w:tcBorders>
            <w:vAlign w:val="center"/>
          </w:tcPr>
          <w:p w14:paraId="312B7756"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80% training and 20% testing in chronological order</w:t>
            </w:r>
          </w:p>
        </w:tc>
      </w:tr>
      <w:tr w:rsidR="00AF1BF8" w14:paraId="2F67CCEA" w14:textId="77777777">
        <w:tc>
          <w:tcPr>
            <w:tcW w:w="883" w:type="dxa"/>
            <w:vMerge/>
            <w:vAlign w:val="center"/>
          </w:tcPr>
          <w:p w14:paraId="3FE075E6"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2117BE04"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Normalization</w:t>
            </w:r>
          </w:p>
        </w:tc>
        <w:tc>
          <w:tcPr>
            <w:tcW w:w="4678" w:type="dxa"/>
            <w:vAlign w:val="center"/>
          </w:tcPr>
          <w:p w14:paraId="26E1618B"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Min-Max normalization</w:t>
            </w:r>
          </w:p>
        </w:tc>
      </w:tr>
      <w:tr w:rsidR="00AF1BF8" w14:paraId="46857A19" w14:textId="77777777">
        <w:tc>
          <w:tcPr>
            <w:tcW w:w="883" w:type="dxa"/>
            <w:vMerge/>
            <w:vAlign w:val="center"/>
          </w:tcPr>
          <w:p w14:paraId="3C2D086C"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26A8E1CA"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Number of trees</w:t>
            </w:r>
          </w:p>
        </w:tc>
        <w:tc>
          <w:tcPr>
            <w:tcW w:w="4678" w:type="dxa"/>
            <w:vAlign w:val="center"/>
          </w:tcPr>
          <w:p w14:paraId="37EAD1F5"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200</w:t>
            </w:r>
          </w:p>
        </w:tc>
      </w:tr>
      <w:tr w:rsidR="00AF1BF8" w14:paraId="0487E399" w14:textId="77777777">
        <w:tc>
          <w:tcPr>
            <w:tcW w:w="883" w:type="dxa"/>
            <w:vMerge/>
            <w:vAlign w:val="center"/>
          </w:tcPr>
          <w:p w14:paraId="09A9DF9C"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54F424EF"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Maximum tree depth</w:t>
            </w:r>
          </w:p>
        </w:tc>
        <w:tc>
          <w:tcPr>
            <w:tcW w:w="4678" w:type="dxa"/>
            <w:vAlign w:val="center"/>
          </w:tcPr>
          <w:p w14:paraId="3539C6AE"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15</w:t>
            </w:r>
          </w:p>
        </w:tc>
      </w:tr>
      <w:tr w:rsidR="00AF1BF8" w14:paraId="10232753" w14:textId="77777777">
        <w:tc>
          <w:tcPr>
            <w:tcW w:w="883" w:type="dxa"/>
            <w:vMerge/>
            <w:vAlign w:val="center"/>
          </w:tcPr>
          <w:p w14:paraId="6C3304A6"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7C464A9D"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Minimum samples for split</w:t>
            </w:r>
          </w:p>
        </w:tc>
        <w:tc>
          <w:tcPr>
            <w:tcW w:w="4678" w:type="dxa"/>
            <w:vAlign w:val="center"/>
          </w:tcPr>
          <w:p w14:paraId="2FA9620C"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5</w:t>
            </w:r>
          </w:p>
        </w:tc>
      </w:tr>
      <w:tr w:rsidR="00AF1BF8" w14:paraId="4B38EED4" w14:textId="77777777">
        <w:tc>
          <w:tcPr>
            <w:tcW w:w="883" w:type="dxa"/>
            <w:vMerge/>
            <w:vAlign w:val="center"/>
          </w:tcPr>
          <w:p w14:paraId="2FA86123"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69A34837"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Minimum samples per leaf</w:t>
            </w:r>
          </w:p>
        </w:tc>
        <w:tc>
          <w:tcPr>
            <w:tcW w:w="4678" w:type="dxa"/>
            <w:vAlign w:val="center"/>
          </w:tcPr>
          <w:p w14:paraId="38165147"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2</w:t>
            </w:r>
          </w:p>
        </w:tc>
      </w:tr>
      <w:tr w:rsidR="00AF1BF8" w14:paraId="38A2279F" w14:textId="77777777">
        <w:tc>
          <w:tcPr>
            <w:tcW w:w="883" w:type="dxa"/>
            <w:vMerge/>
            <w:vAlign w:val="center"/>
          </w:tcPr>
          <w:p w14:paraId="622F1348"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430389F2"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Maximum features</w:t>
            </w:r>
          </w:p>
        </w:tc>
        <w:tc>
          <w:tcPr>
            <w:tcW w:w="4678" w:type="dxa"/>
            <w:vAlign w:val="center"/>
          </w:tcPr>
          <w:p w14:paraId="79CFEC1E"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Square root</w:t>
            </w:r>
          </w:p>
        </w:tc>
      </w:tr>
      <w:tr w:rsidR="00AF1BF8" w14:paraId="4ABF9930" w14:textId="77777777">
        <w:tc>
          <w:tcPr>
            <w:tcW w:w="883" w:type="dxa"/>
            <w:vMerge/>
            <w:vAlign w:val="center"/>
          </w:tcPr>
          <w:p w14:paraId="3FD6C7D1"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2DBC7A96"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Random state</w:t>
            </w:r>
          </w:p>
        </w:tc>
        <w:tc>
          <w:tcPr>
            <w:tcW w:w="4678" w:type="dxa"/>
            <w:vAlign w:val="center"/>
          </w:tcPr>
          <w:p w14:paraId="32B7A848"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42</w:t>
            </w:r>
          </w:p>
        </w:tc>
      </w:tr>
      <w:tr w:rsidR="00AF1BF8" w14:paraId="2CB02944" w14:textId="77777777">
        <w:tc>
          <w:tcPr>
            <w:tcW w:w="883" w:type="dxa"/>
            <w:vMerge w:val="restart"/>
            <w:vAlign w:val="center"/>
          </w:tcPr>
          <w:p w14:paraId="3364A7C5"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LSTM</w:t>
            </w:r>
          </w:p>
        </w:tc>
        <w:tc>
          <w:tcPr>
            <w:tcW w:w="2798" w:type="dxa"/>
            <w:vAlign w:val="center"/>
          </w:tcPr>
          <w:p w14:paraId="37850888"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Data split</w:t>
            </w:r>
          </w:p>
        </w:tc>
        <w:tc>
          <w:tcPr>
            <w:tcW w:w="4678" w:type="dxa"/>
            <w:vAlign w:val="center"/>
          </w:tcPr>
          <w:p w14:paraId="05A52CB1"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80% training and 20% testing in chronological order</w:t>
            </w:r>
          </w:p>
        </w:tc>
      </w:tr>
      <w:tr w:rsidR="00AF1BF8" w14:paraId="734C8847" w14:textId="77777777">
        <w:tc>
          <w:tcPr>
            <w:tcW w:w="883" w:type="dxa"/>
            <w:vMerge/>
            <w:vAlign w:val="center"/>
          </w:tcPr>
          <w:p w14:paraId="7D2BDA8F"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166C9D62"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Validation split</w:t>
            </w:r>
          </w:p>
        </w:tc>
        <w:tc>
          <w:tcPr>
            <w:tcW w:w="4678" w:type="dxa"/>
            <w:vAlign w:val="center"/>
          </w:tcPr>
          <w:p w14:paraId="5FDE6EC6"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10% of the training data</w:t>
            </w:r>
          </w:p>
        </w:tc>
      </w:tr>
      <w:tr w:rsidR="00AF1BF8" w14:paraId="1BE4860C" w14:textId="77777777">
        <w:tc>
          <w:tcPr>
            <w:tcW w:w="883" w:type="dxa"/>
            <w:vMerge/>
            <w:vAlign w:val="center"/>
          </w:tcPr>
          <w:p w14:paraId="5A1510A4"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752C3F5D"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Normalization</w:t>
            </w:r>
          </w:p>
        </w:tc>
        <w:tc>
          <w:tcPr>
            <w:tcW w:w="4678" w:type="dxa"/>
            <w:vAlign w:val="center"/>
          </w:tcPr>
          <w:p w14:paraId="3D87C02E"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Min-Max normalization for flow</w:t>
            </w:r>
          </w:p>
        </w:tc>
      </w:tr>
      <w:tr w:rsidR="00AF1BF8" w14:paraId="3BBE7BB6" w14:textId="77777777">
        <w:tc>
          <w:tcPr>
            <w:tcW w:w="883" w:type="dxa"/>
            <w:vMerge/>
            <w:vAlign w:val="center"/>
          </w:tcPr>
          <w:p w14:paraId="28F72BF7"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2D5E5FA6"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Sequence length</w:t>
            </w:r>
          </w:p>
        </w:tc>
        <w:tc>
          <w:tcPr>
            <w:tcW w:w="4678" w:type="dxa"/>
            <w:vAlign w:val="center"/>
          </w:tcPr>
          <w:p w14:paraId="188830A2"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24 h</w:t>
            </w:r>
          </w:p>
        </w:tc>
      </w:tr>
      <w:tr w:rsidR="00AF1BF8" w14:paraId="59D416E2" w14:textId="77777777">
        <w:tc>
          <w:tcPr>
            <w:tcW w:w="883" w:type="dxa"/>
            <w:vMerge/>
            <w:vAlign w:val="center"/>
          </w:tcPr>
          <w:p w14:paraId="159CCC30"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3B520376"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Input dimension</w:t>
            </w:r>
          </w:p>
        </w:tc>
        <w:tc>
          <w:tcPr>
            <w:tcW w:w="4678" w:type="dxa"/>
            <w:vAlign w:val="center"/>
          </w:tcPr>
          <w:p w14:paraId="545B9E48"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5 variables</w:t>
            </w:r>
          </w:p>
        </w:tc>
      </w:tr>
      <w:tr w:rsidR="00AF1BF8" w14:paraId="61E6C459" w14:textId="77777777">
        <w:tc>
          <w:tcPr>
            <w:tcW w:w="883" w:type="dxa"/>
            <w:vMerge/>
            <w:vAlign w:val="center"/>
          </w:tcPr>
          <w:p w14:paraId="387EB711"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7041CE48"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LSTM layers</w:t>
            </w:r>
          </w:p>
        </w:tc>
        <w:tc>
          <w:tcPr>
            <w:tcW w:w="4678" w:type="dxa"/>
            <w:vAlign w:val="center"/>
          </w:tcPr>
          <w:p w14:paraId="27938875"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64 units and 32 units</w:t>
            </w:r>
          </w:p>
        </w:tc>
      </w:tr>
      <w:tr w:rsidR="00AF1BF8" w14:paraId="0DE87AE5" w14:textId="77777777">
        <w:tc>
          <w:tcPr>
            <w:tcW w:w="883" w:type="dxa"/>
            <w:vMerge/>
            <w:vAlign w:val="center"/>
          </w:tcPr>
          <w:p w14:paraId="6D076DFC" w14:textId="77777777" w:rsidR="00AF1BF8" w:rsidRDefault="00AF1BF8">
            <w:pPr>
              <w:spacing w:line="240" w:lineRule="auto"/>
              <w:jc w:val="center"/>
              <w:rPr>
                <w:rFonts w:eastAsiaTheme="minorEastAsia"/>
                <w:b/>
                <w:bCs/>
                <w:color w:val="000000" w:themeColor="text1"/>
                <w:kern w:val="0"/>
                <w:sz w:val="20"/>
                <w:szCs w:val="20"/>
              </w:rPr>
            </w:pPr>
          </w:p>
        </w:tc>
        <w:tc>
          <w:tcPr>
            <w:tcW w:w="2798" w:type="dxa"/>
            <w:vAlign w:val="center"/>
          </w:tcPr>
          <w:p w14:paraId="51134CB7"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Activation function</w:t>
            </w:r>
          </w:p>
        </w:tc>
        <w:tc>
          <w:tcPr>
            <w:tcW w:w="4678" w:type="dxa"/>
            <w:vAlign w:val="center"/>
          </w:tcPr>
          <w:p w14:paraId="6C72DF2C" w14:textId="77777777" w:rsidR="00AF1BF8" w:rsidRDefault="00000000">
            <w:pPr>
              <w:spacing w:line="240" w:lineRule="auto"/>
              <w:jc w:val="center"/>
              <w:rPr>
                <w:rFonts w:eastAsiaTheme="minorEastAsia"/>
                <w:b/>
                <w:bCs/>
                <w:color w:val="000000" w:themeColor="text1"/>
                <w:kern w:val="0"/>
                <w:sz w:val="20"/>
                <w:szCs w:val="20"/>
              </w:rPr>
            </w:pPr>
            <w:r>
              <w:rPr>
                <w:rFonts w:eastAsiaTheme="minorEastAsia"/>
                <w:kern w:val="0"/>
                <w:sz w:val="20"/>
                <w:szCs w:val="20"/>
              </w:rPr>
              <w:t>tanh</w:t>
            </w:r>
          </w:p>
        </w:tc>
      </w:tr>
      <w:tr w:rsidR="00AF1BF8" w14:paraId="66E0B8D9" w14:textId="77777777">
        <w:tc>
          <w:tcPr>
            <w:tcW w:w="883" w:type="dxa"/>
            <w:vMerge/>
            <w:vAlign w:val="center"/>
          </w:tcPr>
          <w:p w14:paraId="2ABF69DA" w14:textId="77777777" w:rsidR="00AF1BF8" w:rsidRDefault="00AF1BF8">
            <w:pPr>
              <w:spacing w:line="240" w:lineRule="auto"/>
              <w:jc w:val="center"/>
              <w:rPr>
                <w:rFonts w:eastAsiaTheme="minorEastAsia"/>
                <w:kern w:val="0"/>
                <w:sz w:val="20"/>
                <w:szCs w:val="20"/>
              </w:rPr>
            </w:pPr>
          </w:p>
        </w:tc>
        <w:tc>
          <w:tcPr>
            <w:tcW w:w="2798" w:type="dxa"/>
            <w:vAlign w:val="center"/>
          </w:tcPr>
          <w:p w14:paraId="0C4C8EB0"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Dropout rate</w:t>
            </w:r>
          </w:p>
        </w:tc>
        <w:tc>
          <w:tcPr>
            <w:tcW w:w="4678" w:type="dxa"/>
            <w:vAlign w:val="center"/>
          </w:tcPr>
          <w:p w14:paraId="700ABC25"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0.2</w:t>
            </w:r>
          </w:p>
        </w:tc>
      </w:tr>
      <w:tr w:rsidR="00AF1BF8" w14:paraId="2F8DFAC0" w14:textId="77777777">
        <w:tc>
          <w:tcPr>
            <w:tcW w:w="883" w:type="dxa"/>
            <w:vMerge/>
            <w:vAlign w:val="center"/>
          </w:tcPr>
          <w:p w14:paraId="56203BC4" w14:textId="77777777" w:rsidR="00AF1BF8" w:rsidRDefault="00AF1BF8">
            <w:pPr>
              <w:spacing w:line="240" w:lineRule="auto"/>
              <w:jc w:val="center"/>
              <w:rPr>
                <w:rFonts w:eastAsiaTheme="minorEastAsia"/>
                <w:kern w:val="0"/>
                <w:sz w:val="20"/>
                <w:szCs w:val="20"/>
              </w:rPr>
            </w:pPr>
          </w:p>
        </w:tc>
        <w:tc>
          <w:tcPr>
            <w:tcW w:w="2798" w:type="dxa"/>
            <w:vAlign w:val="center"/>
          </w:tcPr>
          <w:p w14:paraId="2DA1AD5D"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Optimizer</w:t>
            </w:r>
          </w:p>
        </w:tc>
        <w:tc>
          <w:tcPr>
            <w:tcW w:w="4678" w:type="dxa"/>
            <w:vAlign w:val="center"/>
          </w:tcPr>
          <w:p w14:paraId="2E84967D"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Adam</w:t>
            </w:r>
          </w:p>
        </w:tc>
      </w:tr>
      <w:tr w:rsidR="00AF1BF8" w14:paraId="2DA36C07" w14:textId="77777777">
        <w:tc>
          <w:tcPr>
            <w:tcW w:w="883" w:type="dxa"/>
            <w:vMerge/>
            <w:vAlign w:val="center"/>
          </w:tcPr>
          <w:p w14:paraId="74D95A35" w14:textId="77777777" w:rsidR="00AF1BF8" w:rsidRDefault="00AF1BF8">
            <w:pPr>
              <w:spacing w:line="240" w:lineRule="auto"/>
              <w:jc w:val="center"/>
              <w:rPr>
                <w:rFonts w:eastAsiaTheme="minorEastAsia"/>
                <w:kern w:val="0"/>
                <w:sz w:val="20"/>
                <w:szCs w:val="20"/>
              </w:rPr>
            </w:pPr>
          </w:p>
        </w:tc>
        <w:tc>
          <w:tcPr>
            <w:tcW w:w="2798" w:type="dxa"/>
            <w:vAlign w:val="center"/>
          </w:tcPr>
          <w:p w14:paraId="5166A7E0"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Loss function</w:t>
            </w:r>
          </w:p>
        </w:tc>
        <w:tc>
          <w:tcPr>
            <w:tcW w:w="4678" w:type="dxa"/>
            <w:vAlign w:val="center"/>
          </w:tcPr>
          <w:p w14:paraId="6A4329B1"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MAE</w:t>
            </w:r>
          </w:p>
        </w:tc>
      </w:tr>
      <w:tr w:rsidR="00AF1BF8" w14:paraId="1A05DD9A" w14:textId="77777777">
        <w:tc>
          <w:tcPr>
            <w:tcW w:w="883" w:type="dxa"/>
            <w:vMerge/>
            <w:vAlign w:val="center"/>
          </w:tcPr>
          <w:p w14:paraId="717424A1" w14:textId="77777777" w:rsidR="00AF1BF8" w:rsidRDefault="00AF1BF8">
            <w:pPr>
              <w:spacing w:line="240" w:lineRule="auto"/>
              <w:jc w:val="center"/>
              <w:rPr>
                <w:rFonts w:eastAsiaTheme="minorEastAsia"/>
                <w:kern w:val="0"/>
                <w:sz w:val="20"/>
                <w:szCs w:val="20"/>
              </w:rPr>
            </w:pPr>
          </w:p>
        </w:tc>
        <w:tc>
          <w:tcPr>
            <w:tcW w:w="2798" w:type="dxa"/>
            <w:vAlign w:val="center"/>
          </w:tcPr>
          <w:p w14:paraId="0FAE1766"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Epochs</w:t>
            </w:r>
          </w:p>
        </w:tc>
        <w:tc>
          <w:tcPr>
            <w:tcW w:w="4678" w:type="dxa"/>
            <w:vAlign w:val="center"/>
          </w:tcPr>
          <w:p w14:paraId="24C44E8B"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100</w:t>
            </w:r>
          </w:p>
        </w:tc>
      </w:tr>
      <w:tr w:rsidR="00AF1BF8" w14:paraId="2DE98137" w14:textId="77777777">
        <w:tc>
          <w:tcPr>
            <w:tcW w:w="883" w:type="dxa"/>
            <w:vMerge/>
            <w:vAlign w:val="center"/>
          </w:tcPr>
          <w:p w14:paraId="6E130BC6" w14:textId="77777777" w:rsidR="00AF1BF8" w:rsidRDefault="00AF1BF8">
            <w:pPr>
              <w:spacing w:line="240" w:lineRule="auto"/>
              <w:jc w:val="center"/>
              <w:rPr>
                <w:rFonts w:eastAsiaTheme="minorEastAsia"/>
                <w:kern w:val="0"/>
                <w:sz w:val="20"/>
                <w:szCs w:val="20"/>
              </w:rPr>
            </w:pPr>
          </w:p>
        </w:tc>
        <w:tc>
          <w:tcPr>
            <w:tcW w:w="2798" w:type="dxa"/>
            <w:vAlign w:val="center"/>
          </w:tcPr>
          <w:p w14:paraId="6BB798EC"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Batch size</w:t>
            </w:r>
          </w:p>
        </w:tc>
        <w:tc>
          <w:tcPr>
            <w:tcW w:w="4678" w:type="dxa"/>
            <w:vAlign w:val="center"/>
          </w:tcPr>
          <w:p w14:paraId="7D728872"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32</w:t>
            </w:r>
          </w:p>
        </w:tc>
      </w:tr>
      <w:tr w:rsidR="00AF1BF8" w14:paraId="21B8E059" w14:textId="77777777">
        <w:tc>
          <w:tcPr>
            <w:tcW w:w="883" w:type="dxa"/>
            <w:vMerge/>
            <w:vAlign w:val="center"/>
          </w:tcPr>
          <w:p w14:paraId="720EE1EF" w14:textId="77777777" w:rsidR="00AF1BF8" w:rsidRDefault="00AF1BF8">
            <w:pPr>
              <w:spacing w:line="240" w:lineRule="auto"/>
              <w:jc w:val="center"/>
              <w:rPr>
                <w:rFonts w:eastAsiaTheme="minorEastAsia"/>
                <w:kern w:val="0"/>
                <w:sz w:val="20"/>
                <w:szCs w:val="20"/>
              </w:rPr>
            </w:pPr>
          </w:p>
        </w:tc>
        <w:tc>
          <w:tcPr>
            <w:tcW w:w="2798" w:type="dxa"/>
            <w:vAlign w:val="center"/>
          </w:tcPr>
          <w:p w14:paraId="3FFE8E8D"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Early stopping</w:t>
            </w:r>
          </w:p>
        </w:tc>
        <w:tc>
          <w:tcPr>
            <w:tcW w:w="4678" w:type="dxa"/>
            <w:vAlign w:val="center"/>
          </w:tcPr>
          <w:p w14:paraId="23AF9376"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Patience = 10</w:t>
            </w:r>
          </w:p>
        </w:tc>
      </w:tr>
      <w:tr w:rsidR="00AF1BF8" w14:paraId="0B155DE7" w14:textId="77777777">
        <w:tc>
          <w:tcPr>
            <w:tcW w:w="883" w:type="dxa"/>
            <w:vMerge w:val="restart"/>
            <w:vAlign w:val="center"/>
          </w:tcPr>
          <w:p w14:paraId="4C837EF0"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Prophet</w:t>
            </w:r>
          </w:p>
        </w:tc>
        <w:tc>
          <w:tcPr>
            <w:tcW w:w="2798" w:type="dxa"/>
            <w:vAlign w:val="center"/>
          </w:tcPr>
          <w:p w14:paraId="6BA99766"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Seasonal modelling</w:t>
            </w:r>
          </w:p>
        </w:tc>
        <w:tc>
          <w:tcPr>
            <w:tcW w:w="4678" w:type="dxa"/>
            <w:vAlign w:val="center"/>
          </w:tcPr>
          <w:p w14:paraId="64221891"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Spring, summer, autumn, and winter</w:t>
            </w:r>
          </w:p>
        </w:tc>
      </w:tr>
      <w:tr w:rsidR="00AF1BF8" w14:paraId="72C41011" w14:textId="77777777">
        <w:tc>
          <w:tcPr>
            <w:tcW w:w="883" w:type="dxa"/>
            <w:vMerge/>
            <w:vAlign w:val="center"/>
          </w:tcPr>
          <w:p w14:paraId="4DC0179F" w14:textId="77777777" w:rsidR="00AF1BF8" w:rsidRDefault="00AF1BF8">
            <w:pPr>
              <w:spacing w:line="240" w:lineRule="auto"/>
              <w:jc w:val="center"/>
              <w:rPr>
                <w:rFonts w:eastAsiaTheme="minorEastAsia"/>
                <w:kern w:val="0"/>
                <w:sz w:val="20"/>
                <w:szCs w:val="20"/>
              </w:rPr>
            </w:pPr>
          </w:p>
        </w:tc>
        <w:tc>
          <w:tcPr>
            <w:tcW w:w="2798" w:type="dxa"/>
            <w:vAlign w:val="center"/>
          </w:tcPr>
          <w:p w14:paraId="5D570B26"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Seasonality mode</w:t>
            </w:r>
          </w:p>
        </w:tc>
        <w:tc>
          <w:tcPr>
            <w:tcW w:w="4678" w:type="dxa"/>
            <w:vAlign w:val="center"/>
          </w:tcPr>
          <w:p w14:paraId="6F538938"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Additive</w:t>
            </w:r>
          </w:p>
        </w:tc>
      </w:tr>
      <w:tr w:rsidR="00AF1BF8" w14:paraId="7AA63EA0" w14:textId="77777777">
        <w:tc>
          <w:tcPr>
            <w:tcW w:w="883" w:type="dxa"/>
            <w:vMerge/>
            <w:vAlign w:val="center"/>
          </w:tcPr>
          <w:p w14:paraId="66A95D93" w14:textId="77777777" w:rsidR="00AF1BF8" w:rsidRDefault="00AF1BF8">
            <w:pPr>
              <w:spacing w:line="240" w:lineRule="auto"/>
              <w:jc w:val="center"/>
              <w:rPr>
                <w:rFonts w:eastAsiaTheme="minorEastAsia"/>
                <w:kern w:val="0"/>
                <w:sz w:val="20"/>
                <w:szCs w:val="20"/>
              </w:rPr>
            </w:pPr>
          </w:p>
        </w:tc>
        <w:tc>
          <w:tcPr>
            <w:tcW w:w="2798" w:type="dxa"/>
            <w:vAlign w:val="center"/>
          </w:tcPr>
          <w:p w14:paraId="0A77C4EB"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Daily seasonality</w:t>
            </w:r>
          </w:p>
        </w:tc>
        <w:tc>
          <w:tcPr>
            <w:tcW w:w="4678" w:type="dxa"/>
            <w:vAlign w:val="center"/>
          </w:tcPr>
          <w:p w14:paraId="2FCA3028"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Included</w:t>
            </w:r>
          </w:p>
        </w:tc>
      </w:tr>
      <w:tr w:rsidR="00AF1BF8" w14:paraId="6EE63F49" w14:textId="77777777">
        <w:tc>
          <w:tcPr>
            <w:tcW w:w="883" w:type="dxa"/>
            <w:vMerge/>
            <w:vAlign w:val="center"/>
          </w:tcPr>
          <w:p w14:paraId="56BD86FF" w14:textId="77777777" w:rsidR="00AF1BF8" w:rsidRDefault="00AF1BF8">
            <w:pPr>
              <w:spacing w:line="240" w:lineRule="auto"/>
              <w:jc w:val="center"/>
              <w:rPr>
                <w:rFonts w:eastAsiaTheme="minorEastAsia"/>
                <w:kern w:val="0"/>
                <w:sz w:val="20"/>
                <w:szCs w:val="20"/>
              </w:rPr>
            </w:pPr>
          </w:p>
        </w:tc>
        <w:tc>
          <w:tcPr>
            <w:tcW w:w="2798" w:type="dxa"/>
            <w:vAlign w:val="center"/>
          </w:tcPr>
          <w:p w14:paraId="3FF0BCAE"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Weekly seasonality</w:t>
            </w:r>
          </w:p>
        </w:tc>
        <w:tc>
          <w:tcPr>
            <w:tcW w:w="4678" w:type="dxa"/>
            <w:vAlign w:val="center"/>
          </w:tcPr>
          <w:p w14:paraId="11832319"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Included</w:t>
            </w:r>
          </w:p>
        </w:tc>
      </w:tr>
      <w:tr w:rsidR="00AF1BF8" w14:paraId="2888BE74" w14:textId="77777777">
        <w:tc>
          <w:tcPr>
            <w:tcW w:w="883" w:type="dxa"/>
            <w:vMerge/>
            <w:vAlign w:val="center"/>
          </w:tcPr>
          <w:p w14:paraId="1216BF1F" w14:textId="77777777" w:rsidR="00AF1BF8" w:rsidRDefault="00AF1BF8">
            <w:pPr>
              <w:spacing w:line="240" w:lineRule="auto"/>
              <w:jc w:val="center"/>
              <w:rPr>
                <w:rFonts w:eastAsiaTheme="minorEastAsia"/>
                <w:kern w:val="0"/>
                <w:sz w:val="20"/>
                <w:szCs w:val="20"/>
              </w:rPr>
            </w:pPr>
          </w:p>
        </w:tc>
        <w:tc>
          <w:tcPr>
            <w:tcW w:w="2798" w:type="dxa"/>
            <w:vAlign w:val="center"/>
          </w:tcPr>
          <w:p w14:paraId="0DAEB572"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Changepoint prior scale</w:t>
            </w:r>
          </w:p>
        </w:tc>
        <w:tc>
          <w:tcPr>
            <w:tcW w:w="4678" w:type="dxa"/>
            <w:vAlign w:val="center"/>
          </w:tcPr>
          <w:p w14:paraId="02739E33"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1</w:t>
            </w:r>
          </w:p>
        </w:tc>
      </w:tr>
      <w:tr w:rsidR="00AF1BF8" w14:paraId="7B3FDD3C" w14:textId="77777777">
        <w:tc>
          <w:tcPr>
            <w:tcW w:w="883" w:type="dxa"/>
            <w:vMerge/>
            <w:vAlign w:val="center"/>
          </w:tcPr>
          <w:p w14:paraId="20FF3D44" w14:textId="77777777" w:rsidR="00AF1BF8" w:rsidRDefault="00AF1BF8">
            <w:pPr>
              <w:spacing w:line="240" w:lineRule="auto"/>
              <w:jc w:val="center"/>
              <w:rPr>
                <w:rFonts w:eastAsiaTheme="minorEastAsia"/>
                <w:kern w:val="0"/>
                <w:sz w:val="20"/>
                <w:szCs w:val="20"/>
              </w:rPr>
            </w:pPr>
          </w:p>
        </w:tc>
        <w:tc>
          <w:tcPr>
            <w:tcW w:w="2798" w:type="dxa"/>
            <w:vAlign w:val="center"/>
          </w:tcPr>
          <w:p w14:paraId="7ADE0B01"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Seasonality prior scale</w:t>
            </w:r>
          </w:p>
        </w:tc>
        <w:tc>
          <w:tcPr>
            <w:tcW w:w="4678" w:type="dxa"/>
            <w:vAlign w:val="center"/>
          </w:tcPr>
          <w:p w14:paraId="33591322"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10</w:t>
            </w:r>
          </w:p>
        </w:tc>
      </w:tr>
      <w:tr w:rsidR="00AF1BF8" w14:paraId="2C64C4A2" w14:textId="77777777">
        <w:tc>
          <w:tcPr>
            <w:tcW w:w="883" w:type="dxa"/>
            <w:vMerge/>
            <w:vAlign w:val="center"/>
          </w:tcPr>
          <w:p w14:paraId="5C17377D" w14:textId="77777777" w:rsidR="00AF1BF8" w:rsidRDefault="00AF1BF8">
            <w:pPr>
              <w:spacing w:line="240" w:lineRule="auto"/>
              <w:jc w:val="center"/>
              <w:rPr>
                <w:rFonts w:eastAsiaTheme="minorEastAsia"/>
                <w:kern w:val="0"/>
                <w:sz w:val="20"/>
                <w:szCs w:val="20"/>
              </w:rPr>
            </w:pPr>
          </w:p>
        </w:tc>
        <w:tc>
          <w:tcPr>
            <w:tcW w:w="2798" w:type="dxa"/>
            <w:vAlign w:val="center"/>
          </w:tcPr>
          <w:p w14:paraId="01B89772"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Maximum iterations</w:t>
            </w:r>
          </w:p>
        </w:tc>
        <w:tc>
          <w:tcPr>
            <w:tcW w:w="4678" w:type="dxa"/>
            <w:vAlign w:val="center"/>
          </w:tcPr>
          <w:p w14:paraId="2196AC82"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10</w:t>
            </w:r>
          </w:p>
        </w:tc>
      </w:tr>
      <w:tr w:rsidR="00AF1BF8" w14:paraId="59995BA5" w14:textId="77777777">
        <w:tc>
          <w:tcPr>
            <w:tcW w:w="883" w:type="dxa"/>
            <w:vMerge/>
            <w:vAlign w:val="center"/>
          </w:tcPr>
          <w:p w14:paraId="30D83752" w14:textId="77777777" w:rsidR="00AF1BF8" w:rsidRDefault="00AF1BF8">
            <w:pPr>
              <w:spacing w:line="240" w:lineRule="auto"/>
              <w:jc w:val="center"/>
              <w:rPr>
                <w:rFonts w:eastAsiaTheme="minorEastAsia"/>
                <w:kern w:val="0"/>
                <w:sz w:val="20"/>
                <w:szCs w:val="20"/>
              </w:rPr>
            </w:pPr>
          </w:p>
        </w:tc>
        <w:tc>
          <w:tcPr>
            <w:tcW w:w="2798" w:type="dxa"/>
            <w:vAlign w:val="center"/>
          </w:tcPr>
          <w:p w14:paraId="71CF0EAA"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Residual filtering</w:t>
            </w:r>
          </w:p>
        </w:tc>
        <w:tc>
          <w:tcPr>
            <w:tcW w:w="4678" w:type="dxa"/>
            <w:vAlign w:val="center"/>
          </w:tcPr>
          <w:p w14:paraId="2F7293B5" w14:textId="77777777" w:rsidR="00AF1BF8" w:rsidRDefault="00000000">
            <w:pPr>
              <w:spacing w:line="240" w:lineRule="auto"/>
              <w:jc w:val="center"/>
              <w:rPr>
                <w:rFonts w:eastAsiaTheme="minorEastAsia"/>
                <w:kern w:val="0"/>
                <w:sz w:val="20"/>
                <w:szCs w:val="20"/>
              </w:rPr>
            </w:pPr>
            <m:oMath>
              <m:r>
                <m:rPr>
                  <m:nor/>
                </m:rPr>
                <w:rPr>
                  <w:rFonts w:eastAsiaTheme="minorEastAsia"/>
                  <w:kern w:val="0"/>
                  <w:sz w:val="20"/>
                  <w:szCs w:val="20"/>
                </w:rPr>
                <m:t>k-σ</m:t>
              </m:r>
            </m:oMath>
            <w:r>
              <w:rPr>
                <w:rFonts w:eastAsiaTheme="minorEastAsia"/>
                <w:kern w:val="0"/>
                <w:sz w:val="20"/>
                <w:szCs w:val="20"/>
              </w:rPr>
              <w:t xml:space="preserve"> criterion, </w:t>
            </w:r>
            <w:r>
              <w:rPr>
                <w:rFonts w:eastAsiaTheme="minorEastAsia" w:hint="eastAsia"/>
                <w:kern w:val="0"/>
                <w:sz w:val="20"/>
                <w:szCs w:val="20"/>
              </w:rPr>
              <w:t>k</w:t>
            </w:r>
            <w:r>
              <w:rPr>
                <w:rFonts w:eastAsiaTheme="minorEastAsia"/>
                <w:kern w:val="0"/>
                <w:sz w:val="20"/>
                <w:szCs w:val="20"/>
              </w:rPr>
              <w:t xml:space="preserve"> = 1.1</w:t>
            </w:r>
          </w:p>
        </w:tc>
      </w:tr>
      <w:tr w:rsidR="00AF1BF8" w14:paraId="65F4AC4E" w14:textId="77777777">
        <w:tc>
          <w:tcPr>
            <w:tcW w:w="883" w:type="dxa"/>
            <w:vMerge/>
            <w:vAlign w:val="center"/>
          </w:tcPr>
          <w:p w14:paraId="6B5DC16C" w14:textId="77777777" w:rsidR="00AF1BF8" w:rsidRDefault="00AF1BF8">
            <w:pPr>
              <w:spacing w:line="240" w:lineRule="auto"/>
              <w:jc w:val="center"/>
              <w:rPr>
                <w:rFonts w:eastAsiaTheme="minorEastAsia"/>
                <w:kern w:val="0"/>
                <w:sz w:val="20"/>
                <w:szCs w:val="20"/>
              </w:rPr>
            </w:pPr>
          </w:p>
        </w:tc>
        <w:tc>
          <w:tcPr>
            <w:tcW w:w="2798" w:type="dxa"/>
            <w:vAlign w:val="center"/>
          </w:tcPr>
          <w:p w14:paraId="06D24F70"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Positive residual threshold</w:t>
            </w:r>
          </w:p>
        </w:tc>
        <w:tc>
          <w:tcPr>
            <w:tcW w:w="4678" w:type="dxa"/>
            <w:vAlign w:val="center"/>
          </w:tcPr>
          <w:p w14:paraId="4D3E3143"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Used for final I/I identification</w:t>
            </w:r>
          </w:p>
        </w:tc>
      </w:tr>
      <w:tr w:rsidR="00AF1BF8" w14:paraId="2E4BC845" w14:textId="77777777">
        <w:tc>
          <w:tcPr>
            <w:tcW w:w="883" w:type="dxa"/>
            <w:vMerge/>
            <w:vAlign w:val="center"/>
          </w:tcPr>
          <w:p w14:paraId="76832BC9" w14:textId="77777777" w:rsidR="00AF1BF8" w:rsidRDefault="00AF1BF8">
            <w:pPr>
              <w:spacing w:line="240" w:lineRule="auto"/>
              <w:jc w:val="center"/>
              <w:rPr>
                <w:rFonts w:eastAsiaTheme="minorEastAsia"/>
                <w:kern w:val="0"/>
                <w:sz w:val="20"/>
                <w:szCs w:val="20"/>
              </w:rPr>
            </w:pPr>
          </w:p>
        </w:tc>
        <w:tc>
          <w:tcPr>
            <w:tcW w:w="2798" w:type="dxa"/>
            <w:vAlign w:val="center"/>
          </w:tcPr>
          <w:p w14:paraId="2133BD1A"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Wet-period smoothing</w:t>
            </w:r>
          </w:p>
        </w:tc>
        <w:tc>
          <w:tcPr>
            <w:tcW w:w="4678" w:type="dxa"/>
            <w:vAlign w:val="center"/>
          </w:tcPr>
          <w:p w14:paraId="58EA4451"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3 h moving-window majority voting</w:t>
            </w:r>
          </w:p>
        </w:tc>
      </w:tr>
      <w:tr w:rsidR="00AF1BF8" w14:paraId="7DD4A97E" w14:textId="77777777">
        <w:tc>
          <w:tcPr>
            <w:tcW w:w="883" w:type="dxa"/>
            <w:vMerge/>
            <w:tcBorders>
              <w:bottom w:val="single" w:sz="12" w:space="0" w:color="auto"/>
            </w:tcBorders>
            <w:vAlign w:val="center"/>
          </w:tcPr>
          <w:p w14:paraId="2C4EC7AC" w14:textId="77777777" w:rsidR="00AF1BF8" w:rsidRDefault="00AF1BF8">
            <w:pPr>
              <w:spacing w:line="240" w:lineRule="auto"/>
              <w:jc w:val="center"/>
              <w:rPr>
                <w:rFonts w:eastAsiaTheme="minorEastAsia"/>
                <w:kern w:val="0"/>
                <w:sz w:val="20"/>
                <w:szCs w:val="20"/>
              </w:rPr>
            </w:pPr>
          </w:p>
        </w:tc>
        <w:tc>
          <w:tcPr>
            <w:tcW w:w="2798" w:type="dxa"/>
            <w:tcBorders>
              <w:bottom w:val="single" w:sz="12" w:space="0" w:color="auto"/>
            </w:tcBorders>
            <w:vAlign w:val="center"/>
          </w:tcPr>
          <w:p w14:paraId="654EEBB2"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Stopping criteria</w:t>
            </w:r>
          </w:p>
        </w:tc>
        <w:tc>
          <w:tcPr>
            <w:tcW w:w="4678" w:type="dxa"/>
            <w:tcBorders>
              <w:bottom w:val="single" w:sz="12" w:space="0" w:color="auto"/>
            </w:tcBorders>
            <w:vAlign w:val="center"/>
          </w:tcPr>
          <w:p w14:paraId="1FB5002E" w14:textId="77777777" w:rsidR="00AF1BF8" w:rsidRDefault="00000000">
            <w:pPr>
              <w:spacing w:line="240" w:lineRule="auto"/>
              <w:jc w:val="center"/>
              <w:rPr>
                <w:rFonts w:eastAsiaTheme="minorEastAsia"/>
                <w:kern w:val="0"/>
                <w:sz w:val="20"/>
                <w:szCs w:val="20"/>
              </w:rPr>
            </w:pPr>
            <w:r>
              <w:rPr>
                <w:rFonts w:eastAsiaTheme="minorEastAsia"/>
                <w:kern w:val="0"/>
                <w:sz w:val="20"/>
                <w:szCs w:val="20"/>
              </w:rPr>
              <w:t>Residual stability, high prediction correlation, or maximum iteration</w:t>
            </w:r>
          </w:p>
        </w:tc>
      </w:tr>
    </w:tbl>
    <w:bookmarkEnd w:id="4"/>
    <w:p w14:paraId="62773D3C" w14:textId="77777777" w:rsidR="00AF1BF8" w:rsidRDefault="00000000">
      <w:pPr>
        <w:pStyle w:val="1"/>
        <w:spacing w:before="0" w:after="0"/>
        <w:rPr>
          <w:rFonts w:ascii="Times New Roman" w:hAnsi="Times New Roman" w:cs="Times New Roman"/>
          <w:color w:val="004E9A"/>
          <w:sz w:val="28"/>
          <w:szCs w:val="28"/>
        </w:rPr>
      </w:pPr>
      <w:r>
        <w:rPr>
          <w:rFonts w:ascii="Times New Roman" w:hAnsi="Times New Roman" w:cs="Times New Roman"/>
          <w:color w:val="004E9A"/>
          <w:sz w:val="28"/>
          <w:szCs w:val="28"/>
        </w:rPr>
        <w:t xml:space="preserve">Text </w:t>
      </w:r>
      <w:proofErr w:type="spellStart"/>
      <w:r>
        <w:rPr>
          <w:rFonts w:ascii="Times New Roman" w:hAnsi="Times New Roman" w:cs="Times New Roman" w:hint="eastAsia"/>
          <w:color w:val="004E9A"/>
          <w:sz w:val="28"/>
          <w:szCs w:val="28"/>
        </w:rPr>
        <w:t>A.3</w:t>
      </w:r>
      <w:proofErr w:type="spellEnd"/>
      <w:r>
        <w:rPr>
          <w:rFonts w:ascii="Times New Roman" w:hAnsi="Times New Roman" w:cs="Times New Roman" w:hint="eastAsia"/>
          <w:color w:val="004E9A"/>
          <w:sz w:val="28"/>
          <w:szCs w:val="28"/>
        </w:rPr>
        <w:t xml:space="preserve"> </w:t>
      </w:r>
      <w:r>
        <w:rPr>
          <w:rFonts w:ascii="Times New Roman" w:hAnsi="Times New Roman" w:cs="Times New Roman"/>
          <w:color w:val="004E9A"/>
          <w:sz w:val="28"/>
          <w:szCs w:val="28"/>
        </w:rPr>
        <w:t>Development of the WWTP mechanistic model</w:t>
      </w:r>
    </w:p>
    <w:p w14:paraId="13750762" w14:textId="77777777" w:rsidR="00AF1BF8" w:rsidRDefault="00000000">
      <w:pPr>
        <w:pStyle w:val="2"/>
        <w:spacing w:before="10" w:after="10"/>
        <w:rPr>
          <w:rFonts w:ascii="Times New Roman" w:hAnsi="Times New Roman" w:cs="Times New Roman"/>
          <w:sz w:val="24"/>
          <w:szCs w:val="24"/>
        </w:rPr>
      </w:pPr>
      <w:r>
        <w:rPr>
          <w:rFonts w:ascii="Times New Roman" w:hAnsi="Times New Roman" w:cs="Times New Roman"/>
          <w:sz w:val="24"/>
          <w:szCs w:val="24"/>
        </w:rPr>
        <w:t xml:space="preserve">Text </w:t>
      </w:r>
      <w:proofErr w:type="spellStart"/>
      <w:r>
        <w:rPr>
          <w:rFonts w:ascii="Times New Roman" w:hAnsi="Times New Roman" w:cs="Times New Roman"/>
          <w:sz w:val="24"/>
          <w:szCs w:val="24"/>
        </w:rPr>
        <w:t>A.</w:t>
      </w:r>
      <w:r>
        <w:rPr>
          <w:rFonts w:ascii="Times New Roman" w:hAnsi="Times New Roman" w:cs="Times New Roman" w:hint="eastAsia"/>
          <w:sz w:val="24"/>
          <w:szCs w:val="24"/>
        </w:rPr>
        <w:t>3</w:t>
      </w:r>
      <w:r>
        <w:rPr>
          <w:rFonts w:ascii="Times New Roman" w:hAnsi="Times New Roman" w:cs="Times New Roman"/>
          <w:sz w:val="24"/>
          <w:szCs w:val="24"/>
        </w:rPr>
        <w:t>.1</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Model configuration</w:t>
      </w:r>
    </w:p>
    <w:p w14:paraId="0BA8F340" w14:textId="77777777" w:rsidR="00AF1BF8" w:rsidRDefault="00000000">
      <w:pPr>
        <w:ind w:firstLineChars="200" w:firstLine="420"/>
      </w:pPr>
      <w:r>
        <w:t xml:space="preserve">WWTP B features parallel AAO and AO treatment lines with a flow distribution ratio of 1:1. The model consists of screens, grit chambers, AAO, AO, secondary clarifier, and sand filters. Screens, grit chambers, and sand filters were simplified as non-reactive separation units. The AAO and AO bioreactors were represented by multiple completely mixed reactors in series to approximate plug-flow behavior: the AAO line was divided into anaerobic, anoxic, and aerobic zones (with symmetric structure, identical dimensions and operating conditions for the same functional zones); the AO line was divided into anoxic and aerobic zones. Reactor volumes followed the as-built dimensions. The secondary clarifier was simulated using a three-layer model coupled with biological reactions and fixed sludge withdrawal; </w:t>
      </w:r>
      <w:proofErr w:type="spellStart"/>
      <w:r>
        <w:t>Polyaluminium</w:t>
      </w:r>
      <w:proofErr w:type="spellEnd"/>
      <w:r>
        <w:t xml:space="preserve"> </w:t>
      </w:r>
      <w:r>
        <w:rPr>
          <w:rFonts w:hint="eastAsia"/>
        </w:rPr>
        <w:t>c</w:t>
      </w:r>
      <w:r>
        <w:t xml:space="preserve">hloride </w:t>
      </w:r>
      <w:r>
        <w:rPr>
          <w:rFonts w:hint="eastAsia"/>
        </w:rPr>
        <w:t>(</w:t>
      </w:r>
      <w:r>
        <w:t>PAC</w:t>
      </w:r>
      <w:r>
        <w:rPr>
          <w:rFonts w:hint="eastAsia"/>
        </w:rPr>
        <w:t>)</w:t>
      </w:r>
      <w:r>
        <w:t xml:space="preserve"> was dosed before the clarifier for chemical phosphorus removal. Part of the settled sludge was returned to the bioreactors, and the remainder was sent to thickening and dewatering.</w:t>
      </w:r>
    </w:p>
    <w:p w14:paraId="6B889E03" w14:textId="77777777" w:rsidR="00AF1BF8" w:rsidRDefault="00000000">
      <w:pPr>
        <w:ind w:firstLineChars="200" w:firstLine="420"/>
      </w:pPr>
      <w:r>
        <w:t xml:space="preserve">The sludge thickener also used a three-layer model with Polyacrylamide </w:t>
      </w:r>
      <w:r>
        <w:rPr>
          <w:rFonts w:hint="eastAsia"/>
        </w:rPr>
        <w:t>(</w:t>
      </w:r>
      <w:r>
        <w:t>PAM</w:t>
      </w:r>
      <w:r>
        <w:rPr>
          <w:rFonts w:hint="eastAsia"/>
        </w:rPr>
        <w:t>)</w:t>
      </w:r>
      <w:r>
        <w:t xml:space="preserve"> addition; dewatering was simplified as a non-reactive unit with solid removal efficiency based on plant </w:t>
      </w:r>
      <w:r>
        <w:lastRenderedPageBreak/>
        <w:t xml:space="preserve">records. Key operating parameters: internal recycle ratio 200% for AAO (aerobic to anoxic) and 300% for AO (aerobic to anoxic); external recycle ratio 75%; DO controlled at 3 mg/L in aerobic zones. Hydraulic connections were modeled using non-reactive pipe modules. Main reactor volumes and operating conditions are summarized in </w:t>
      </w:r>
      <w:r>
        <w:rPr>
          <w:color w:val="4472C4" w:themeColor="accent1"/>
        </w:rPr>
        <w:t xml:space="preserve">Table </w:t>
      </w:r>
      <w:proofErr w:type="spellStart"/>
      <w:r>
        <w:rPr>
          <w:color w:val="4472C4" w:themeColor="accent1"/>
        </w:rPr>
        <w:t>A4</w:t>
      </w:r>
      <w:proofErr w:type="spellEnd"/>
      <w:r>
        <w:t xml:space="preserve"> and </w:t>
      </w:r>
      <w:r>
        <w:rPr>
          <w:color w:val="4472C4" w:themeColor="accent1"/>
        </w:rPr>
        <w:t xml:space="preserve">Table </w:t>
      </w:r>
      <w:proofErr w:type="spellStart"/>
      <w:r>
        <w:rPr>
          <w:color w:val="4472C4" w:themeColor="accent1"/>
        </w:rPr>
        <w:t>A5</w:t>
      </w:r>
      <w:proofErr w:type="spellEnd"/>
      <w:r>
        <w:rPr>
          <w:rFonts w:hint="eastAsia"/>
        </w:rPr>
        <w:t>.</w:t>
      </w:r>
    </w:p>
    <w:p w14:paraId="7322C908" w14:textId="77777777" w:rsidR="00AF1BF8" w:rsidRDefault="00000000">
      <w:pPr>
        <w:jc w:val="center"/>
        <w:rPr>
          <w:rFonts w:eastAsiaTheme="minorEastAsia"/>
          <w:color w:val="000000" w:themeColor="text1"/>
        </w:rPr>
      </w:pPr>
      <w:r>
        <w:rPr>
          <w:rFonts w:eastAsiaTheme="minorEastAsia" w:hint="eastAsia"/>
          <w:color w:val="4472C4" w:themeColor="accent1"/>
        </w:rPr>
        <w:t xml:space="preserve">Table </w:t>
      </w:r>
      <w:proofErr w:type="spellStart"/>
      <w:r>
        <w:rPr>
          <w:rFonts w:eastAsiaTheme="minorEastAsia" w:hint="eastAsia"/>
          <w:color w:val="4472C4" w:themeColor="accent1"/>
        </w:rPr>
        <w:t>A4</w:t>
      </w:r>
      <w:proofErr w:type="spellEnd"/>
      <w:r>
        <w:rPr>
          <w:color w:val="000000" w:themeColor="text1"/>
        </w:rPr>
        <w:t xml:space="preserve"> </w:t>
      </w:r>
      <w:r>
        <w:rPr>
          <w:rFonts w:eastAsiaTheme="minorEastAsia"/>
          <w:color w:val="000000" w:themeColor="text1"/>
        </w:rPr>
        <w:t>Configuration of the WWTP</w:t>
      </w:r>
      <w:r>
        <w:rPr>
          <w:rFonts w:eastAsiaTheme="minorEastAsia" w:hint="eastAsia"/>
          <w:color w:val="000000" w:themeColor="text1"/>
        </w:rPr>
        <w:t xml:space="preserve"> B.</w:t>
      </w:r>
    </w:p>
    <w:tbl>
      <w:tblPr>
        <w:tblStyle w:val="af"/>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3827"/>
        <w:gridCol w:w="1134"/>
        <w:gridCol w:w="788"/>
      </w:tblGrid>
      <w:tr w:rsidR="00AF1BF8" w14:paraId="7A0B7BC1" w14:textId="77777777">
        <w:trPr>
          <w:trHeight w:hRule="exact" w:val="454"/>
          <w:jc w:val="center"/>
        </w:trPr>
        <w:tc>
          <w:tcPr>
            <w:tcW w:w="2547" w:type="dxa"/>
            <w:tcBorders>
              <w:top w:val="single" w:sz="12" w:space="0" w:color="auto"/>
              <w:bottom w:val="single" w:sz="4" w:space="0" w:color="auto"/>
            </w:tcBorders>
            <w:vAlign w:val="center"/>
          </w:tcPr>
          <w:p w14:paraId="18872022"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Section</w:t>
            </w:r>
          </w:p>
        </w:tc>
        <w:tc>
          <w:tcPr>
            <w:tcW w:w="3827" w:type="dxa"/>
            <w:tcBorders>
              <w:top w:val="single" w:sz="12" w:space="0" w:color="auto"/>
              <w:bottom w:val="single" w:sz="4" w:space="0" w:color="auto"/>
            </w:tcBorders>
            <w:vAlign w:val="center"/>
          </w:tcPr>
          <w:p w14:paraId="12E8854E"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Parameter</w:t>
            </w:r>
          </w:p>
        </w:tc>
        <w:tc>
          <w:tcPr>
            <w:tcW w:w="1134" w:type="dxa"/>
            <w:tcBorders>
              <w:top w:val="single" w:sz="12" w:space="0" w:color="auto"/>
              <w:bottom w:val="single" w:sz="4" w:space="0" w:color="auto"/>
            </w:tcBorders>
            <w:vAlign w:val="center"/>
          </w:tcPr>
          <w:p w14:paraId="7D4EC9B7"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Value</w:t>
            </w:r>
          </w:p>
        </w:tc>
        <w:tc>
          <w:tcPr>
            <w:tcW w:w="788" w:type="dxa"/>
            <w:tcBorders>
              <w:top w:val="single" w:sz="12" w:space="0" w:color="auto"/>
              <w:bottom w:val="single" w:sz="4" w:space="0" w:color="auto"/>
            </w:tcBorders>
            <w:vAlign w:val="center"/>
          </w:tcPr>
          <w:p w14:paraId="529D5D27"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Unit</w:t>
            </w:r>
          </w:p>
        </w:tc>
      </w:tr>
      <w:tr w:rsidR="00AF1BF8" w14:paraId="39ACEAEC" w14:textId="77777777">
        <w:trPr>
          <w:trHeight w:hRule="exact" w:val="454"/>
          <w:jc w:val="center"/>
        </w:trPr>
        <w:tc>
          <w:tcPr>
            <w:tcW w:w="2547" w:type="dxa"/>
            <w:vMerge w:val="restart"/>
            <w:tcBorders>
              <w:top w:val="single" w:sz="4" w:space="0" w:color="auto"/>
            </w:tcBorders>
            <w:vAlign w:val="center"/>
          </w:tcPr>
          <w:p w14:paraId="25978C1B"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A</w:t>
            </w:r>
            <w:r>
              <w:rPr>
                <w:rFonts w:eastAsiaTheme="minorEastAsia" w:hint="eastAsia"/>
                <w:color w:val="000000" w:themeColor="text1"/>
                <w:kern w:val="0"/>
                <w:sz w:val="20"/>
                <w:szCs w:val="21"/>
              </w:rPr>
              <w:t>A</w:t>
            </w:r>
            <w:r>
              <w:rPr>
                <w:rFonts w:hint="eastAsia"/>
                <w:color w:val="000000" w:themeColor="text1"/>
                <w:kern w:val="0"/>
                <w:sz w:val="20"/>
                <w:szCs w:val="21"/>
              </w:rPr>
              <w:t>O</w:t>
            </w:r>
          </w:p>
        </w:tc>
        <w:tc>
          <w:tcPr>
            <w:tcW w:w="3827" w:type="dxa"/>
            <w:tcBorders>
              <w:top w:val="single" w:sz="4" w:space="0" w:color="auto"/>
            </w:tcBorders>
            <w:vAlign w:val="center"/>
          </w:tcPr>
          <w:p w14:paraId="41E6BE5A" w14:textId="77777777" w:rsidR="00AF1BF8" w:rsidRDefault="00000000">
            <w:pPr>
              <w:spacing w:line="240" w:lineRule="auto"/>
              <w:jc w:val="center"/>
              <w:rPr>
                <w:color w:val="000000" w:themeColor="text1"/>
                <w:kern w:val="0"/>
                <w:sz w:val="20"/>
                <w:szCs w:val="21"/>
              </w:rPr>
            </w:pPr>
            <w:r>
              <w:rPr>
                <w:color w:val="000000" w:themeColor="text1"/>
                <w:kern w:val="0"/>
                <w:sz w:val="20"/>
                <w:szCs w:val="21"/>
              </w:rPr>
              <w:t>Pre‑anaerobic zone</w:t>
            </w:r>
          </w:p>
        </w:tc>
        <w:tc>
          <w:tcPr>
            <w:tcW w:w="1134" w:type="dxa"/>
            <w:tcBorders>
              <w:top w:val="single" w:sz="4" w:space="0" w:color="auto"/>
            </w:tcBorders>
            <w:vAlign w:val="center"/>
          </w:tcPr>
          <w:p w14:paraId="4C2154AB" w14:textId="77777777" w:rsidR="00AF1BF8" w:rsidRDefault="00000000">
            <w:pPr>
              <w:spacing w:line="240" w:lineRule="auto"/>
              <w:jc w:val="center"/>
              <w:rPr>
                <w:color w:val="000000" w:themeColor="text1"/>
                <w:kern w:val="0"/>
                <w:sz w:val="20"/>
                <w:szCs w:val="21"/>
              </w:rPr>
            </w:pPr>
            <w:r>
              <w:rPr>
                <w:color w:val="000000" w:themeColor="text1"/>
                <w:kern w:val="0"/>
                <w:sz w:val="20"/>
                <w:szCs w:val="21"/>
              </w:rPr>
              <w:t>2293.</w:t>
            </w:r>
            <w:r>
              <w:rPr>
                <w:rFonts w:hint="eastAsia"/>
                <w:color w:val="000000" w:themeColor="text1"/>
                <w:kern w:val="0"/>
                <w:sz w:val="20"/>
                <w:szCs w:val="21"/>
              </w:rPr>
              <w:t>8</w:t>
            </w:r>
          </w:p>
        </w:tc>
        <w:tc>
          <w:tcPr>
            <w:tcW w:w="788" w:type="dxa"/>
            <w:tcBorders>
              <w:top w:val="single" w:sz="4" w:space="0" w:color="auto"/>
            </w:tcBorders>
            <w:vAlign w:val="center"/>
          </w:tcPr>
          <w:p w14:paraId="35B9F306"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m</w:t>
            </w:r>
            <w:r>
              <w:rPr>
                <w:rFonts w:hint="eastAsia"/>
                <w:color w:val="000000" w:themeColor="text1"/>
                <w:kern w:val="0"/>
                <w:sz w:val="20"/>
                <w:szCs w:val="21"/>
                <w:vertAlign w:val="superscript"/>
              </w:rPr>
              <w:t>3</w:t>
            </w:r>
          </w:p>
        </w:tc>
      </w:tr>
      <w:tr w:rsidR="00AF1BF8" w14:paraId="504D1EB8" w14:textId="77777777">
        <w:trPr>
          <w:trHeight w:hRule="exact" w:val="454"/>
          <w:jc w:val="center"/>
        </w:trPr>
        <w:tc>
          <w:tcPr>
            <w:tcW w:w="2547" w:type="dxa"/>
            <w:vMerge/>
            <w:vAlign w:val="center"/>
          </w:tcPr>
          <w:p w14:paraId="39BD2CFC" w14:textId="77777777" w:rsidR="00AF1BF8" w:rsidRDefault="00AF1BF8">
            <w:pPr>
              <w:spacing w:line="240" w:lineRule="auto"/>
              <w:jc w:val="center"/>
              <w:rPr>
                <w:color w:val="000000" w:themeColor="text1"/>
                <w:kern w:val="0"/>
                <w:sz w:val="20"/>
                <w:szCs w:val="21"/>
              </w:rPr>
            </w:pPr>
          </w:p>
        </w:tc>
        <w:tc>
          <w:tcPr>
            <w:tcW w:w="3827" w:type="dxa"/>
            <w:vAlign w:val="center"/>
          </w:tcPr>
          <w:p w14:paraId="2973A3CD" w14:textId="77777777" w:rsidR="00AF1BF8" w:rsidRDefault="00000000">
            <w:pPr>
              <w:spacing w:line="240" w:lineRule="auto"/>
              <w:jc w:val="center"/>
              <w:rPr>
                <w:color w:val="000000" w:themeColor="text1"/>
                <w:kern w:val="0"/>
                <w:sz w:val="20"/>
                <w:szCs w:val="21"/>
              </w:rPr>
            </w:pPr>
            <w:r>
              <w:rPr>
                <w:color w:val="000000" w:themeColor="text1"/>
                <w:kern w:val="0"/>
                <w:sz w:val="20"/>
                <w:szCs w:val="21"/>
              </w:rPr>
              <w:t>Anaerobic zone</w:t>
            </w:r>
          </w:p>
        </w:tc>
        <w:tc>
          <w:tcPr>
            <w:tcW w:w="1134" w:type="dxa"/>
            <w:vAlign w:val="center"/>
          </w:tcPr>
          <w:p w14:paraId="545FCAA9" w14:textId="77777777" w:rsidR="00AF1BF8" w:rsidRDefault="00000000">
            <w:pPr>
              <w:spacing w:line="240" w:lineRule="auto"/>
              <w:jc w:val="center"/>
              <w:rPr>
                <w:color w:val="000000" w:themeColor="text1"/>
                <w:kern w:val="0"/>
                <w:sz w:val="20"/>
                <w:szCs w:val="21"/>
              </w:rPr>
            </w:pPr>
            <w:r>
              <w:rPr>
                <w:color w:val="000000" w:themeColor="text1"/>
                <w:kern w:val="0"/>
                <w:sz w:val="20"/>
                <w:szCs w:val="21"/>
              </w:rPr>
              <w:t>2293.</w:t>
            </w:r>
            <w:r>
              <w:rPr>
                <w:rFonts w:hint="eastAsia"/>
                <w:color w:val="000000" w:themeColor="text1"/>
                <w:kern w:val="0"/>
                <w:sz w:val="20"/>
                <w:szCs w:val="21"/>
              </w:rPr>
              <w:t>8</w:t>
            </w:r>
          </w:p>
        </w:tc>
        <w:tc>
          <w:tcPr>
            <w:tcW w:w="788" w:type="dxa"/>
            <w:vAlign w:val="center"/>
          </w:tcPr>
          <w:p w14:paraId="79EE9167"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m</w:t>
            </w:r>
            <w:r>
              <w:rPr>
                <w:rFonts w:hint="eastAsia"/>
                <w:color w:val="000000" w:themeColor="text1"/>
                <w:kern w:val="0"/>
                <w:sz w:val="20"/>
                <w:szCs w:val="21"/>
                <w:vertAlign w:val="superscript"/>
              </w:rPr>
              <w:t>3</w:t>
            </w:r>
          </w:p>
        </w:tc>
      </w:tr>
      <w:tr w:rsidR="00AF1BF8" w14:paraId="1AA660F5" w14:textId="77777777">
        <w:trPr>
          <w:trHeight w:hRule="exact" w:val="454"/>
          <w:jc w:val="center"/>
        </w:trPr>
        <w:tc>
          <w:tcPr>
            <w:tcW w:w="2547" w:type="dxa"/>
            <w:vMerge/>
            <w:vAlign w:val="center"/>
          </w:tcPr>
          <w:p w14:paraId="39A04DE3" w14:textId="77777777" w:rsidR="00AF1BF8" w:rsidRDefault="00AF1BF8">
            <w:pPr>
              <w:spacing w:line="240" w:lineRule="auto"/>
              <w:jc w:val="center"/>
              <w:rPr>
                <w:color w:val="000000" w:themeColor="text1"/>
                <w:kern w:val="0"/>
                <w:sz w:val="20"/>
                <w:szCs w:val="21"/>
              </w:rPr>
            </w:pPr>
          </w:p>
        </w:tc>
        <w:tc>
          <w:tcPr>
            <w:tcW w:w="3827" w:type="dxa"/>
            <w:vAlign w:val="center"/>
          </w:tcPr>
          <w:p w14:paraId="55D8DD86" w14:textId="77777777" w:rsidR="00AF1BF8" w:rsidRDefault="00000000">
            <w:pPr>
              <w:spacing w:line="240" w:lineRule="auto"/>
              <w:jc w:val="center"/>
              <w:rPr>
                <w:color w:val="000000" w:themeColor="text1"/>
                <w:kern w:val="0"/>
                <w:sz w:val="20"/>
                <w:szCs w:val="21"/>
              </w:rPr>
            </w:pPr>
            <w:r>
              <w:rPr>
                <w:color w:val="000000" w:themeColor="text1"/>
                <w:kern w:val="0"/>
                <w:sz w:val="20"/>
                <w:szCs w:val="21"/>
              </w:rPr>
              <w:t>Anoxic zone</w:t>
            </w:r>
          </w:p>
        </w:tc>
        <w:tc>
          <w:tcPr>
            <w:tcW w:w="1134" w:type="dxa"/>
            <w:vAlign w:val="center"/>
          </w:tcPr>
          <w:p w14:paraId="7BB73245" w14:textId="77777777" w:rsidR="00AF1BF8" w:rsidRDefault="00000000">
            <w:pPr>
              <w:spacing w:line="240" w:lineRule="auto"/>
              <w:jc w:val="center"/>
              <w:rPr>
                <w:rFonts w:eastAsiaTheme="minorEastAsia"/>
                <w:color w:val="000000" w:themeColor="text1"/>
                <w:kern w:val="0"/>
                <w:sz w:val="20"/>
                <w:szCs w:val="21"/>
              </w:rPr>
            </w:pPr>
            <w:r>
              <w:rPr>
                <w:rFonts w:eastAsiaTheme="minorEastAsia" w:hint="eastAsia"/>
                <w:color w:val="000000" w:themeColor="text1"/>
                <w:kern w:val="0"/>
                <w:sz w:val="20"/>
                <w:szCs w:val="21"/>
              </w:rPr>
              <w:t>10000.0</w:t>
            </w:r>
          </w:p>
        </w:tc>
        <w:tc>
          <w:tcPr>
            <w:tcW w:w="788" w:type="dxa"/>
            <w:vAlign w:val="center"/>
          </w:tcPr>
          <w:p w14:paraId="3E10840B" w14:textId="77777777" w:rsidR="00AF1BF8" w:rsidRDefault="00000000">
            <w:pPr>
              <w:spacing w:line="240" w:lineRule="auto"/>
              <w:jc w:val="center"/>
              <w:rPr>
                <w:rFonts w:eastAsiaTheme="minorEastAsia"/>
                <w:color w:val="000000" w:themeColor="text1"/>
                <w:kern w:val="0"/>
                <w:sz w:val="20"/>
                <w:szCs w:val="21"/>
              </w:rPr>
            </w:pPr>
            <w:r>
              <w:rPr>
                <w:rFonts w:hint="eastAsia"/>
                <w:color w:val="000000" w:themeColor="text1"/>
                <w:kern w:val="0"/>
                <w:sz w:val="20"/>
                <w:szCs w:val="21"/>
              </w:rPr>
              <w:t>m</w:t>
            </w:r>
            <w:r>
              <w:rPr>
                <w:rFonts w:hint="eastAsia"/>
                <w:color w:val="000000" w:themeColor="text1"/>
                <w:kern w:val="0"/>
                <w:sz w:val="20"/>
                <w:szCs w:val="21"/>
                <w:vertAlign w:val="superscript"/>
              </w:rPr>
              <w:t>3</w:t>
            </w:r>
          </w:p>
        </w:tc>
      </w:tr>
      <w:tr w:rsidR="00AF1BF8" w14:paraId="0196E798" w14:textId="77777777">
        <w:trPr>
          <w:trHeight w:hRule="exact" w:val="454"/>
          <w:jc w:val="center"/>
        </w:trPr>
        <w:tc>
          <w:tcPr>
            <w:tcW w:w="2547" w:type="dxa"/>
            <w:vMerge/>
            <w:vAlign w:val="center"/>
          </w:tcPr>
          <w:p w14:paraId="7BE24B00" w14:textId="77777777" w:rsidR="00AF1BF8" w:rsidRDefault="00AF1BF8">
            <w:pPr>
              <w:spacing w:line="240" w:lineRule="auto"/>
              <w:jc w:val="center"/>
              <w:rPr>
                <w:color w:val="000000" w:themeColor="text1"/>
                <w:kern w:val="0"/>
                <w:sz w:val="20"/>
                <w:szCs w:val="21"/>
              </w:rPr>
            </w:pPr>
          </w:p>
        </w:tc>
        <w:tc>
          <w:tcPr>
            <w:tcW w:w="3827" w:type="dxa"/>
            <w:vAlign w:val="center"/>
          </w:tcPr>
          <w:p w14:paraId="33644174" w14:textId="77777777" w:rsidR="00AF1BF8" w:rsidRDefault="00000000">
            <w:pPr>
              <w:spacing w:line="240" w:lineRule="auto"/>
              <w:jc w:val="center"/>
              <w:rPr>
                <w:color w:val="000000" w:themeColor="text1"/>
                <w:kern w:val="0"/>
                <w:sz w:val="20"/>
                <w:szCs w:val="21"/>
              </w:rPr>
            </w:pPr>
            <w:r>
              <w:rPr>
                <w:color w:val="000000" w:themeColor="text1"/>
                <w:kern w:val="0"/>
                <w:sz w:val="20"/>
                <w:szCs w:val="21"/>
              </w:rPr>
              <w:t>Transition zone</w:t>
            </w:r>
          </w:p>
        </w:tc>
        <w:tc>
          <w:tcPr>
            <w:tcW w:w="1134" w:type="dxa"/>
            <w:vAlign w:val="center"/>
          </w:tcPr>
          <w:p w14:paraId="282FBBC2" w14:textId="77777777" w:rsidR="00AF1BF8" w:rsidRDefault="00000000">
            <w:pPr>
              <w:spacing w:line="240" w:lineRule="auto"/>
              <w:jc w:val="center"/>
              <w:rPr>
                <w:rFonts w:eastAsiaTheme="minorEastAsia"/>
                <w:color w:val="000000" w:themeColor="text1"/>
                <w:kern w:val="0"/>
                <w:sz w:val="20"/>
                <w:szCs w:val="21"/>
              </w:rPr>
            </w:pPr>
            <w:r>
              <w:rPr>
                <w:rFonts w:eastAsiaTheme="minorEastAsia"/>
                <w:color w:val="000000" w:themeColor="text1"/>
                <w:kern w:val="0"/>
                <w:sz w:val="20"/>
                <w:szCs w:val="21"/>
              </w:rPr>
              <w:t>3336</w:t>
            </w:r>
            <w:r>
              <w:rPr>
                <w:rFonts w:eastAsiaTheme="minorEastAsia" w:hint="eastAsia"/>
                <w:color w:val="000000" w:themeColor="text1"/>
                <w:kern w:val="0"/>
                <w:sz w:val="20"/>
                <w:szCs w:val="21"/>
              </w:rPr>
              <w:t>.0</w:t>
            </w:r>
          </w:p>
        </w:tc>
        <w:tc>
          <w:tcPr>
            <w:tcW w:w="788" w:type="dxa"/>
            <w:vAlign w:val="center"/>
          </w:tcPr>
          <w:p w14:paraId="4A42D94B"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m</w:t>
            </w:r>
            <w:r>
              <w:rPr>
                <w:rFonts w:hint="eastAsia"/>
                <w:color w:val="000000" w:themeColor="text1"/>
                <w:kern w:val="0"/>
                <w:sz w:val="20"/>
                <w:szCs w:val="21"/>
                <w:vertAlign w:val="superscript"/>
              </w:rPr>
              <w:t>3</w:t>
            </w:r>
          </w:p>
        </w:tc>
      </w:tr>
      <w:tr w:rsidR="00AF1BF8" w14:paraId="5FA80D44" w14:textId="77777777">
        <w:trPr>
          <w:trHeight w:hRule="exact" w:val="454"/>
          <w:jc w:val="center"/>
        </w:trPr>
        <w:tc>
          <w:tcPr>
            <w:tcW w:w="2547" w:type="dxa"/>
            <w:vMerge/>
            <w:vAlign w:val="center"/>
          </w:tcPr>
          <w:p w14:paraId="153F616D" w14:textId="77777777" w:rsidR="00AF1BF8" w:rsidRDefault="00AF1BF8">
            <w:pPr>
              <w:spacing w:line="240" w:lineRule="auto"/>
              <w:jc w:val="center"/>
              <w:rPr>
                <w:color w:val="000000" w:themeColor="text1"/>
                <w:kern w:val="0"/>
                <w:sz w:val="20"/>
                <w:szCs w:val="21"/>
              </w:rPr>
            </w:pPr>
          </w:p>
        </w:tc>
        <w:tc>
          <w:tcPr>
            <w:tcW w:w="3827" w:type="dxa"/>
            <w:vAlign w:val="center"/>
          </w:tcPr>
          <w:p w14:paraId="3B8956B6" w14:textId="77777777" w:rsidR="00AF1BF8" w:rsidRDefault="00000000">
            <w:pPr>
              <w:spacing w:line="240" w:lineRule="auto"/>
              <w:jc w:val="center"/>
              <w:rPr>
                <w:color w:val="000000" w:themeColor="text1"/>
                <w:kern w:val="0"/>
                <w:sz w:val="20"/>
                <w:szCs w:val="21"/>
              </w:rPr>
            </w:pPr>
            <w:r>
              <w:rPr>
                <w:color w:val="000000" w:themeColor="text1"/>
                <w:kern w:val="0"/>
                <w:sz w:val="20"/>
                <w:szCs w:val="21"/>
              </w:rPr>
              <w:t>Aerobic zone</w:t>
            </w:r>
          </w:p>
        </w:tc>
        <w:tc>
          <w:tcPr>
            <w:tcW w:w="1134" w:type="dxa"/>
            <w:vAlign w:val="center"/>
          </w:tcPr>
          <w:p w14:paraId="1ED0475E" w14:textId="77777777" w:rsidR="00AF1BF8" w:rsidRDefault="00000000">
            <w:pPr>
              <w:spacing w:line="240" w:lineRule="auto"/>
              <w:jc w:val="center"/>
              <w:rPr>
                <w:rFonts w:eastAsiaTheme="minorEastAsia"/>
                <w:color w:val="000000" w:themeColor="text1"/>
                <w:kern w:val="0"/>
                <w:sz w:val="20"/>
                <w:szCs w:val="21"/>
              </w:rPr>
            </w:pPr>
            <w:r>
              <w:rPr>
                <w:rFonts w:eastAsiaTheme="minorEastAsia"/>
                <w:color w:val="000000" w:themeColor="text1"/>
                <w:kern w:val="0"/>
                <w:sz w:val="20"/>
                <w:szCs w:val="21"/>
              </w:rPr>
              <w:t>18766.9</w:t>
            </w:r>
          </w:p>
        </w:tc>
        <w:tc>
          <w:tcPr>
            <w:tcW w:w="788" w:type="dxa"/>
            <w:vAlign w:val="center"/>
          </w:tcPr>
          <w:p w14:paraId="374EA8A2"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m</w:t>
            </w:r>
            <w:r>
              <w:rPr>
                <w:rFonts w:hint="eastAsia"/>
                <w:color w:val="000000" w:themeColor="text1"/>
                <w:kern w:val="0"/>
                <w:sz w:val="20"/>
                <w:szCs w:val="21"/>
                <w:vertAlign w:val="superscript"/>
              </w:rPr>
              <w:t>3</w:t>
            </w:r>
          </w:p>
        </w:tc>
      </w:tr>
      <w:tr w:rsidR="00AF1BF8" w14:paraId="0105F51D" w14:textId="77777777">
        <w:trPr>
          <w:trHeight w:hRule="exact" w:val="454"/>
          <w:jc w:val="center"/>
        </w:trPr>
        <w:tc>
          <w:tcPr>
            <w:tcW w:w="2547" w:type="dxa"/>
            <w:vMerge w:val="restart"/>
            <w:vAlign w:val="center"/>
          </w:tcPr>
          <w:p w14:paraId="4D11CF4E" w14:textId="77777777" w:rsidR="00AF1BF8" w:rsidRDefault="00000000">
            <w:pPr>
              <w:spacing w:line="240" w:lineRule="auto"/>
              <w:jc w:val="center"/>
              <w:rPr>
                <w:rFonts w:eastAsiaTheme="minorEastAsia"/>
                <w:color w:val="000000" w:themeColor="text1"/>
                <w:kern w:val="0"/>
                <w:sz w:val="20"/>
                <w:szCs w:val="21"/>
              </w:rPr>
            </w:pPr>
            <w:r>
              <w:rPr>
                <w:rFonts w:eastAsiaTheme="minorEastAsia" w:hint="eastAsia"/>
                <w:color w:val="000000" w:themeColor="text1"/>
                <w:kern w:val="0"/>
                <w:sz w:val="20"/>
                <w:szCs w:val="21"/>
              </w:rPr>
              <w:t>AO</w:t>
            </w:r>
          </w:p>
        </w:tc>
        <w:tc>
          <w:tcPr>
            <w:tcW w:w="3827" w:type="dxa"/>
            <w:vAlign w:val="center"/>
          </w:tcPr>
          <w:p w14:paraId="3F4AC8DD" w14:textId="77777777" w:rsidR="00AF1BF8" w:rsidRDefault="00000000">
            <w:pPr>
              <w:spacing w:line="240" w:lineRule="auto"/>
              <w:jc w:val="center"/>
              <w:rPr>
                <w:color w:val="000000" w:themeColor="text1"/>
                <w:kern w:val="0"/>
                <w:sz w:val="20"/>
                <w:szCs w:val="21"/>
              </w:rPr>
            </w:pPr>
            <w:r>
              <w:rPr>
                <w:color w:val="000000" w:themeColor="text1"/>
                <w:kern w:val="0"/>
                <w:sz w:val="20"/>
                <w:szCs w:val="21"/>
              </w:rPr>
              <w:t>Anoxic zone</w:t>
            </w:r>
          </w:p>
        </w:tc>
        <w:tc>
          <w:tcPr>
            <w:tcW w:w="1134" w:type="dxa"/>
            <w:vAlign w:val="center"/>
          </w:tcPr>
          <w:p w14:paraId="3308A4D9" w14:textId="77777777" w:rsidR="00AF1BF8" w:rsidRDefault="00000000">
            <w:pPr>
              <w:spacing w:line="240" w:lineRule="auto"/>
              <w:jc w:val="center"/>
              <w:rPr>
                <w:rFonts w:eastAsiaTheme="minorEastAsia"/>
                <w:color w:val="000000" w:themeColor="text1"/>
                <w:kern w:val="0"/>
                <w:sz w:val="20"/>
                <w:szCs w:val="21"/>
              </w:rPr>
            </w:pPr>
            <w:r>
              <w:rPr>
                <w:rFonts w:eastAsiaTheme="minorEastAsia" w:hint="eastAsia"/>
                <w:color w:val="000000" w:themeColor="text1"/>
                <w:kern w:val="0"/>
                <w:sz w:val="20"/>
                <w:szCs w:val="21"/>
              </w:rPr>
              <w:t>10155.5</w:t>
            </w:r>
          </w:p>
        </w:tc>
        <w:tc>
          <w:tcPr>
            <w:tcW w:w="788" w:type="dxa"/>
            <w:vAlign w:val="center"/>
          </w:tcPr>
          <w:p w14:paraId="6DA8D526"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m</w:t>
            </w:r>
            <w:r>
              <w:rPr>
                <w:rFonts w:hint="eastAsia"/>
                <w:color w:val="000000" w:themeColor="text1"/>
                <w:kern w:val="0"/>
                <w:sz w:val="20"/>
                <w:szCs w:val="21"/>
                <w:vertAlign w:val="superscript"/>
              </w:rPr>
              <w:t>3</w:t>
            </w:r>
          </w:p>
        </w:tc>
      </w:tr>
      <w:tr w:rsidR="00AF1BF8" w14:paraId="4405C733" w14:textId="77777777">
        <w:trPr>
          <w:trHeight w:hRule="exact" w:val="454"/>
          <w:jc w:val="center"/>
        </w:trPr>
        <w:tc>
          <w:tcPr>
            <w:tcW w:w="2547" w:type="dxa"/>
            <w:vMerge/>
            <w:vAlign w:val="center"/>
          </w:tcPr>
          <w:p w14:paraId="5C9918FF" w14:textId="77777777" w:rsidR="00AF1BF8" w:rsidRDefault="00AF1BF8">
            <w:pPr>
              <w:spacing w:line="240" w:lineRule="auto"/>
              <w:jc w:val="center"/>
              <w:rPr>
                <w:color w:val="000000" w:themeColor="text1"/>
                <w:kern w:val="0"/>
                <w:sz w:val="20"/>
                <w:szCs w:val="21"/>
              </w:rPr>
            </w:pPr>
          </w:p>
        </w:tc>
        <w:tc>
          <w:tcPr>
            <w:tcW w:w="3827" w:type="dxa"/>
            <w:vAlign w:val="center"/>
          </w:tcPr>
          <w:p w14:paraId="7860E911" w14:textId="77777777" w:rsidR="00AF1BF8" w:rsidRDefault="00000000">
            <w:pPr>
              <w:spacing w:line="240" w:lineRule="auto"/>
              <w:jc w:val="center"/>
              <w:rPr>
                <w:color w:val="000000" w:themeColor="text1"/>
                <w:kern w:val="0"/>
                <w:sz w:val="20"/>
                <w:szCs w:val="21"/>
              </w:rPr>
            </w:pPr>
            <w:r>
              <w:rPr>
                <w:color w:val="000000" w:themeColor="text1"/>
                <w:kern w:val="0"/>
                <w:sz w:val="20"/>
                <w:szCs w:val="21"/>
              </w:rPr>
              <w:t>Aerobic zone</w:t>
            </w:r>
          </w:p>
        </w:tc>
        <w:tc>
          <w:tcPr>
            <w:tcW w:w="1134" w:type="dxa"/>
            <w:vAlign w:val="center"/>
          </w:tcPr>
          <w:p w14:paraId="38DA3533" w14:textId="77777777" w:rsidR="00AF1BF8" w:rsidRDefault="00000000">
            <w:pPr>
              <w:spacing w:line="240" w:lineRule="auto"/>
              <w:jc w:val="center"/>
              <w:rPr>
                <w:rFonts w:eastAsiaTheme="minorEastAsia"/>
                <w:color w:val="000000" w:themeColor="text1"/>
                <w:kern w:val="0"/>
                <w:sz w:val="20"/>
                <w:szCs w:val="21"/>
              </w:rPr>
            </w:pPr>
            <w:r>
              <w:rPr>
                <w:rFonts w:eastAsiaTheme="minorEastAsia" w:hint="eastAsia"/>
                <w:color w:val="000000" w:themeColor="text1"/>
                <w:kern w:val="0"/>
                <w:sz w:val="20"/>
                <w:szCs w:val="21"/>
              </w:rPr>
              <w:t>39539.0</w:t>
            </w:r>
          </w:p>
        </w:tc>
        <w:tc>
          <w:tcPr>
            <w:tcW w:w="788" w:type="dxa"/>
            <w:vAlign w:val="center"/>
          </w:tcPr>
          <w:p w14:paraId="2637C177"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m</w:t>
            </w:r>
            <w:r>
              <w:rPr>
                <w:rFonts w:hint="eastAsia"/>
                <w:color w:val="000000" w:themeColor="text1"/>
                <w:kern w:val="0"/>
                <w:sz w:val="20"/>
                <w:szCs w:val="21"/>
                <w:vertAlign w:val="superscript"/>
              </w:rPr>
              <w:t>3</w:t>
            </w:r>
          </w:p>
        </w:tc>
      </w:tr>
      <w:tr w:rsidR="00AF1BF8" w14:paraId="0A947869" w14:textId="77777777">
        <w:trPr>
          <w:trHeight w:hRule="exact" w:val="454"/>
          <w:jc w:val="center"/>
        </w:trPr>
        <w:tc>
          <w:tcPr>
            <w:tcW w:w="6374" w:type="dxa"/>
            <w:gridSpan w:val="2"/>
            <w:tcBorders>
              <w:bottom w:val="single" w:sz="12" w:space="0" w:color="auto"/>
            </w:tcBorders>
            <w:vAlign w:val="center"/>
          </w:tcPr>
          <w:p w14:paraId="2CB7C89E" w14:textId="3B4D88A7" w:rsidR="00AF1BF8" w:rsidRDefault="00000000">
            <w:pPr>
              <w:spacing w:line="240" w:lineRule="auto"/>
              <w:jc w:val="center"/>
              <w:rPr>
                <w:color w:val="000000" w:themeColor="text1"/>
                <w:kern w:val="0"/>
                <w:sz w:val="20"/>
                <w:szCs w:val="21"/>
              </w:rPr>
            </w:pPr>
            <w:r>
              <w:rPr>
                <w:color w:val="000000" w:themeColor="text1"/>
                <w:kern w:val="0"/>
                <w:sz w:val="20"/>
                <w:szCs w:val="21"/>
              </w:rPr>
              <w:t>Secondary clarifier</w:t>
            </w:r>
          </w:p>
        </w:tc>
        <w:tc>
          <w:tcPr>
            <w:tcW w:w="1134" w:type="dxa"/>
            <w:tcBorders>
              <w:bottom w:val="single" w:sz="12" w:space="0" w:color="auto"/>
            </w:tcBorders>
            <w:vAlign w:val="center"/>
          </w:tcPr>
          <w:p w14:paraId="21982E1E"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10112.0</w:t>
            </w:r>
          </w:p>
        </w:tc>
        <w:tc>
          <w:tcPr>
            <w:tcW w:w="788" w:type="dxa"/>
            <w:tcBorders>
              <w:bottom w:val="single" w:sz="12" w:space="0" w:color="auto"/>
            </w:tcBorders>
            <w:vAlign w:val="center"/>
          </w:tcPr>
          <w:p w14:paraId="662DEAC5" w14:textId="77777777" w:rsidR="00AF1BF8" w:rsidRDefault="00000000">
            <w:pPr>
              <w:spacing w:line="240" w:lineRule="auto"/>
              <w:jc w:val="center"/>
              <w:rPr>
                <w:color w:val="000000" w:themeColor="text1"/>
                <w:kern w:val="0"/>
                <w:sz w:val="20"/>
                <w:szCs w:val="21"/>
              </w:rPr>
            </w:pPr>
            <w:r>
              <w:rPr>
                <w:rFonts w:hint="eastAsia"/>
                <w:color w:val="000000" w:themeColor="text1"/>
                <w:kern w:val="0"/>
                <w:sz w:val="20"/>
                <w:szCs w:val="21"/>
              </w:rPr>
              <w:t>m</w:t>
            </w:r>
            <w:r>
              <w:rPr>
                <w:rFonts w:hint="eastAsia"/>
                <w:color w:val="000000" w:themeColor="text1"/>
                <w:kern w:val="0"/>
                <w:sz w:val="20"/>
                <w:szCs w:val="21"/>
                <w:vertAlign w:val="superscript"/>
              </w:rPr>
              <w:t>3</w:t>
            </w:r>
          </w:p>
        </w:tc>
      </w:tr>
    </w:tbl>
    <w:p w14:paraId="23B89470" w14:textId="77777777" w:rsidR="00E05736" w:rsidRDefault="00E05736">
      <w:pPr>
        <w:jc w:val="center"/>
        <w:rPr>
          <w:rFonts w:eastAsiaTheme="minorEastAsia"/>
          <w:color w:val="4472C4" w:themeColor="accent1"/>
        </w:rPr>
      </w:pPr>
    </w:p>
    <w:p w14:paraId="7CDC1CBF" w14:textId="6BB5422C" w:rsidR="00AF1BF8" w:rsidRDefault="00000000">
      <w:pPr>
        <w:jc w:val="center"/>
        <w:rPr>
          <w:rFonts w:eastAsiaTheme="minorEastAsia"/>
          <w:color w:val="000000" w:themeColor="text1"/>
        </w:rPr>
      </w:pPr>
      <w:r>
        <w:rPr>
          <w:rFonts w:eastAsiaTheme="minorEastAsia" w:hint="eastAsia"/>
          <w:color w:val="4472C4" w:themeColor="accent1"/>
        </w:rPr>
        <w:t xml:space="preserve">Table </w:t>
      </w:r>
      <w:proofErr w:type="spellStart"/>
      <w:r>
        <w:rPr>
          <w:rFonts w:eastAsiaTheme="minorEastAsia" w:hint="eastAsia"/>
          <w:color w:val="4472C4" w:themeColor="accent1"/>
        </w:rPr>
        <w:t>A5</w:t>
      </w:r>
      <w:proofErr w:type="spellEnd"/>
      <w:r>
        <w:rPr>
          <w:color w:val="000000" w:themeColor="text1"/>
        </w:rPr>
        <w:t xml:space="preserve"> </w:t>
      </w:r>
      <w:r>
        <w:rPr>
          <w:rFonts w:eastAsiaTheme="minorEastAsia"/>
          <w:color w:val="000000" w:themeColor="text1"/>
        </w:rPr>
        <w:t>Key operating conditions for model calibration</w:t>
      </w:r>
      <w:r>
        <w:rPr>
          <w:rFonts w:eastAsiaTheme="minorEastAsia" w:hint="eastAsia"/>
          <w:color w:val="000000" w:themeColor="text1"/>
        </w:rPr>
        <w:t>.</w:t>
      </w:r>
    </w:p>
    <w:tbl>
      <w:tblPr>
        <w:tblW w:w="8391" w:type="dxa"/>
        <w:jc w:val="center"/>
        <w:tblLook w:val="04A0" w:firstRow="1" w:lastRow="0" w:firstColumn="1" w:lastColumn="0" w:noHBand="0" w:noVBand="1"/>
      </w:tblPr>
      <w:tblGrid>
        <w:gridCol w:w="3115"/>
        <w:gridCol w:w="3337"/>
        <w:gridCol w:w="993"/>
        <w:gridCol w:w="946"/>
      </w:tblGrid>
      <w:tr w:rsidR="00AF1BF8" w14:paraId="585F7AD2" w14:textId="77777777">
        <w:trPr>
          <w:trHeight w:hRule="exact" w:val="454"/>
          <w:jc w:val="center"/>
        </w:trPr>
        <w:tc>
          <w:tcPr>
            <w:tcW w:w="3115" w:type="dxa"/>
            <w:tcBorders>
              <w:top w:val="single" w:sz="12" w:space="0" w:color="auto"/>
              <w:bottom w:val="single" w:sz="4" w:space="0" w:color="auto"/>
            </w:tcBorders>
            <w:noWrap/>
            <w:vAlign w:val="center"/>
          </w:tcPr>
          <w:p w14:paraId="2347CBF7" w14:textId="77777777" w:rsidR="00AF1BF8" w:rsidRDefault="00000000">
            <w:pPr>
              <w:spacing w:line="240" w:lineRule="auto"/>
              <w:jc w:val="center"/>
              <w:rPr>
                <w:rFonts w:eastAsiaTheme="minorEastAsia"/>
                <w:color w:val="000000" w:themeColor="text1"/>
                <w:szCs w:val="21"/>
                <w:lang w:val="en-GB"/>
              </w:rPr>
            </w:pPr>
            <w:r>
              <w:rPr>
                <w:color w:val="000000" w:themeColor="text1"/>
                <w:szCs w:val="21"/>
              </w:rPr>
              <w:t>Configuration</w:t>
            </w:r>
          </w:p>
        </w:tc>
        <w:tc>
          <w:tcPr>
            <w:tcW w:w="3337" w:type="dxa"/>
            <w:tcBorders>
              <w:top w:val="single" w:sz="12" w:space="0" w:color="auto"/>
              <w:bottom w:val="single" w:sz="4" w:space="0" w:color="auto"/>
            </w:tcBorders>
            <w:vAlign w:val="center"/>
          </w:tcPr>
          <w:p w14:paraId="146890E2" w14:textId="77777777" w:rsidR="00AF1BF8" w:rsidRDefault="00000000">
            <w:pPr>
              <w:spacing w:line="240" w:lineRule="auto"/>
              <w:jc w:val="center"/>
              <w:rPr>
                <w:rFonts w:eastAsiaTheme="minorEastAsia"/>
                <w:color w:val="000000" w:themeColor="text1"/>
                <w:szCs w:val="21"/>
                <w:lang w:val="en-GB"/>
              </w:rPr>
            </w:pPr>
            <w:r>
              <w:rPr>
                <w:color w:val="000000" w:themeColor="text1"/>
                <w:szCs w:val="21"/>
              </w:rPr>
              <w:t>Flow description</w:t>
            </w:r>
          </w:p>
        </w:tc>
        <w:tc>
          <w:tcPr>
            <w:tcW w:w="993" w:type="dxa"/>
            <w:tcBorders>
              <w:top w:val="single" w:sz="12" w:space="0" w:color="auto"/>
              <w:bottom w:val="single" w:sz="4" w:space="0" w:color="auto"/>
            </w:tcBorders>
            <w:vAlign w:val="center"/>
          </w:tcPr>
          <w:p w14:paraId="0A8AF2E4" w14:textId="77777777" w:rsidR="00AF1BF8" w:rsidRDefault="00000000">
            <w:pPr>
              <w:spacing w:line="240" w:lineRule="auto"/>
              <w:jc w:val="center"/>
              <w:rPr>
                <w:rFonts w:eastAsiaTheme="minorEastAsia"/>
                <w:color w:val="000000" w:themeColor="text1"/>
                <w:szCs w:val="21"/>
                <w:lang w:val="en-GB"/>
              </w:rPr>
            </w:pPr>
            <w:r>
              <w:rPr>
                <w:rFonts w:eastAsiaTheme="minorEastAsia" w:hint="eastAsia"/>
                <w:color w:val="000000" w:themeColor="text1"/>
                <w:szCs w:val="21"/>
                <w:lang w:val="en-GB"/>
              </w:rPr>
              <w:t>Value</w:t>
            </w:r>
          </w:p>
        </w:tc>
        <w:tc>
          <w:tcPr>
            <w:tcW w:w="946" w:type="dxa"/>
            <w:tcBorders>
              <w:top w:val="single" w:sz="12" w:space="0" w:color="auto"/>
              <w:bottom w:val="single" w:sz="4" w:space="0" w:color="auto"/>
            </w:tcBorders>
            <w:vAlign w:val="center"/>
          </w:tcPr>
          <w:p w14:paraId="0F94BE91" w14:textId="77777777" w:rsidR="00AF1BF8" w:rsidRDefault="00000000">
            <w:pPr>
              <w:spacing w:line="240" w:lineRule="auto"/>
              <w:jc w:val="center"/>
              <w:rPr>
                <w:rFonts w:eastAsiaTheme="minorEastAsia"/>
                <w:color w:val="000000" w:themeColor="text1"/>
                <w:szCs w:val="21"/>
                <w:lang w:val="en-GB"/>
              </w:rPr>
            </w:pPr>
            <w:r>
              <w:rPr>
                <w:rFonts w:eastAsiaTheme="minorEastAsia"/>
                <w:color w:val="000000" w:themeColor="text1"/>
                <w:szCs w:val="21"/>
                <w:lang w:val="en-GB"/>
              </w:rPr>
              <w:t>Unit</w:t>
            </w:r>
          </w:p>
        </w:tc>
      </w:tr>
      <w:tr w:rsidR="00AF1BF8" w14:paraId="4C1943A7" w14:textId="77777777">
        <w:trPr>
          <w:trHeight w:hRule="exact" w:val="454"/>
          <w:jc w:val="center"/>
        </w:trPr>
        <w:tc>
          <w:tcPr>
            <w:tcW w:w="3115" w:type="dxa"/>
            <w:vMerge w:val="restart"/>
            <w:tcBorders>
              <w:top w:val="single" w:sz="4" w:space="0" w:color="auto"/>
            </w:tcBorders>
            <w:vAlign w:val="center"/>
          </w:tcPr>
          <w:p w14:paraId="61F7A254" w14:textId="77777777" w:rsidR="00AF1BF8" w:rsidRDefault="00000000">
            <w:pPr>
              <w:jc w:val="center"/>
              <w:rPr>
                <w:rFonts w:eastAsiaTheme="minorEastAsia"/>
                <w:bCs/>
                <w:color w:val="000000" w:themeColor="text1"/>
                <w:szCs w:val="21"/>
                <w:lang w:val="en-GB"/>
              </w:rPr>
            </w:pPr>
            <w:r>
              <w:rPr>
                <w:rFonts w:eastAsiaTheme="minorEastAsia"/>
                <w:bCs/>
                <w:color w:val="000000" w:themeColor="text1"/>
                <w:szCs w:val="21"/>
                <w:lang w:val="en-GB"/>
              </w:rPr>
              <w:t>General conditions</w:t>
            </w:r>
          </w:p>
        </w:tc>
        <w:tc>
          <w:tcPr>
            <w:tcW w:w="3337" w:type="dxa"/>
            <w:tcBorders>
              <w:top w:val="single" w:sz="4" w:space="0" w:color="auto"/>
            </w:tcBorders>
            <w:vAlign w:val="center"/>
          </w:tcPr>
          <w:p w14:paraId="741B5AC3" w14:textId="77777777" w:rsidR="00AF1BF8" w:rsidRDefault="00000000">
            <w:pPr>
              <w:jc w:val="center"/>
              <w:rPr>
                <w:rFonts w:eastAsiaTheme="minorEastAsia"/>
                <w:color w:val="000000" w:themeColor="text1"/>
                <w:szCs w:val="21"/>
                <w:lang w:val="en-GB"/>
              </w:rPr>
            </w:pPr>
            <w:r>
              <w:rPr>
                <w:rFonts w:eastAsiaTheme="minorEastAsia"/>
                <w:color w:val="000000" w:themeColor="text1"/>
                <w:szCs w:val="21"/>
                <w:lang w:val="en-GB"/>
              </w:rPr>
              <w:t>Temperature</w:t>
            </w:r>
          </w:p>
        </w:tc>
        <w:tc>
          <w:tcPr>
            <w:tcW w:w="993" w:type="dxa"/>
            <w:tcBorders>
              <w:top w:val="single" w:sz="4" w:space="0" w:color="auto"/>
            </w:tcBorders>
            <w:noWrap/>
            <w:vAlign w:val="center"/>
          </w:tcPr>
          <w:p w14:paraId="5875DA68" w14:textId="77777777" w:rsidR="00AF1BF8" w:rsidRDefault="00000000">
            <w:pPr>
              <w:jc w:val="center"/>
              <w:rPr>
                <w:rFonts w:eastAsiaTheme="minorEastAsia"/>
                <w:color w:val="000000" w:themeColor="text1"/>
                <w:szCs w:val="21"/>
                <w:lang w:val="en-GB"/>
              </w:rPr>
            </w:pPr>
            <w:r>
              <w:rPr>
                <w:rFonts w:eastAsiaTheme="minorEastAsia"/>
                <w:color w:val="000000" w:themeColor="text1"/>
                <w:szCs w:val="21"/>
              </w:rPr>
              <w:t>20</w:t>
            </w:r>
          </w:p>
        </w:tc>
        <w:tc>
          <w:tcPr>
            <w:tcW w:w="946" w:type="dxa"/>
            <w:tcBorders>
              <w:top w:val="single" w:sz="4" w:space="0" w:color="auto"/>
            </w:tcBorders>
            <w:vAlign w:val="center"/>
          </w:tcPr>
          <w:p w14:paraId="3C48B374" w14:textId="77777777" w:rsidR="00AF1BF8" w:rsidRDefault="00000000">
            <w:pPr>
              <w:jc w:val="center"/>
              <w:rPr>
                <w:rFonts w:eastAsiaTheme="minorEastAsia" w:cs="Times New Roman"/>
                <w:color w:val="000000" w:themeColor="text1"/>
                <w:szCs w:val="21"/>
                <w:lang w:val="en-GB"/>
              </w:rPr>
            </w:pPr>
            <w:r>
              <w:rPr>
                <w:rFonts w:eastAsiaTheme="minorEastAsia" w:cs="Times New Roman"/>
                <w:color w:val="000000" w:themeColor="text1"/>
                <w:szCs w:val="21"/>
                <w:lang w:val="en-GB"/>
              </w:rPr>
              <w:t>℃</w:t>
            </w:r>
          </w:p>
        </w:tc>
      </w:tr>
      <w:tr w:rsidR="00AF1BF8" w14:paraId="2D4C6C93" w14:textId="77777777">
        <w:trPr>
          <w:trHeight w:hRule="exact" w:val="454"/>
          <w:jc w:val="center"/>
        </w:trPr>
        <w:tc>
          <w:tcPr>
            <w:tcW w:w="3115" w:type="dxa"/>
            <w:vMerge/>
            <w:vAlign w:val="center"/>
          </w:tcPr>
          <w:p w14:paraId="004547B2" w14:textId="77777777" w:rsidR="00AF1BF8" w:rsidRDefault="00AF1BF8">
            <w:pPr>
              <w:jc w:val="center"/>
              <w:rPr>
                <w:rFonts w:eastAsiaTheme="minorEastAsia"/>
                <w:bCs/>
                <w:color w:val="000000" w:themeColor="text1"/>
                <w:szCs w:val="21"/>
                <w:lang w:val="en-GB"/>
              </w:rPr>
            </w:pPr>
          </w:p>
        </w:tc>
        <w:tc>
          <w:tcPr>
            <w:tcW w:w="3337" w:type="dxa"/>
            <w:vAlign w:val="center"/>
          </w:tcPr>
          <w:p w14:paraId="7CDC2BF6" w14:textId="77777777" w:rsidR="00AF1BF8" w:rsidRDefault="00000000">
            <w:pPr>
              <w:jc w:val="center"/>
              <w:rPr>
                <w:rFonts w:eastAsiaTheme="minorEastAsia"/>
                <w:color w:val="000000" w:themeColor="text1"/>
                <w:szCs w:val="21"/>
                <w:lang w:val="en-GB"/>
              </w:rPr>
            </w:pPr>
            <w:r>
              <w:rPr>
                <w:rFonts w:eastAsiaTheme="minorEastAsia"/>
                <w:color w:val="000000" w:themeColor="text1"/>
                <w:szCs w:val="21"/>
                <w:lang w:val="en-GB"/>
              </w:rPr>
              <w:t>pH</w:t>
            </w:r>
          </w:p>
        </w:tc>
        <w:tc>
          <w:tcPr>
            <w:tcW w:w="993" w:type="dxa"/>
            <w:noWrap/>
            <w:vAlign w:val="center"/>
          </w:tcPr>
          <w:p w14:paraId="258F7455" w14:textId="77777777" w:rsidR="00AF1BF8" w:rsidRDefault="00000000">
            <w:pPr>
              <w:jc w:val="center"/>
              <w:rPr>
                <w:rFonts w:eastAsiaTheme="minorEastAsia"/>
                <w:color w:val="000000" w:themeColor="text1"/>
                <w:szCs w:val="21"/>
                <w:lang w:val="en-GB"/>
              </w:rPr>
            </w:pPr>
            <w:r>
              <w:rPr>
                <w:rFonts w:eastAsiaTheme="minorEastAsia"/>
                <w:color w:val="000000" w:themeColor="text1"/>
                <w:szCs w:val="21"/>
              </w:rPr>
              <w:t>7.2</w:t>
            </w:r>
          </w:p>
        </w:tc>
        <w:tc>
          <w:tcPr>
            <w:tcW w:w="946" w:type="dxa"/>
            <w:vAlign w:val="center"/>
          </w:tcPr>
          <w:p w14:paraId="0B6E9B67" w14:textId="1B60D6E5" w:rsidR="00AF1BF8" w:rsidRDefault="00000000">
            <w:pPr>
              <w:jc w:val="center"/>
              <w:rPr>
                <w:rFonts w:eastAsiaTheme="minorEastAsia"/>
                <w:color w:val="000000" w:themeColor="text1"/>
                <w:szCs w:val="21"/>
                <w:lang w:val="en-GB"/>
              </w:rPr>
            </w:pPr>
            <w:r>
              <w:rPr>
                <w:rFonts w:eastAsiaTheme="minorEastAsia"/>
                <w:color w:val="000000" w:themeColor="text1"/>
                <w:szCs w:val="21"/>
                <w:lang w:val="en-GB"/>
              </w:rPr>
              <w:t>pH</w:t>
            </w:r>
            <w:r w:rsidR="00E05736">
              <w:rPr>
                <w:rFonts w:eastAsiaTheme="minorEastAsia" w:hint="eastAsia"/>
                <w:color w:val="000000" w:themeColor="text1"/>
                <w:szCs w:val="21"/>
                <w:lang w:val="en-GB"/>
              </w:rPr>
              <w:t xml:space="preserve"> </w:t>
            </w:r>
            <w:r>
              <w:rPr>
                <w:rFonts w:eastAsiaTheme="minorEastAsia"/>
                <w:color w:val="000000" w:themeColor="text1"/>
                <w:szCs w:val="21"/>
                <w:lang w:val="en-GB"/>
              </w:rPr>
              <w:t>unit</w:t>
            </w:r>
          </w:p>
        </w:tc>
      </w:tr>
      <w:tr w:rsidR="00AF1BF8" w14:paraId="6B0F03A6" w14:textId="77777777">
        <w:trPr>
          <w:trHeight w:hRule="exact" w:val="454"/>
          <w:jc w:val="center"/>
        </w:trPr>
        <w:tc>
          <w:tcPr>
            <w:tcW w:w="3115" w:type="dxa"/>
            <w:vAlign w:val="center"/>
          </w:tcPr>
          <w:p w14:paraId="67EE190B" w14:textId="77777777" w:rsidR="00AF1BF8" w:rsidRDefault="00000000">
            <w:pPr>
              <w:jc w:val="center"/>
              <w:rPr>
                <w:rFonts w:eastAsiaTheme="minorEastAsia"/>
                <w:bCs/>
                <w:color w:val="000000" w:themeColor="text1"/>
                <w:szCs w:val="21"/>
                <w:lang w:val="en-GB"/>
              </w:rPr>
            </w:pPr>
            <w:r>
              <w:rPr>
                <w:rFonts w:eastAsiaTheme="minorEastAsia"/>
                <w:bCs/>
                <w:color w:val="000000" w:themeColor="text1"/>
                <w:szCs w:val="21"/>
                <w:lang w:val="en-GB"/>
              </w:rPr>
              <w:t>AAO aerobic zone</w:t>
            </w:r>
          </w:p>
        </w:tc>
        <w:tc>
          <w:tcPr>
            <w:tcW w:w="3337" w:type="dxa"/>
            <w:vAlign w:val="center"/>
          </w:tcPr>
          <w:p w14:paraId="3443AC70" w14:textId="77777777" w:rsidR="00AF1BF8" w:rsidRDefault="00000000">
            <w:pPr>
              <w:jc w:val="center"/>
              <w:rPr>
                <w:rFonts w:eastAsiaTheme="minorEastAsia"/>
                <w:color w:val="000000" w:themeColor="text1"/>
                <w:szCs w:val="21"/>
                <w:lang w:val="en-GB"/>
              </w:rPr>
            </w:pPr>
            <w:r>
              <w:rPr>
                <w:color w:val="000000" w:themeColor="text1"/>
                <w:szCs w:val="21"/>
              </w:rPr>
              <w:t>DO</w:t>
            </w:r>
          </w:p>
        </w:tc>
        <w:tc>
          <w:tcPr>
            <w:tcW w:w="993" w:type="dxa"/>
            <w:noWrap/>
            <w:vAlign w:val="center"/>
          </w:tcPr>
          <w:p w14:paraId="233B1EAE" w14:textId="77777777" w:rsidR="00AF1BF8" w:rsidRDefault="00000000">
            <w:pPr>
              <w:jc w:val="center"/>
              <w:rPr>
                <w:rFonts w:eastAsiaTheme="minorEastAsia"/>
                <w:color w:val="000000" w:themeColor="text1"/>
                <w:szCs w:val="21"/>
                <w:lang w:val="en-GB"/>
              </w:rPr>
            </w:pPr>
            <w:r>
              <w:rPr>
                <w:rFonts w:eastAsiaTheme="minorEastAsia" w:hint="eastAsia"/>
                <w:color w:val="000000" w:themeColor="text1"/>
                <w:szCs w:val="21"/>
              </w:rPr>
              <w:t>3.0</w:t>
            </w:r>
          </w:p>
        </w:tc>
        <w:tc>
          <w:tcPr>
            <w:tcW w:w="946" w:type="dxa"/>
            <w:vAlign w:val="center"/>
          </w:tcPr>
          <w:p w14:paraId="2E14B275" w14:textId="77777777" w:rsidR="00AF1BF8" w:rsidRDefault="00000000">
            <w:pPr>
              <w:jc w:val="center"/>
              <w:rPr>
                <w:rFonts w:eastAsiaTheme="minorEastAsia"/>
                <w:color w:val="000000" w:themeColor="text1"/>
                <w:szCs w:val="21"/>
                <w:lang w:val="en-GB"/>
              </w:rPr>
            </w:pPr>
            <w:r>
              <w:rPr>
                <w:rFonts w:eastAsiaTheme="minorEastAsia"/>
                <w:color w:val="000000" w:themeColor="text1"/>
                <w:szCs w:val="21"/>
                <w:lang w:val="en-GB"/>
              </w:rPr>
              <w:t xml:space="preserve">g </w:t>
            </w:r>
            <w:proofErr w:type="spellStart"/>
            <w:r>
              <w:rPr>
                <w:rFonts w:eastAsiaTheme="minorEastAsia"/>
                <w:color w:val="000000" w:themeColor="text1"/>
                <w:szCs w:val="21"/>
                <w:lang w:val="en-GB"/>
              </w:rPr>
              <w:t>O</w:t>
            </w:r>
            <w:r>
              <w:rPr>
                <w:rFonts w:eastAsiaTheme="minorEastAsia"/>
                <w:color w:val="000000" w:themeColor="text1"/>
                <w:szCs w:val="21"/>
                <w:vertAlign w:val="subscript"/>
                <w:lang w:val="en-GB"/>
              </w:rPr>
              <w:t>2</w:t>
            </w:r>
            <w:proofErr w:type="spellEnd"/>
            <w:r>
              <w:rPr>
                <w:rFonts w:eastAsiaTheme="minorEastAsia"/>
                <w:color w:val="000000" w:themeColor="text1"/>
                <w:szCs w:val="21"/>
                <w:lang w:val="en-GB"/>
              </w:rPr>
              <w:t>/m</w:t>
            </w:r>
            <w:r>
              <w:rPr>
                <w:rFonts w:eastAsiaTheme="minorEastAsia"/>
                <w:color w:val="000000" w:themeColor="text1"/>
                <w:szCs w:val="21"/>
                <w:vertAlign w:val="superscript"/>
                <w:lang w:val="en-GB"/>
              </w:rPr>
              <w:t>3</w:t>
            </w:r>
          </w:p>
        </w:tc>
      </w:tr>
      <w:tr w:rsidR="00AF1BF8" w14:paraId="7B73118B" w14:textId="77777777">
        <w:trPr>
          <w:trHeight w:hRule="exact" w:val="454"/>
          <w:jc w:val="center"/>
        </w:trPr>
        <w:tc>
          <w:tcPr>
            <w:tcW w:w="3115" w:type="dxa"/>
            <w:noWrap/>
            <w:vAlign w:val="center"/>
          </w:tcPr>
          <w:p w14:paraId="3A0BECA5" w14:textId="77777777" w:rsidR="00AF1BF8" w:rsidRDefault="00000000">
            <w:pPr>
              <w:jc w:val="center"/>
              <w:rPr>
                <w:rFonts w:eastAsiaTheme="minorEastAsia"/>
                <w:bCs/>
                <w:color w:val="000000" w:themeColor="text1"/>
                <w:szCs w:val="21"/>
                <w:lang w:val="en-GB"/>
              </w:rPr>
            </w:pPr>
            <w:r>
              <w:rPr>
                <w:rFonts w:eastAsiaTheme="minorEastAsia"/>
                <w:bCs/>
                <w:color w:val="000000" w:themeColor="text1"/>
                <w:szCs w:val="21"/>
                <w:lang w:val="en-GB"/>
              </w:rPr>
              <w:t>AO aerobic zone</w:t>
            </w:r>
          </w:p>
        </w:tc>
        <w:tc>
          <w:tcPr>
            <w:tcW w:w="3337" w:type="dxa"/>
            <w:vAlign w:val="center"/>
          </w:tcPr>
          <w:p w14:paraId="76823ACC" w14:textId="77777777" w:rsidR="00AF1BF8" w:rsidRDefault="00000000">
            <w:pPr>
              <w:jc w:val="center"/>
              <w:rPr>
                <w:rFonts w:eastAsiaTheme="minorEastAsia"/>
                <w:color w:val="000000" w:themeColor="text1"/>
                <w:szCs w:val="21"/>
                <w:lang w:val="en-GB"/>
              </w:rPr>
            </w:pPr>
            <w:r>
              <w:rPr>
                <w:color w:val="000000" w:themeColor="text1"/>
                <w:szCs w:val="21"/>
              </w:rPr>
              <w:t>DO</w:t>
            </w:r>
          </w:p>
        </w:tc>
        <w:tc>
          <w:tcPr>
            <w:tcW w:w="993" w:type="dxa"/>
            <w:noWrap/>
            <w:vAlign w:val="center"/>
          </w:tcPr>
          <w:p w14:paraId="7D16A189" w14:textId="77777777" w:rsidR="00AF1BF8" w:rsidRDefault="00000000">
            <w:pPr>
              <w:jc w:val="center"/>
              <w:rPr>
                <w:rFonts w:eastAsiaTheme="minorEastAsia"/>
                <w:color w:val="000000" w:themeColor="text1"/>
                <w:szCs w:val="21"/>
                <w:lang w:val="en-GB"/>
              </w:rPr>
            </w:pPr>
            <w:r>
              <w:rPr>
                <w:rFonts w:eastAsiaTheme="minorEastAsia" w:hint="eastAsia"/>
                <w:color w:val="000000" w:themeColor="text1"/>
                <w:szCs w:val="21"/>
              </w:rPr>
              <w:t>3.0</w:t>
            </w:r>
          </w:p>
        </w:tc>
        <w:tc>
          <w:tcPr>
            <w:tcW w:w="946" w:type="dxa"/>
            <w:vAlign w:val="center"/>
          </w:tcPr>
          <w:p w14:paraId="684007AB" w14:textId="77777777" w:rsidR="00AF1BF8" w:rsidRDefault="00000000">
            <w:pPr>
              <w:jc w:val="center"/>
              <w:rPr>
                <w:rFonts w:eastAsiaTheme="minorEastAsia"/>
                <w:color w:val="000000" w:themeColor="text1"/>
                <w:szCs w:val="21"/>
                <w:lang w:val="en-GB"/>
              </w:rPr>
            </w:pPr>
            <w:r>
              <w:rPr>
                <w:rFonts w:eastAsiaTheme="minorEastAsia"/>
                <w:color w:val="000000" w:themeColor="text1"/>
                <w:szCs w:val="21"/>
                <w:lang w:val="en-GB"/>
              </w:rPr>
              <w:t xml:space="preserve">g </w:t>
            </w:r>
            <w:proofErr w:type="spellStart"/>
            <w:r>
              <w:rPr>
                <w:rFonts w:eastAsiaTheme="minorEastAsia"/>
                <w:color w:val="000000" w:themeColor="text1"/>
                <w:szCs w:val="21"/>
                <w:lang w:val="en-GB"/>
              </w:rPr>
              <w:t>O</w:t>
            </w:r>
            <w:r>
              <w:rPr>
                <w:rFonts w:eastAsiaTheme="minorEastAsia"/>
                <w:color w:val="000000" w:themeColor="text1"/>
                <w:szCs w:val="21"/>
                <w:vertAlign w:val="subscript"/>
                <w:lang w:val="en-GB"/>
              </w:rPr>
              <w:t>2</w:t>
            </w:r>
            <w:proofErr w:type="spellEnd"/>
            <w:r>
              <w:rPr>
                <w:rFonts w:eastAsiaTheme="minorEastAsia"/>
                <w:color w:val="000000" w:themeColor="text1"/>
                <w:szCs w:val="21"/>
                <w:lang w:val="en-GB"/>
              </w:rPr>
              <w:t>/m</w:t>
            </w:r>
            <w:r>
              <w:rPr>
                <w:rFonts w:eastAsiaTheme="minorEastAsia"/>
                <w:color w:val="000000" w:themeColor="text1"/>
                <w:szCs w:val="21"/>
                <w:vertAlign w:val="superscript"/>
                <w:lang w:val="en-GB"/>
              </w:rPr>
              <w:t>3</w:t>
            </w:r>
          </w:p>
        </w:tc>
      </w:tr>
      <w:tr w:rsidR="00AF1BF8" w14:paraId="7D64BD6E" w14:textId="77777777">
        <w:trPr>
          <w:trHeight w:hRule="exact" w:val="868"/>
          <w:jc w:val="center"/>
        </w:trPr>
        <w:tc>
          <w:tcPr>
            <w:tcW w:w="3115" w:type="dxa"/>
            <w:noWrap/>
            <w:vAlign w:val="center"/>
          </w:tcPr>
          <w:p w14:paraId="08750D51" w14:textId="77777777" w:rsidR="00AF1BF8" w:rsidRDefault="00000000">
            <w:pPr>
              <w:jc w:val="center"/>
              <w:rPr>
                <w:rFonts w:eastAsiaTheme="minorEastAsia"/>
                <w:bCs/>
                <w:color w:val="000000" w:themeColor="text1"/>
                <w:szCs w:val="21"/>
                <w:lang w:val="en-GB"/>
              </w:rPr>
            </w:pPr>
            <w:r>
              <w:rPr>
                <w:rFonts w:eastAsiaTheme="minorEastAsia"/>
                <w:bCs/>
                <w:color w:val="000000" w:themeColor="text1"/>
                <w:szCs w:val="21"/>
                <w:lang w:val="en-GB"/>
              </w:rPr>
              <w:t>Internal recycle (AAO)</w:t>
            </w:r>
          </w:p>
        </w:tc>
        <w:tc>
          <w:tcPr>
            <w:tcW w:w="3337" w:type="dxa"/>
            <w:vAlign w:val="center"/>
          </w:tcPr>
          <w:p w14:paraId="0D8C8DCF" w14:textId="77777777" w:rsidR="00AF1BF8" w:rsidRDefault="00000000">
            <w:pPr>
              <w:spacing w:line="240" w:lineRule="auto"/>
              <w:jc w:val="center"/>
              <w:rPr>
                <w:rFonts w:eastAsiaTheme="minorEastAsia"/>
                <w:color w:val="000000" w:themeColor="text1"/>
                <w:szCs w:val="21"/>
                <w:lang w:val="en-GB"/>
              </w:rPr>
            </w:pPr>
            <w:r>
              <w:rPr>
                <w:rFonts w:eastAsiaTheme="minorEastAsia" w:hint="eastAsia"/>
                <w:color w:val="000000" w:themeColor="text1"/>
                <w:szCs w:val="21"/>
              </w:rPr>
              <w:t>Aerobic</w:t>
            </w:r>
            <w:r>
              <w:rPr>
                <w:rFonts w:eastAsiaTheme="minorEastAsia" w:hint="eastAsia"/>
                <w:color w:val="000000" w:themeColor="text1"/>
                <w:szCs w:val="21"/>
              </w:rPr>
              <w:t>→</w:t>
            </w:r>
            <w:r>
              <w:rPr>
                <w:rFonts w:eastAsiaTheme="minorEastAsia" w:hint="eastAsia"/>
                <w:color w:val="000000" w:themeColor="text1"/>
                <w:szCs w:val="21"/>
              </w:rPr>
              <w:t>anoxic</w:t>
            </w:r>
          </w:p>
        </w:tc>
        <w:tc>
          <w:tcPr>
            <w:tcW w:w="993" w:type="dxa"/>
            <w:noWrap/>
            <w:vAlign w:val="center"/>
          </w:tcPr>
          <w:p w14:paraId="6428E636" w14:textId="77777777" w:rsidR="00AF1BF8" w:rsidRDefault="00000000">
            <w:pPr>
              <w:jc w:val="center"/>
              <w:rPr>
                <w:rFonts w:eastAsiaTheme="minorEastAsia"/>
                <w:color w:val="000000" w:themeColor="text1"/>
                <w:szCs w:val="21"/>
                <w:lang w:val="en-GB"/>
              </w:rPr>
            </w:pPr>
            <w:r>
              <w:rPr>
                <w:rFonts w:eastAsiaTheme="minorEastAsia" w:hint="eastAsia"/>
                <w:color w:val="000000" w:themeColor="text1"/>
                <w:szCs w:val="21"/>
              </w:rPr>
              <w:t>200</w:t>
            </w:r>
          </w:p>
        </w:tc>
        <w:tc>
          <w:tcPr>
            <w:tcW w:w="946" w:type="dxa"/>
            <w:vAlign w:val="center"/>
          </w:tcPr>
          <w:p w14:paraId="10147F4F" w14:textId="77777777" w:rsidR="00AF1BF8" w:rsidRDefault="00000000">
            <w:pPr>
              <w:jc w:val="center"/>
              <w:rPr>
                <w:rFonts w:eastAsiaTheme="minorEastAsia"/>
                <w:color w:val="000000" w:themeColor="text1"/>
                <w:szCs w:val="21"/>
                <w:lang w:val="en-GB"/>
              </w:rPr>
            </w:pPr>
            <w:r>
              <w:rPr>
                <w:rFonts w:eastAsiaTheme="minorEastAsia" w:hint="eastAsia"/>
                <w:color w:val="000000" w:themeColor="text1"/>
                <w:szCs w:val="21"/>
                <w:lang w:val="en-GB"/>
              </w:rPr>
              <w:t>%</w:t>
            </w:r>
          </w:p>
        </w:tc>
      </w:tr>
      <w:tr w:rsidR="00AF1BF8" w14:paraId="664E5A90" w14:textId="77777777">
        <w:trPr>
          <w:trHeight w:hRule="exact" w:val="454"/>
          <w:jc w:val="center"/>
        </w:trPr>
        <w:tc>
          <w:tcPr>
            <w:tcW w:w="3115" w:type="dxa"/>
            <w:vAlign w:val="center"/>
          </w:tcPr>
          <w:p w14:paraId="1CC42CF5" w14:textId="77777777" w:rsidR="00AF1BF8" w:rsidRDefault="00000000">
            <w:pPr>
              <w:jc w:val="center"/>
              <w:rPr>
                <w:rFonts w:eastAsiaTheme="minorEastAsia"/>
                <w:bCs/>
                <w:color w:val="000000" w:themeColor="text1"/>
                <w:szCs w:val="21"/>
                <w:lang w:val="en-GB"/>
              </w:rPr>
            </w:pPr>
            <w:r>
              <w:rPr>
                <w:rFonts w:eastAsiaTheme="minorEastAsia"/>
                <w:bCs/>
                <w:color w:val="000000" w:themeColor="text1"/>
                <w:szCs w:val="21"/>
                <w:lang w:val="en-GB"/>
              </w:rPr>
              <w:t>Internal recycle (AO)</w:t>
            </w:r>
          </w:p>
        </w:tc>
        <w:tc>
          <w:tcPr>
            <w:tcW w:w="3337" w:type="dxa"/>
            <w:vAlign w:val="center"/>
          </w:tcPr>
          <w:p w14:paraId="2CFD808E" w14:textId="77777777" w:rsidR="00AF1BF8" w:rsidRDefault="00000000">
            <w:pPr>
              <w:jc w:val="center"/>
              <w:rPr>
                <w:rFonts w:eastAsiaTheme="minorEastAsia"/>
                <w:color w:val="000000" w:themeColor="text1"/>
                <w:szCs w:val="21"/>
                <w:lang w:val="en-GB"/>
              </w:rPr>
            </w:pPr>
            <w:r>
              <w:rPr>
                <w:rFonts w:eastAsiaTheme="minorEastAsia" w:hint="eastAsia"/>
                <w:color w:val="000000" w:themeColor="text1"/>
                <w:szCs w:val="21"/>
                <w:lang w:val="en-GB"/>
              </w:rPr>
              <w:t>Aerobic</w:t>
            </w:r>
            <w:r>
              <w:rPr>
                <w:rFonts w:eastAsiaTheme="minorEastAsia" w:hint="eastAsia"/>
                <w:color w:val="000000" w:themeColor="text1"/>
                <w:szCs w:val="21"/>
                <w:lang w:val="en-GB"/>
              </w:rPr>
              <w:t>→</w:t>
            </w:r>
            <w:r>
              <w:rPr>
                <w:rFonts w:eastAsiaTheme="minorEastAsia" w:hint="eastAsia"/>
                <w:color w:val="000000" w:themeColor="text1"/>
                <w:szCs w:val="21"/>
                <w:lang w:val="en-GB"/>
              </w:rPr>
              <w:t>anoxic</w:t>
            </w:r>
          </w:p>
        </w:tc>
        <w:tc>
          <w:tcPr>
            <w:tcW w:w="993" w:type="dxa"/>
            <w:noWrap/>
            <w:vAlign w:val="center"/>
          </w:tcPr>
          <w:p w14:paraId="1439A15A" w14:textId="77777777" w:rsidR="00AF1BF8" w:rsidRDefault="00000000">
            <w:pPr>
              <w:jc w:val="center"/>
              <w:rPr>
                <w:rFonts w:eastAsiaTheme="minorEastAsia"/>
                <w:color w:val="000000" w:themeColor="text1"/>
                <w:szCs w:val="21"/>
                <w:lang w:val="en-GB"/>
              </w:rPr>
            </w:pPr>
            <w:r>
              <w:rPr>
                <w:rFonts w:eastAsiaTheme="minorEastAsia" w:hint="eastAsia"/>
                <w:color w:val="000000" w:themeColor="text1"/>
                <w:szCs w:val="21"/>
              </w:rPr>
              <w:t>300</w:t>
            </w:r>
          </w:p>
        </w:tc>
        <w:tc>
          <w:tcPr>
            <w:tcW w:w="946" w:type="dxa"/>
            <w:vAlign w:val="center"/>
          </w:tcPr>
          <w:p w14:paraId="01EFC467" w14:textId="77777777" w:rsidR="00AF1BF8" w:rsidRDefault="00000000">
            <w:pPr>
              <w:jc w:val="center"/>
              <w:rPr>
                <w:rFonts w:eastAsiaTheme="minorEastAsia"/>
                <w:color w:val="000000" w:themeColor="text1"/>
                <w:szCs w:val="21"/>
                <w:lang w:val="en-GB"/>
              </w:rPr>
            </w:pPr>
            <w:r>
              <w:rPr>
                <w:rFonts w:eastAsiaTheme="minorEastAsia" w:hint="eastAsia"/>
                <w:color w:val="000000" w:themeColor="text1"/>
                <w:szCs w:val="21"/>
                <w:lang w:val="en-GB"/>
              </w:rPr>
              <w:t>%</w:t>
            </w:r>
          </w:p>
        </w:tc>
      </w:tr>
      <w:tr w:rsidR="00AF1BF8" w14:paraId="206F8FAD" w14:textId="77777777">
        <w:trPr>
          <w:trHeight w:hRule="exact" w:val="454"/>
          <w:jc w:val="center"/>
        </w:trPr>
        <w:tc>
          <w:tcPr>
            <w:tcW w:w="3115" w:type="dxa"/>
            <w:tcBorders>
              <w:bottom w:val="single" w:sz="12" w:space="0" w:color="auto"/>
            </w:tcBorders>
            <w:vAlign w:val="center"/>
          </w:tcPr>
          <w:p w14:paraId="66F53A87" w14:textId="77777777" w:rsidR="00AF1BF8" w:rsidRDefault="00000000">
            <w:pPr>
              <w:jc w:val="center"/>
              <w:rPr>
                <w:rFonts w:eastAsiaTheme="minorEastAsia"/>
                <w:bCs/>
                <w:color w:val="000000" w:themeColor="text1"/>
                <w:szCs w:val="21"/>
                <w:lang w:val="en-GB"/>
              </w:rPr>
            </w:pPr>
            <w:r>
              <w:rPr>
                <w:rFonts w:eastAsiaTheme="minorEastAsia"/>
                <w:bCs/>
                <w:color w:val="000000" w:themeColor="text1"/>
                <w:szCs w:val="21"/>
                <w:lang w:val="en-GB"/>
              </w:rPr>
              <w:t>External recycle</w:t>
            </w:r>
          </w:p>
        </w:tc>
        <w:tc>
          <w:tcPr>
            <w:tcW w:w="3337" w:type="dxa"/>
            <w:tcBorders>
              <w:bottom w:val="single" w:sz="12" w:space="0" w:color="auto"/>
            </w:tcBorders>
            <w:vAlign w:val="center"/>
          </w:tcPr>
          <w:p w14:paraId="68D33351" w14:textId="77777777" w:rsidR="00AF1BF8" w:rsidRDefault="00000000">
            <w:pPr>
              <w:jc w:val="center"/>
              <w:rPr>
                <w:rFonts w:eastAsiaTheme="minorEastAsia"/>
                <w:color w:val="000000" w:themeColor="text1"/>
                <w:szCs w:val="21"/>
                <w:lang w:val="en-GB"/>
              </w:rPr>
            </w:pPr>
            <w:r>
              <w:rPr>
                <w:rFonts w:eastAsiaTheme="minorEastAsia" w:hint="eastAsia"/>
                <w:color w:val="000000" w:themeColor="text1"/>
                <w:szCs w:val="21"/>
                <w:lang w:val="en-GB"/>
              </w:rPr>
              <w:t>Secondary clarifier</w:t>
            </w:r>
            <w:r>
              <w:rPr>
                <w:rFonts w:eastAsiaTheme="minorEastAsia" w:hint="eastAsia"/>
                <w:color w:val="000000" w:themeColor="text1"/>
                <w:szCs w:val="21"/>
                <w:lang w:val="en-GB"/>
              </w:rPr>
              <w:t>→</w:t>
            </w:r>
            <w:r>
              <w:rPr>
                <w:rFonts w:eastAsiaTheme="minorEastAsia" w:hint="eastAsia"/>
                <w:color w:val="000000" w:themeColor="text1"/>
                <w:szCs w:val="21"/>
                <w:lang w:val="en-GB"/>
              </w:rPr>
              <w:t>bioreactors</w:t>
            </w:r>
          </w:p>
        </w:tc>
        <w:tc>
          <w:tcPr>
            <w:tcW w:w="993" w:type="dxa"/>
            <w:tcBorders>
              <w:bottom w:val="single" w:sz="12" w:space="0" w:color="auto"/>
            </w:tcBorders>
            <w:noWrap/>
            <w:vAlign w:val="center"/>
          </w:tcPr>
          <w:p w14:paraId="0964A84F" w14:textId="77777777" w:rsidR="00AF1BF8" w:rsidRDefault="00000000">
            <w:pPr>
              <w:jc w:val="center"/>
              <w:rPr>
                <w:rFonts w:eastAsiaTheme="minorEastAsia"/>
                <w:color w:val="000000" w:themeColor="text1"/>
                <w:szCs w:val="21"/>
              </w:rPr>
            </w:pPr>
            <w:r>
              <w:rPr>
                <w:rFonts w:eastAsiaTheme="minorEastAsia" w:hint="eastAsia"/>
                <w:color w:val="000000" w:themeColor="text1"/>
                <w:szCs w:val="21"/>
              </w:rPr>
              <w:t>75</w:t>
            </w:r>
          </w:p>
        </w:tc>
        <w:tc>
          <w:tcPr>
            <w:tcW w:w="946" w:type="dxa"/>
            <w:tcBorders>
              <w:bottom w:val="single" w:sz="12" w:space="0" w:color="auto"/>
            </w:tcBorders>
            <w:vAlign w:val="center"/>
          </w:tcPr>
          <w:p w14:paraId="7599982B" w14:textId="77777777" w:rsidR="00AF1BF8" w:rsidRDefault="00000000">
            <w:pPr>
              <w:jc w:val="center"/>
              <w:rPr>
                <w:rFonts w:eastAsiaTheme="minorEastAsia"/>
                <w:color w:val="000000" w:themeColor="text1"/>
                <w:szCs w:val="21"/>
                <w:lang w:val="en-GB"/>
              </w:rPr>
            </w:pPr>
            <w:r>
              <w:rPr>
                <w:rFonts w:eastAsiaTheme="minorEastAsia" w:hint="eastAsia"/>
                <w:color w:val="000000" w:themeColor="text1"/>
                <w:szCs w:val="21"/>
                <w:lang w:val="en-GB"/>
              </w:rPr>
              <w:t>%</w:t>
            </w:r>
          </w:p>
        </w:tc>
      </w:tr>
    </w:tbl>
    <w:p w14:paraId="72E7A29B" w14:textId="77777777" w:rsidR="00AF1BF8" w:rsidRDefault="00AF1BF8"/>
    <w:p w14:paraId="3B560E71" w14:textId="77777777" w:rsidR="00AF1BF8" w:rsidRDefault="00000000">
      <w:pPr>
        <w:pStyle w:val="2"/>
        <w:spacing w:before="10" w:after="10"/>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Text </w:t>
      </w:r>
      <w:proofErr w:type="spellStart"/>
      <w:r>
        <w:rPr>
          <w:rFonts w:ascii="Times New Roman" w:hAnsi="Times New Roman" w:cs="Times New Roman"/>
          <w:color w:val="4472C4" w:themeColor="accent1"/>
          <w:sz w:val="24"/>
          <w:szCs w:val="24"/>
        </w:rPr>
        <w:t>A.</w:t>
      </w:r>
      <w:r>
        <w:rPr>
          <w:rFonts w:ascii="Times New Roman" w:hAnsi="Times New Roman" w:cs="Times New Roman" w:hint="eastAsia"/>
          <w:color w:val="4472C4" w:themeColor="accent1"/>
          <w:sz w:val="24"/>
          <w:szCs w:val="24"/>
        </w:rPr>
        <w:t>3</w:t>
      </w:r>
      <w:r>
        <w:rPr>
          <w:rFonts w:ascii="Times New Roman" w:hAnsi="Times New Roman" w:cs="Times New Roman"/>
          <w:color w:val="4472C4" w:themeColor="accent1"/>
          <w:sz w:val="24"/>
          <w:szCs w:val="24"/>
        </w:rPr>
        <w:t>.</w:t>
      </w:r>
      <w:r>
        <w:rPr>
          <w:rFonts w:ascii="Times New Roman" w:hAnsi="Times New Roman" w:cs="Times New Roman" w:hint="eastAsia"/>
          <w:color w:val="4472C4" w:themeColor="accent1"/>
          <w:sz w:val="24"/>
          <w:szCs w:val="24"/>
        </w:rPr>
        <w:t>2</w:t>
      </w:r>
      <w:proofErr w:type="spellEnd"/>
      <w:r>
        <w:rPr>
          <w:rFonts w:ascii="Times New Roman" w:hAnsi="Times New Roman" w:cs="Times New Roman"/>
          <w:color w:val="4472C4" w:themeColor="accent1"/>
          <w:sz w:val="24"/>
          <w:szCs w:val="24"/>
        </w:rPr>
        <w:t xml:space="preserve"> Sensitivity analysis</w:t>
      </w:r>
    </w:p>
    <w:p w14:paraId="6F74E1E2" w14:textId="77777777" w:rsidR="00AF1BF8" w:rsidRDefault="00000000">
      <w:pPr>
        <w:ind w:firstLine="478"/>
      </w:pPr>
      <w:r>
        <w:t xml:space="preserve">The model parameters include influent characteristics, reactor geometry, operational parameters, and influent fractionation and stoichiometric parameters. The first three categories were set according to plant records. For influent fractionation and stoichiometric parameters, the </w:t>
      </w:r>
      <w:r>
        <w:lastRenderedPageBreak/>
        <w:t>SUMO‑</w:t>
      </w:r>
      <w:proofErr w:type="spellStart"/>
      <w:r>
        <w:t>4N</w:t>
      </w:r>
      <w:proofErr w:type="spellEnd"/>
      <w:r>
        <w:t xml:space="preserve"> model contains 384 kinetic/stoichiometric parameters and 15 wastewater fractionation parameters. To reduce computational burden, parameters that do not vary with external conditions were kept at default values. A total of 35 kinetic parameters and 15 fractionation parameters were selected for local sensitivity analysis.</w:t>
      </w:r>
    </w:p>
    <w:p w14:paraId="720A9D53" w14:textId="77777777" w:rsidR="00AF1BF8" w:rsidRDefault="00000000">
      <w:pPr>
        <w:ind w:firstLine="478"/>
      </w:pPr>
      <w:r>
        <w:t>A one‑at‑a‑time perturbation method was applied, and the relative sensitivity factor (RSF) was calculated as:</w:t>
      </w:r>
    </w:p>
    <w:p w14:paraId="1C426DAB" w14:textId="77777777" w:rsidR="00AF1BF8" w:rsidRDefault="00000000">
      <w:pPr>
        <w:ind w:firstLine="478"/>
      </w:pPr>
      <m:oMathPara>
        <m:oMath>
          <m:eqArr>
            <m:eqArrPr>
              <m:maxDist m:val="1"/>
              <m:ctrlPr>
                <w:rPr>
                  <w:rFonts w:ascii="Cambria Math" w:hAnsi="Cambria Math"/>
                  <w:i/>
                </w:rPr>
              </m:ctrlPr>
            </m:eqArrPr>
            <m:e>
              <m:r>
                <w:rPr>
                  <w:rFonts w:ascii="Cambria Math" w:hAnsi="Cambria Math"/>
                </w:rPr>
                <m:t>RSF=</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w:bookmarkStart w:id="5" w:name="_Hlk231927991"/>
                          <m:r>
                            <w:rPr>
                              <w:rFonts w:ascii="Cambria Math" w:hAnsi="Cambria Math"/>
                            </w:rPr>
                            <m:t>Y</m:t>
                          </m:r>
                        </m:e>
                        <m:sub>
                          <m:r>
                            <w:rPr>
                              <w:rFonts w:ascii="Cambria Math" w:hAnsi="Cambria Math"/>
                            </w:rPr>
                            <m:t>i1</m:t>
                          </m:r>
                          <w:bookmarkEnd w:id="5"/>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i0</m:t>
                          </m:r>
                        </m:sub>
                      </m:sSub>
                    </m:num>
                    <m:den>
                      <m:sSub>
                        <m:sSubPr>
                          <m:ctrlPr>
                            <w:rPr>
                              <w:rFonts w:ascii="Cambria Math" w:hAnsi="Cambria Math"/>
                              <w:i/>
                            </w:rPr>
                          </m:ctrlPr>
                        </m:sSubPr>
                        <m:e>
                          <m:r>
                            <w:rPr>
                              <w:rFonts w:ascii="Cambria Math" w:hAnsi="Cambria Math"/>
                            </w:rPr>
                            <m:t>Y</m:t>
                          </m:r>
                        </m:e>
                        <m:sub>
                          <m:r>
                            <w:rPr>
                              <w:rFonts w:ascii="Cambria Math" w:hAnsi="Cambria Math"/>
                            </w:rPr>
                            <m:t>i0</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i1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i0</m:t>
                          </m:r>
                        </m:sub>
                      </m:sSub>
                    </m:num>
                    <m:den>
                      <m:sSub>
                        <m:sSubPr>
                          <m:ctrlPr>
                            <w:rPr>
                              <w:rFonts w:ascii="Cambria Math" w:hAnsi="Cambria Math"/>
                              <w:i/>
                            </w:rPr>
                          </m:ctrlPr>
                        </m:sSubPr>
                        <m:e>
                          <m:r>
                            <w:rPr>
                              <w:rFonts w:ascii="Cambria Math" w:hAnsi="Cambria Math"/>
                            </w:rPr>
                            <m:t>X</m:t>
                          </m:r>
                        </m:e>
                        <m:sub>
                          <m:r>
                            <w:rPr>
                              <w:rFonts w:ascii="Cambria Math" w:hAnsi="Cambria Math"/>
                            </w:rPr>
                            <m:t>i0</m:t>
                          </m:r>
                        </m:sub>
                      </m:sSub>
                    </m:den>
                  </m:f>
                </m:den>
              </m:f>
              <m:r>
                <w:rPr>
                  <w:rFonts w:ascii="Cambria Math" w:hAnsi="Cambria Math"/>
                </w:rPr>
                <m:t>#</m:t>
              </m:r>
              <m:d>
                <m:dPr>
                  <m:ctrlPr>
                    <w:rPr>
                      <w:rFonts w:ascii="Cambria Math" w:hAnsi="Cambria Math"/>
                      <w:i/>
                    </w:rPr>
                  </m:ctrlPr>
                </m:dPr>
                <m:e>
                  <m:r>
                    <w:rPr>
                      <w:rFonts w:ascii="Cambria Math" w:hAnsi="Cambria Math"/>
                    </w:rPr>
                    <m:t>3</m:t>
                  </m:r>
                </m:e>
              </m:d>
            </m:e>
          </m:eqArr>
        </m:oMath>
      </m:oMathPara>
    </w:p>
    <w:p w14:paraId="3B75FDFB" w14:textId="77777777" w:rsidR="00AF1BF8" w:rsidRDefault="00000000">
      <w:pPr>
        <w:ind w:firstLine="478"/>
      </w:pPr>
      <w:r>
        <w:rPr>
          <w:rFonts w:hint="eastAsia"/>
        </w:rPr>
        <w:t xml:space="preserve">where </w:t>
      </w:r>
      <m:oMath>
        <m:sSub>
          <m:sSubPr>
            <m:ctrlPr>
              <w:rPr>
                <w:rFonts w:ascii="Cambria Math" w:hAnsi="Cambria Math"/>
                <w:i/>
              </w:rPr>
            </m:ctrlPr>
          </m:sSubPr>
          <m:e>
            <m:r>
              <w:rPr>
                <w:rFonts w:ascii="Cambria Math" w:hAnsi="Cambria Math"/>
              </w:rPr>
              <m:t>X</m:t>
            </m:r>
          </m:e>
          <m:sub>
            <m:r>
              <w:rPr>
                <w:rFonts w:ascii="Cambria Math" w:hAnsi="Cambria Math"/>
              </w:rPr>
              <m:t>i0</m:t>
            </m:r>
          </m:sub>
        </m:sSub>
      </m:oMath>
      <w:r>
        <w:rPr>
          <w:rFonts w:hint="eastAsia"/>
        </w:rPr>
        <w:t xml:space="preserve"> and </w:t>
      </w:r>
      <m:oMath>
        <m:sSub>
          <m:sSubPr>
            <m:ctrlPr>
              <w:rPr>
                <w:rFonts w:ascii="Cambria Math" w:hAnsi="Cambria Math"/>
                <w:i/>
              </w:rPr>
            </m:ctrlPr>
          </m:sSubPr>
          <m:e>
            <m:r>
              <w:rPr>
                <w:rFonts w:ascii="Cambria Math" w:hAnsi="Cambria Math"/>
              </w:rPr>
              <m:t>X</m:t>
            </m:r>
          </m:e>
          <m:sub>
            <m:r>
              <w:rPr>
                <w:rFonts w:ascii="Cambria Math" w:hAnsi="Cambria Math"/>
              </w:rPr>
              <m:t>i1</m:t>
            </m:r>
          </m:sub>
        </m:sSub>
      </m:oMath>
      <w:r>
        <w:rPr>
          <w:rFonts w:hint="eastAsia"/>
        </w:rPr>
        <w:t xml:space="preserve"> </w:t>
      </w:r>
      <w:r>
        <w:t>are the parameter values before and after perturbation, respectively, and</w:t>
      </w:r>
      <w:r>
        <w:rPr>
          <w:rFonts w:hint="eastAsia"/>
        </w:rPr>
        <w:t xml:space="preserve"> </w:t>
      </w:r>
      <m:oMath>
        <m:sSub>
          <m:sSubPr>
            <m:ctrlPr>
              <w:rPr>
                <w:rFonts w:ascii="Cambria Math" w:hAnsi="Cambria Math"/>
                <w:i/>
              </w:rPr>
            </m:ctrlPr>
          </m:sSubPr>
          <m:e>
            <m:r>
              <w:rPr>
                <w:rFonts w:ascii="Cambria Math" w:hAnsi="Cambria Math"/>
              </w:rPr>
              <m:t>Y</m:t>
            </m:r>
          </m:e>
          <m:sub>
            <m:r>
              <w:rPr>
                <w:rFonts w:ascii="Cambria Math" w:hAnsi="Cambria Math"/>
              </w:rPr>
              <m:t>i0</m:t>
            </m:r>
          </m:sub>
        </m:sSub>
      </m:oMath>
      <w:r>
        <w:rPr>
          <w:rFonts w:hint="eastAsia"/>
        </w:rPr>
        <w:t xml:space="preserve"> and </w:t>
      </w:r>
      <m:oMath>
        <m:sSub>
          <m:sSubPr>
            <m:ctrlPr>
              <w:rPr>
                <w:rFonts w:ascii="Cambria Math" w:hAnsi="Cambria Math"/>
                <w:i/>
              </w:rPr>
            </m:ctrlPr>
          </m:sSubPr>
          <m:e>
            <m:r>
              <w:rPr>
                <w:rFonts w:ascii="Cambria Math" w:hAnsi="Cambria Math"/>
              </w:rPr>
              <m:t>Y</m:t>
            </m:r>
          </m:e>
          <m:sub>
            <m:r>
              <w:rPr>
                <w:rFonts w:ascii="Cambria Math" w:hAnsi="Cambria Math"/>
              </w:rPr>
              <m:t>i1</m:t>
            </m:r>
          </m:sub>
        </m:sSub>
      </m:oMath>
      <w:r>
        <w:rPr>
          <w:rFonts w:hint="eastAsia"/>
        </w:rPr>
        <w:t xml:space="preserve"> </w:t>
      </w:r>
      <w:r>
        <w:t>are the corresponding model outputs. Parameters with</w:t>
      </w:r>
      <w:r>
        <w:rPr>
          <w:rFonts w:hint="eastAsia"/>
        </w:rPr>
        <w:t xml:space="preserve"> |RSF|</w:t>
      </w:r>
      <w:r>
        <w:rPr>
          <w:rFonts w:hint="eastAsia"/>
        </w:rPr>
        <w:t>≥</w:t>
      </w:r>
      <w:proofErr w:type="spellStart"/>
      <w:r>
        <w:rPr>
          <w:rFonts w:hint="eastAsia"/>
        </w:rPr>
        <w:t>0.1</w:t>
      </w:r>
      <w:r>
        <w:t>were</w:t>
      </w:r>
      <w:proofErr w:type="spellEnd"/>
      <w:r>
        <w:t xml:space="preserve"> considered sensitive and were prioritized during calibration. The sensitivity analysis results for key parameters are summarized in </w:t>
      </w:r>
      <w:r>
        <w:rPr>
          <w:color w:val="4472C4" w:themeColor="accent1"/>
        </w:rPr>
        <w:t xml:space="preserve">Table </w:t>
      </w:r>
      <w:proofErr w:type="spellStart"/>
      <w:r>
        <w:rPr>
          <w:color w:val="4472C4" w:themeColor="accent1"/>
        </w:rPr>
        <w:t>A6</w:t>
      </w:r>
      <w:proofErr w:type="spellEnd"/>
      <w:r>
        <w:t>.</w:t>
      </w:r>
    </w:p>
    <w:p w14:paraId="389D5D40" w14:textId="77777777" w:rsidR="00AF1BF8" w:rsidRDefault="00000000">
      <w:pPr>
        <w:pStyle w:val="af7"/>
        <w:spacing w:line="360" w:lineRule="auto"/>
        <w:jc w:val="center"/>
        <w:rPr>
          <w:color w:val="4472C4" w:themeColor="accent1"/>
          <w:sz w:val="21"/>
          <w:szCs w:val="21"/>
        </w:rPr>
      </w:pPr>
      <w:r>
        <w:rPr>
          <w:color w:val="4472C4" w:themeColor="accent1"/>
          <w:sz w:val="21"/>
          <w:szCs w:val="21"/>
        </w:rPr>
        <w:t xml:space="preserve">Table </w:t>
      </w:r>
      <w:proofErr w:type="spellStart"/>
      <w:r>
        <w:rPr>
          <w:color w:val="4472C4" w:themeColor="accent1"/>
          <w:sz w:val="21"/>
          <w:szCs w:val="21"/>
        </w:rPr>
        <w:t>A6</w:t>
      </w:r>
      <w:proofErr w:type="spellEnd"/>
      <w:r>
        <w:rPr>
          <w:color w:val="4472C4" w:themeColor="accent1"/>
          <w:sz w:val="21"/>
          <w:szCs w:val="21"/>
        </w:rPr>
        <w:t xml:space="preserve"> </w:t>
      </w:r>
      <w:r>
        <w:rPr>
          <w:color w:val="000000" w:themeColor="text1"/>
          <w:sz w:val="21"/>
          <w:szCs w:val="21"/>
        </w:rPr>
        <w:t>Sensitivity analysis results of key SUMO parameters</w:t>
      </w:r>
      <w:r>
        <w:rPr>
          <w:rFonts w:hint="eastAsia"/>
          <w:color w:val="000000" w:themeColor="text1"/>
          <w:sz w:val="21"/>
          <w:szCs w:val="21"/>
        </w:rPr>
        <w:t>.</w:t>
      </w:r>
    </w:p>
    <w:tbl>
      <w:tblPr>
        <w:tblW w:w="8505" w:type="dxa"/>
        <w:jc w:val="center"/>
        <w:tblBorders>
          <w:top w:val="single" w:sz="12" w:space="0" w:color="auto"/>
          <w:bottom w:val="single" w:sz="12" w:space="0" w:color="auto"/>
        </w:tblBorders>
        <w:tblLook w:val="04A0" w:firstRow="1" w:lastRow="0" w:firstColumn="1" w:lastColumn="0" w:noHBand="0" w:noVBand="1"/>
      </w:tblPr>
      <w:tblGrid>
        <w:gridCol w:w="2127"/>
        <w:gridCol w:w="1559"/>
        <w:gridCol w:w="2268"/>
        <w:gridCol w:w="2551"/>
      </w:tblGrid>
      <w:tr w:rsidR="00AF1BF8" w14:paraId="2CDE9706" w14:textId="77777777">
        <w:trPr>
          <w:trHeight w:val="276"/>
          <w:jc w:val="center"/>
        </w:trPr>
        <w:tc>
          <w:tcPr>
            <w:tcW w:w="2127" w:type="dxa"/>
            <w:tcBorders>
              <w:top w:val="single" w:sz="12" w:space="0" w:color="auto"/>
              <w:bottom w:val="single" w:sz="8" w:space="0" w:color="auto"/>
            </w:tcBorders>
            <w:noWrap/>
            <w:vAlign w:val="center"/>
          </w:tcPr>
          <w:p w14:paraId="080F3CA4" w14:textId="77777777" w:rsidR="00AF1BF8" w:rsidRDefault="00000000">
            <w:pPr>
              <w:pStyle w:val="af7"/>
              <w:jc w:val="center"/>
              <w:rPr>
                <w:sz w:val="21"/>
                <w:szCs w:val="21"/>
              </w:rPr>
            </w:pPr>
            <w:r>
              <w:rPr>
                <w:sz w:val="21"/>
                <w:szCs w:val="21"/>
              </w:rPr>
              <w:t>Parameter</w:t>
            </w:r>
          </w:p>
        </w:tc>
        <w:tc>
          <w:tcPr>
            <w:tcW w:w="1559" w:type="dxa"/>
            <w:tcBorders>
              <w:top w:val="single" w:sz="12" w:space="0" w:color="auto"/>
              <w:bottom w:val="single" w:sz="8" w:space="0" w:color="auto"/>
            </w:tcBorders>
            <w:noWrap/>
            <w:vAlign w:val="center"/>
          </w:tcPr>
          <w:p w14:paraId="4B9611A1" w14:textId="77777777" w:rsidR="00AF1BF8" w:rsidRDefault="00000000">
            <w:pPr>
              <w:pStyle w:val="af7"/>
              <w:jc w:val="center"/>
              <w:rPr>
                <w:sz w:val="21"/>
                <w:szCs w:val="21"/>
              </w:rPr>
            </w:pPr>
            <w:r>
              <w:rPr>
                <w:rFonts w:hint="eastAsia"/>
                <w:sz w:val="21"/>
                <w:szCs w:val="21"/>
              </w:rPr>
              <w:t>Unit</w:t>
            </w:r>
          </w:p>
        </w:tc>
        <w:tc>
          <w:tcPr>
            <w:tcW w:w="2268" w:type="dxa"/>
            <w:tcBorders>
              <w:top w:val="single" w:sz="12" w:space="0" w:color="auto"/>
              <w:bottom w:val="single" w:sz="8" w:space="0" w:color="auto"/>
            </w:tcBorders>
            <w:noWrap/>
            <w:vAlign w:val="center"/>
          </w:tcPr>
          <w:p w14:paraId="572F3437" w14:textId="77777777" w:rsidR="00AF1BF8" w:rsidRDefault="00000000">
            <w:pPr>
              <w:pStyle w:val="af7"/>
              <w:jc w:val="center"/>
              <w:rPr>
                <w:sz w:val="21"/>
                <w:szCs w:val="21"/>
              </w:rPr>
            </w:pPr>
            <w:r>
              <w:rPr>
                <w:sz w:val="21"/>
                <w:szCs w:val="21"/>
              </w:rPr>
              <w:t>|RSF|</w:t>
            </w:r>
          </w:p>
        </w:tc>
        <w:tc>
          <w:tcPr>
            <w:tcW w:w="2551" w:type="dxa"/>
            <w:tcBorders>
              <w:top w:val="single" w:sz="12" w:space="0" w:color="auto"/>
              <w:bottom w:val="single" w:sz="8" w:space="0" w:color="auto"/>
            </w:tcBorders>
            <w:noWrap/>
            <w:vAlign w:val="center"/>
          </w:tcPr>
          <w:p w14:paraId="48F2FCF1" w14:textId="4B5AD7AA" w:rsidR="00AF1BF8" w:rsidRDefault="00E05736">
            <w:pPr>
              <w:pStyle w:val="af7"/>
              <w:jc w:val="center"/>
              <w:rPr>
                <w:sz w:val="21"/>
                <w:szCs w:val="21"/>
              </w:rPr>
            </w:pPr>
            <w:r>
              <w:rPr>
                <w:rFonts w:hint="eastAsia"/>
                <w:sz w:val="21"/>
                <w:szCs w:val="21"/>
              </w:rPr>
              <w:t>I</w:t>
            </w:r>
            <w:r w:rsidRPr="00E05736">
              <w:rPr>
                <w:sz w:val="21"/>
                <w:szCs w:val="21"/>
              </w:rPr>
              <w:t>nfluence factor</w:t>
            </w:r>
          </w:p>
        </w:tc>
      </w:tr>
      <w:tr w:rsidR="00AF1BF8" w14:paraId="08BFEBF7" w14:textId="77777777">
        <w:trPr>
          <w:trHeight w:val="336"/>
          <w:jc w:val="center"/>
        </w:trPr>
        <w:tc>
          <w:tcPr>
            <w:tcW w:w="2127" w:type="dxa"/>
            <w:tcBorders>
              <w:top w:val="single" w:sz="8" w:space="0" w:color="auto"/>
            </w:tcBorders>
            <w:noWrap/>
            <w:vAlign w:val="center"/>
          </w:tcPr>
          <w:p w14:paraId="7254831D" w14:textId="77777777" w:rsidR="00AF1BF8" w:rsidRDefault="00000000">
            <w:pPr>
              <w:pStyle w:val="af7"/>
              <w:jc w:val="center"/>
              <w:rPr>
                <w:sz w:val="21"/>
                <w:szCs w:val="21"/>
              </w:rPr>
            </w:pPr>
            <w:proofErr w:type="spellStart"/>
            <w:r>
              <w:rPr>
                <w:sz w:val="21"/>
                <w:szCs w:val="21"/>
              </w:rPr>
              <w:t>μ</w:t>
            </w:r>
            <w:r>
              <w:rPr>
                <w:sz w:val="21"/>
                <w:szCs w:val="21"/>
                <w:vertAlign w:val="subscript"/>
              </w:rPr>
              <w:t>AOB</w:t>
            </w:r>
            <w:proofErr w:type="spellEnd"/>
          </w:p>
        </w:tc>
        <w:tc>
          <w:tcPr>
            <w:tcW w:w="1559" w:type="dxa"/>
            <w:tcBorders>
              <w:top w:val="single" w:sz="8" w:space="0" w:color="auto"/>
            </w:tcBorders>
            <w:noWrap/>
            <w:vAlign w:val="center"/>
          </w:tcPr>
          <w:p w14:paraId="2F36E9BF" w14:textId="77777777" w:rsidR="00AF1BF8" w:rsidRDefault="00000000">
            <w:pPr>
              <w:pStyle w:val="af7"/>
              <w:jc w:val="center"/>
              <w:rPr>
                <w:sz w:val="21"/>
                <w:szCs w:val="21"/>
              </w:rPr>
            </w:pPr>
            <w:r>
              <w:rPr>
                <w:sz w:val="21"/>
                <w:szCs w:val="21"/>
              </w:rPr>
              <w:t xml:space="preserve">g </w:t>
            </w:r>
            <w:proofErr w:type="spellStart"/>
            <w:r>
              <w:rPr>
                <w:sz w:val="21"/>
                <w:szCs w:val="21"/>
              </w:rPr>
              <w:t>O</w:t>
            </w:r>
            <w:r>
              <w:rPr>
                <w:sz w:val="21"/>
                <w:szCs w:val="21"/>
                <w:vertAlign w:val="subscript"/>
              </w:rPr>
              <w:t>2</w:t>
            </w:r>
            <w:proofErr w:type="spellEnd"/>
            <w:r>
              <w:rPr>
                <w:sz w:val="21"/>
                <w:szCs w:val="21"/>
              </w:rPr>
              <w:t>/m</w:t>
            </w:r>
            <w:r>
              <w:rPr>
                <w:sz w:val="21"/>
                <w:szCs w:val="21"/>
                <w:vertAlign w:val="superscript"/>
              </w:rPr>
              <w:t>3</w:t>
            </w:r>
          </w:p>
        </w:tc>
        <w:tc>
          <w:tcPr>
            <w:tcW w:w="2268" w:type="dxa"/>
            <w:tcBorders>
              <w:top w:val="single" w:sz="8" w:space="0" w:color="auto"/>
            </w:tcBorders>
            <w:noWrap/>
            <w:vAlign w:val="center"/>
          </w:tcPr>
          <w:p w14:paraId="68B201C0" w14:textId="77777777" w:rsidR="00AF1BF8" w:rsidRDefault="00000000">
            <w:pPr>
              <w:pStyle w:val="af7"/>
              <w:jc w:val="center"/>
              <w:rPr>
                <w:sz w:val="21"/>
                <w:szCs w:val="21"/>
              </w:rPr>
            </w:pPr>
            <w:r>
              <w:rPr>
                <w:sz w:val="21"/>
                <w:szCs w:val="21"/>
              </w:rPr>
              <w:t>0.16, 0.71, 1.43</w:t>
            </w:r>
          </w:p>
        </w:tc>
        <w:tc>
          <w:tcPr>
            <w:tcW w:w="2551" w:type="dxa"/>
            <w:tcBorders>
              <w:top w:val="single" w:sz="8" w:space="0" w:color="auto"/>
            </w:tcBorders>
            <w:noWrap/>
            <w:vAlign w:val="center"/>
          </w:tcPr>
          <w:p w14:paraId="0FFA19E4" w14:textId="77777777" w:rsidR="00AF1BF8" w:rsidRDefault="00000000">
            <w:pPr>
              <w:pStyle w:val="af7"/>
              <w:jc w:val="center"/>
              <w:rPr>
                <w:sz w:val="21"/>
                <w:szCs w:val="21"/>
              </w:rPr>
            </w:pPr>
            <w:r>
              <w:rPr>
                <w:sz w:val="21"/>
                <w:szCs w:val="21"/>
              </w:rPr>
              <w:t xml:space="preserve">TN, TP, </w:t>
            </w:r>
            <m:oMath>
              <m:sSubSup>
                <m:sSubSupPr>
                  <m:ctrlPr>
                    <w:rPr>
                      <w:rFonts w:ascii="Cambria Math" w:hAnsi="Cambria Math"/>
                      <w:sz w:val="21"/>
                      <w:szCs w:val="21"/>
                    </w:rPr>
                  </m:ctrlPr>
                </m:sSubSupPr>
                <m:e>
                  <m:r>
                    <m:rPr>
                      <m:nor/>
                    </m:rPr>
                    <w:rPr>
                      <w:sz w:val="21"/>
                      <w:szCs w:val="21"/>
                    </w:rPr>
                    <m:t>NH</m:t>
                  </m:r>
                </m:e>
                <m:sub>
                  <m:r>
                    <m:rPr>
                      <m:nor/>
                    </m:rPr>
                    <w:rPr>
                      <w:sz w:val="21"/>
                      <w:szCs w:val="21"/>
                    </w:rPr>
                    <m:t>4</m:t>
                  </m:r>
                </m:sub>
                <m:sup>
                  <m:r>
                    <m:rPr>
                      <m:nor/>
                    </m:rPr>
                    <w:rPr>
                      <w:sz w:val="21"/>
                      <w:szCs w:val="21"/>
                    </w:rPr>
                    <m:t>+</m:t>
                  </m:r>
                </m:sup>
              </m:sSubSup>
            </m:oMath>
            <w:r>
              <w:rPr>
                <w:rFonts w:hint="eastAsia"/>
                <w:sz w:val="21"/>
                <w:szCs w:val="21"/>
              </w:rPr>
              <w:t>-N</w:t>
            </w:r>
          </w:p>
        </w:tc>
      </w:tr>
      <w:tr w:rsidR="00AF1BF8" w14:paraId="639BDF62" w14:textId="77777777">
        <w:trPr>
          <w:trHeight w:val="336"/>
          <w:jc w:val="center"/>
        </w:trPr>
        <w:tc>
          <w:tcPr>
            <w:tcW w:w="2127" w:type="dxa"/>
            <w:noWrap/>
            <w:vAlign w:val="center"/>
          </w:tcPr>
          <w:p w14:paraId="45CC15AF" w14:textId="77777777" w:rsidR="00AF1BF8" w:rsidRDefault="00000000">
            <w:pPr>
              <w:pStyle w:val="af7"/>
              <w:jc w:val="center"/>
              <w:rPr>
                <w:sz w:val="21"/>
                <w:szCs w:val="21"/>
              </w:rPr>
            </w:pPr>
            <w:proofErr w:type="spellStart"/>
            <w:r>
              <w:rPr>
                <w:sz w:val="21"/>
                <w:szCs w:val="21"/>
              </w:rPr>
              <w:t>K</w:t>
            </w:r>
            <w:r>
              <w:rPr>
                <w:sz w:val="21"/>
                <w:szCs w:val="21"/>
                <w:vertAlign w:val="subscript"/>
              </w:rPr>
              <w:t>O</w:t>
            </w:r>
            <w:proofErr w:type="gramStart"/>
            <w:r>
              <w:rPr>
                <w:sz w:val="21"/>
                <w:szCs w:val="21"/>
                <w:vertAlign w:val="subscript"/>
              </w:rPr>
              <w:t>2,AOB</w:t>
            </w:r>
            <w:proofErr w:type="spellEnd"/>
            <w:proofErr w:type="gramEnd"/>
          </w:p>
        </w:tc>
        <w:tc>
          <w:tcPr>
            <w:tcW w:w="1559" w:type="dxa"/>
            <w:noWrap/>
            <w:vAlign w:val="center"/>
          </w:tcPr>
          <w:p w14:paraId="4168A1D5" w14:textId="77777777" w:rsidR="00AF1BF8" w:rsidRDefault="00000000">
            <w:pPr>
              <w:pStyle w:val="af7"/>
              <w:jc w:val="center"/>
              <w:rPr>
                <w:sz w:val="21"/>
                <w:szCs w:val="21"/>
              </w:rPr>
            </w:pPr>
            <w:r>
              <w:rPr>
                <w:sz w:val="21"/>
                <w:szCs w:val="21"/>
              </w:rPr>
              <w:t xml:space="preserve">g </w:t>
            </w:r>
            <w:proofErr w:type="spellStart"/>
            <w:r>
              <w:rPr>
                <w:sz w:val="21"/>
                <w:szCs w:val="21"/>
              </w:rPr>
              <w:t>O</w:t>
            </w:r>
            <w:r>
              <w:rPr>
                <w:sz w:val="21"/>
                <w:szCs w:val="21"/>
                <w:vertAlign w:val="subscript"/>
              </w:rPr>
              <w:t>2</w:t>
            </w:r>
            <w:proofErr w:type="spellEnd"/>
            <w:r>
              <w:rPr>
                <w:sz w:val="21"/>
                <w:szCs w:val="21"/>
              </w:rPr>
              <w:t>/m</w:t>
            </w:r>
            <w:r>
              <w:rPr>
                <w:sz w:val="21"/>
                <w:szCs w:val="21"/>
                <w:vertAlign w:val="superscript"/>
              </w:rPr>
              <w:t>3</w:t>
            </w:r>
          </w:p>
        </w:tc>
        <w:tc>
          <w:tcPr>
            <w:tcW w:w="2268" w:type="dxa"/>
            <w:noWrap/>
            <w:vAlign w:val="center"/>
          </w:tcPr>
          <w:p w14:paraId="66153840" w14:textId="77777777" w:rsidR="00AF1BF8" w:rsidRDefault="00000000">
            <w:pPr>
              <w:pStyle w:val="af7"/>
              <w:jc w:val="center"/>
              <w:rPr>
                <w:sz w:val="21"/>
                <w:szCs w:val="21"/>
              </w:rPr>
            </w:pPr>
            <w:r>
              <w:rPr>
                <w:sz w:val="21"/>
                <w:szCs w:val="21"/>
              </w:rPr>
              <w:t>0.48</w:t>
            </w:r>
          </w:p>
        </w:tc>
        <w:tc>
          <w:tcPr>
            <w:tcW w:w="2551" w:type="dxa"/>
            <w:noWrap/>
            <w:vAlign w:val="center"/>
          </w:tcPr>
          <w:p w14:paraId="571BE137" w14:textId="77777777" w:rsidR="00AF1BF8" w:rsidRDefault="00000000">
            <w:pPr>
              <w:pStyle w:val="af7"/>
              <w:jc w:val="center"/>
              <w:rPr>
                <w:sz w:val="21"/>
                <w:szCs w:val="21"/>
              </w:rPr>
            </w:pPr>
            <m:oMath>
              <m:sSubSup>
                <m:sSubSupPr>
                  <m:ctrlPr>
                    <w:rPr>
                      <w:rFonts w:ascii="Cambria Math" w:hAnsi="Cambria Math"/>
                      <w:sz w:val="21"/>
                      <w:szCs w:val="21"/>
                    </w:rPr>
                  </m:ctrlPr>
                </m:sSubSupPr>
                <m:e>
                  <m:r>
                    <m:rPr>
                      <m:nor/>
                    </m:rPr>
                    <w:rPr>
                      <w:sz w:val="21"/>
                      <w:szCs w:val="21"/>
                    </w:rPr>
                    <m:t>NH</m:t>
                  </m:r>
                </m:e>
                <m:sub>
                  <m:r>
                    <m:rPr>
                      <m:nor/>
                    </m:rPr>
                    <w:rPr>
                      <w:sz w:val="21"/>
                      <w:szCs w:val="21"/>
                    </w:rPr>
                    <m:t>4</m:t>
                  </m:r>
                </m:sub>
                <m:sup>
                  <m:r>
                    <m:rPr>
                      <m:nor/>
                    </m:rPr>
                    <w:rPr>
                      <w:sz w:val="21"/>
                      <w:szCs w:val="21"/>
                    </w:rPr>
                    <m:t>+</m:t>
                  </m:r>
                </m:sup>
              </m:sSubSup>
            </m:oMath>
            <w:r>
              <w:rPr>
                <w:rFonts w:hint="eastAsia"/>
                <w:sz w:val="21"/>
                <w:szCs w:val="21"/>
              </w:rPr>
              <w:t>-N</w:t>
            </w:r>
          </w:p>
        </w:tc>
      </w:tr>
      <w:tr w:rsidR="00AF1BF8" w14:paraId="3A85E102" w14:textId="77777777">
        <w:trPr>
          <w:trHeight w:val="336"/>
          <w:jc w:val="center"/>
        </w:trPr>
        <w:tc>
          <w:tcPr>
            <w:tcW w:w="2127" w:type="dxa"/>
            <w:noWrap/>
            <w:vAlign w:val="center"/>
          </w:tcPr>
          <w:p w14:paraId="6DD59BB9" w14:textId="77777777" w:rsidR="00AF1BF8" w:rsidRDefault="00000000">
            <w:pPr>
              <w:pStyle w:val="af7"/>
              <w:jc w:val="center"/>
              <w:rPr>
                <w:sz w:val="21"/>
                <w:szCs w:val="21"/>
              </w:rPr>
            </w:pPr>
            <w:proofErr w:type="spellStart"/>
            <w:r>
              <w:rPr>
                <w:sz w:val="21"/>
                <w:szCs w:val="21"/>
              </w:rPr>
              <w:t>K</w:t>
            </w:r>
            <w:r>
              <w:rPr>
                <w:sz w:val="21"/>
                <w:szCs w:val="21"/>
                <w:vertAlign w:val="subscript"/>
              </w:rPr>
              <w:t>O</w:t>
            </w:r>
            <w:proofErr w:type="gramStart"/>
            <w:r>
              <w:rPr>
                <w:sz w:val="21"/>
                <w:szCs w:val="21"/>
                <w:vertAlign w:val="subscript"/>
              </w:rPr>
              <w:t>2,NHx</w:t>
            </w:r>
            <w:proofErr w:type="gramEnd"/>
            <w:r>
              <w:rPr>
                <w:sz w:val="21"/>
                <w:szCs w:val="21"/>
                <w:vertAlign w:val="subscript"/>
              </w:rPr>
              <w:t>,AOB</w:t>
            </w:r>
            <w:proofErr w:type="spellEnd"/>
          </w:p>
        </w:tc>
        <w:tc>
          <w:tcPr>
            <w:tcW w:w="1559" w:type="dxa"/>
            <w:noWrap/>
            <w:vAlign w:val="center"/>
          </w:tcPr>
          <w:p w14:paraId="36C40257" w14:textId="77777777" w:rsidR="00AF1BF8" w:rsidRDefault="00000000">
            <w:pPr>
              <w:pStyle w:val="af7"/>
              <w:jc w:val="center"/>
              <w:rPr>
                <w:sz w:val="21"/>
                <w:szCs w:val="21"/>
              </w:rPr>
            </w:pPr>
            <w:r>
              <w:rPr>
                <w:sz w:val="21"/>
                <w:szCs w:val="21"/>
              </w:rPr>
              <w:t xml:space="preserve">g </w:t>
            </w:r>
            <w:proofErr w:type="spellStart"/>
            <w:r>
              <w:rPr>
                <w:sz w:val="21"/>
                <w:szCs w:val="21"/>
              </w:rPr>
              <w:t>O</w:t>
            </w:r>
            <w:r>
              <w:rPr>
                <w:sz w:val="21"/>
                <w:szCs w:val="21"/>
                <w:vertAlign w:val="subscript"/>
              </w:rPr>
              <w:t>2</w:t>
            </w:r>
            <w:proofErr w:type="spellEnd"/>
            <w:r>
              <w:rPr>
                <w:sz w:val="21"/>
                <w:szCs w:val="21"/>
              </w:rPr>
              <w:t>/m</w:t>
            </w:r>
            <w:r>
              <w:rPr>
                <w:sz w:val="21"/>
                <w:szCs w:val="21"/>
                <w:vertAlign w:val="superscript"/>
              </w:rPr>
              <w:t>3</w:t>
            </w:r>
          </w:p>
        </w:tc>
        <w:tc>
          <w:tcPr>
            <w:tcW w:w="2268" w:type="dxa"/>
            <w:noWrap/>
            <w:vAlign w:val="center"/>
          </w:tcPr>
          <w:p w14:paraId="189AA072" w14:textId="77777777" w:rsidR="00AF1BF8" w:rsidRDefault="00000000">
            <w:pPr>
              <w:pStyle w:val="af7"/>
              <w:jc w:val="center"/>
              <w:rPr>
                <w:sz w:val="21"/>
                <w:szCs w:val="21"/>
              </w:rPr>
            </w:pPr>
            <w:r>
              <w:rPr>
                <w:sz w:val="21"/>
                <w:szCs w:val="21"/>
              </w:rPr>
              <w:t>0.71</w:t>
            </w:r>
          </w:p>
        </w:tc>
        <w:tc>
          <w:tcPr>
            <w:tcW w:w="2551" w:type="dxa"/>
            <w:noWrap/>
            <w:vAlign w:val="center"/>
          </w:tcPr>
          <w:p w14:paraId="7F09EAE9" w14:textId="77777777" w:rsidR="00AF1BF8" w:rsidRDefault="00000000">
            <w:pPr>
              <w:pStyle w:val="af7"/>
              <w:jc w:val="center"/>
              <w:rPr>
                <w:sz w:val="21"/>
                <w:szCs w:val="21"/>
              </w:rPr>
            </w:pPr>
            <w:r>
              <w:rPr>
                <w:sz w:val="21"/>
                <w:szCs w:val="21"/>
              </w:rPr>
              <w:t>TP</w:t>
            </w:r>
          </w:p>
        </w:tc>
      </w:tr>
      <w:tr w:rsidR="00AF1BF8" w14:paraId="5149220D" w14:textId="77777777">
        <w:trPr>
          <w:trHeight w:val="336"/>
          <w:jc w:val="center"/>
        </w:trPr>
        <w:tc>
          <w:tcPr>
            <w:tcW w:w="2127" w:type="dxa"/>
            <w:noWrap/>
            <w:vAlign w:val="center"/>
          </w:tcPr>
          <w:p w14:paraId="3D15E703" w14:textId="77777777" w:rsidR="00AF1BF8" w:rsidRDefault="00000000">
            <w:pPr>
              <w:pStyle w:val="af7"/>
              <w:jc w:val="center"/>
              <w:rPr>
                <w:sz w:val="21"/>
                <w:szCs w:val="21"/>
              </w:rPr>
            </w:pPr>
            <w:proofErr w:type="spellStart"/>
            <w:proofErr w:type="gramStart"/>
            <w:r>
              <w:rPr>
                <w:sz w:val="21"/>
                <w:szCs w:val="21"/>
              </w:rPr>
              <w:t>K</w:t>
            </w:r>
            <w:r>
              <w:rPr>
                <w:sz w:val="21"/>
                <w:szCs w:val="21"/>
                <w:vertAlign w:val="subscript"/>
              </w:rPr>
              <w:t>NHx,NH</w:t>
            </w:r>
            <w:proofErr w:type="gramEnd"/>
            <w:r>
              <w:rPr>
                <w:sz w:val="21"/>
                <w:szCs w:val="21"/>
                <w:vertAlign w:val="subscript"/>
              </w:rPr>
              <w:t>2</w:t>
            </w:r>
            <w:proofErr w:type="gramStart"/>
            <w:r>
              <w:rPr>
                <w:sz w:val="21"/>
                <w:szCs w:val="21"/>
                <w:vertAlign w:val="subscript"/>
              </w:rPr>
              <w:t>OH,AOB</w:t>
            </w:r>
            <w:proofErr w:type="spellEnd"/>
            <w:proofErr w:type="gramEnd"/>
          </w:p>
        </w:tc>
        <w:tc>
          <w:tcPr>
            <w:tcW w:w="1559" w:type="dxa"/>
            <w:noWrap/>
            <w:vAlign w:val="center"/>
          </w:tcPr>
          <w:p w14:paraId="0C4C3D67" w14:textId="77777777" w:rsidR="00AF1BF8" w:rsidRDefault="00000000">
            <w:pPr>
              <w:pStyle w:val="af7"/>
              <w:jc w:val="center"/>
              <w:rPr>
                <w:sz w:val="21"/>
                <w:szCs w:val="21"/>
              </w:rPr>
            </w:pPr>
            <w:r>
              <w:rPr>
                <w:sz w:val="21"/>
                <w:szCs w:val="21"/>
              </w:rPr>
              <w:t>g N/m</w:t>
            </w:r>
            <w:r>
              <w:rPr>
                <w:sz w:val="21"/>
                <w:szCs w:val="21"/>
                <w:vertAlign w:val="superscript"/>
              </w:rPr>
              <w:t>3</w:t>
            </w:r>
          </w:p>
        </w:tc>
        <w:tc>
          <w:tcPr>
            <w:tcW w:w="2268" w:type="dxa"/>
            <w:noWrap/>
            <w:vAlign w:val="center"/>
          </w:tcPr>
          <w:p w14:paraId="63DC4DB1" w14:textId="77777777" w:rsidR="00AF1BF8" w:rsidRDefault="00000000">
            <w:pPr>
              <w:pStyle w:val="af7"/>
              <w:jc w:val="center"/>
              <w:rPr>
                <w:sz w:val="21"/>
                <w:szCs w:val="21"/>
              </w:rPr>
            </w:pPr>
            <w:r>
              <w:rPr>
                <w:sz w:val="21"/>
                <w:szCs w:val="21"/>
              </w:rPr>
              <w:t>0.71, 0.48</w:t>
            </w:r>
          </w:p>
        </w:tc>
        <w:tc>
          <w:tcPr>
            <w:tcW w:w="2551" w:type="dxa"/>
            <w:noWrap/>
            <w:vAlign w:val="center"/>
          </w:tcPr>
          <w:p w14:paraId="159D5EC3" w14:textId="77777777" w:rsidR="00AF1BF8" w:rsidRDefault="00000000">
            <w:pPr>
              <w:pStyle w:val="af7"/>
              <w:jc w:val="center"/>
              <w:rPr>
                <w:sz w:val="21"/>
                <w:szCs w:val="21"/>
              </w:rPr>
            </w:pPr>
            <w:r>
              <w:rPr>
                <w:sz w:val="21"/>
                <w:szCs w:val="21"/>
              </w:rPr>
              <w:t xml:space="preserve">TP, </w:t>
            </w:r>
            <m:oMath>
              <m:sSubSup>
                <m:sSubSupPr>
                  <m:ctrlPr>
                    <w:rPr>
                      <w:rFonts w:ascii="Cambria Math" w:hAnsi="Cambria Math"/>
                      <w:sz w:val="21"/>
                      <w:szCs w:val="21"/>
                    </w:rPr>
                  </m:ctrlPr>
                </m:sSubSupPr>
                <m:e>
                  <m:r>
                    <m:rPr>
                      <m:nor/>
                    </m:rPr>
                    <w:rPr>
                      <w:sz w:val="21"/>
                      <w:szCs w:val="21"/>
                    </w:rPr>
                    <m:t>NH</m:t>
                  </m:r>
                </m:e>
                <m:sub>
                  <m:r>
                    <m:rPr>
                      <m:nor/>
                    </m:rPr>
                    <w:rPr>
                      <w:sz w:val="21"/>
                      <w:szCs w:val="21"/>
                    </w:rPr>
                    <m:t>4</m:t>
                  </m:r>
                </m:sub>
                <m:sup>
                  <m:r>
                    <m:rPr>
                      <m:nor/>
                    </m:rPr>
                    <w:rPr>
                      <w:sz w:val="21"/>
                      <w:szCs w:val="21"/>
                    </w:rPr>
                    <m:t>+</m:t>
                  </m:r>
                </m:sup>
              </m:sSubSup>
            </m:oMath>
            <w:r>
              <w:rPr>
                <w:rFonts w:hint="eastAsia"/>
                <w:sz w:val="21"/>
                <w:szCs w:val="21"/>
              </w:rPr>
              <w:t>-N</w:t>
            </w:r>
          </w:p>
        </w:tc>
      </w:tr>
      <w:tr w:rsidR="00AF1BF8" w14:paraId="1DACB23D" w14:textId="77777777">
        <w:trPr>
          <w:trHeight w:val="276"/>
          <w:jc w:val="center"/>
        </w:trPr>
        <w:tc>
          <w:tcPr>
            <w:tcW w:w="2127" w:type="dxa"/>
            <w:noWrap/>
            <w:vAlign w:val="center"/>
          </w:tcPr>
          <w:p w14:paraId="7DAC23F0" w14:textId="77777777" w:rsidR="00AF1BF8" w:rsidRDefault="00000000">
            <w:pPr>
              <w:pStyle w:val="af7"/>
              <w:jc w:val="center"/>
              <w:rPr>
                <w:sz w:val="21"/>
                <w:szCs w:val="21"/>
              </w:rPr>
            </w:pPr>
            <w:proofErr w:type="spellStart"/>
            <w:r>
              <w:rPr>
                <w:sz w:val="21"/>
                <w:szCs w:val="21"/>
              </w:rPr>
              <w:t>μ</w:t>
            </w:r>
            <w:r>
              <w:rPr>
                <w:sz w:val="21"/>
                <w:szCs w:val="21"/>
                <w:vertAlign w:val="subscript"/>
              </w:rPr>
              <w:t>NOB</w:t>
            </w:r>
            <w:proofErr w:type="spellEnd"/>
          </w:p>
        </w:tc>
        <w:tc>
          <w:tcPr>
            <w:tcW w:w="1559" w:type="dxa"/>
            <w:noWrap/>
            <w:vAlign w:val="center"/>
          </w:tcPr>
          <w:p w14:paraId="4FEB9883" w14:textId="77777777" w:rsidR="00AF1BF8" w:rsidRDefault="00000000">
            <w:pPr>
              <w:pStyle w:val="af7"/>
              <w:jc w:val="center"/>
              <w:rPr>
                <w:sz w:val="21"/>
                <w:szCs w:val="21"/>
              </w:rPr>
            </w:pPr>
            <w:r>
              <w:rPr>
                <w:sz w:val="21"/>
                <w:szCs w:val="21"/>
              </w:rPr>
              <w:t>1/d</w:t>
            </w:r>
          </w:p>
        </w:tc>
        <w:tc>
          <w:tcPr>
            <w:tcW w:w="2268" w:type="dxa"/>
            <w:noWrap/>
            <w:vAlign w:val="center"/>
          </w:tcPr>
          <w:p w14:paraId="1C46A9D7" w14:textId="77777777" w:rsidR="00AF1BF8" w:rsidRDefault="00000000">
            <w:pPr>
              <w:pStyle w:val="af7"/>
              <w:jc w:val="center"/>
              <w:rPr>
                <w:sz w:val="21"/>
                <w:szCs w:val="21"/>
              </w:rPr>
            </w:pPr>
            <w:r>
              <w:rPr>
                <w:sz w:val="21"/>
                <w:szCs w:val="21"/>
              </w:rPr>
              <w:t>0.24</w:t>
            </w:r>
          </w:p>
        </w:tc>
        <w:tc>
          <w:tcPr>
            <w:tcW w:w="2551" w:type="dxa"/>
            <w:noWrap/>
            <w:vAlign w:val="center"/>
          </w:tcPr>
          <w:p w14:paraId="5DEE652F" w14:textId="77777777" w:rsidR="00AF1BF8" w:rsidRDefault="00000000">
            <w:pPr>
              <w:pStyle w:val="af7"/>
              <w:jc w:val="center"/>
              <w:rPr>
                <w:sz w:val="21"/>
                <w:szCs w:val="21"/>
              </w:rPr>
            </w:pPr>
            <w:r>
              <w:rPr>
                <w:sz w:val="21"/>
                <w:szCs w:val="21"/>
              </w:rPr>
              <w:t>TN</w:t>
            </w:r>
          </w:p>
        </w:tc>
      </w:tr>
      <w:tr w:rsidR="00AF1BF8" w14:paraId="4A456146" w14:textId="77777777">
        <w:trPr>
          <w:trHeight w:val="336"/>
          <w:jc w:val="center"/>
        </w:trPr>
        <w:tc>
          <w:tcPr>
            <w:tcW w:w="2127" w:type="dxa"/>
            <w:noWrap/>
            <w:vAlign w:val="center"/>
          </w:tcPr>
          <w:p w14:paraId="053E92CC" w14:textId="77777777" w:rsidR="00AF1BF8" w:rsidRDefault="00000000">
            <w:pPr>
              <w:pStyle w:val="af7"/>
              <w:jc w:val="center"/>
              <w:rPr>
                <w:sz w:val="21"/>
                <w:szCs w:val="21"/>
              </w:rPr>
            </w:pPr>
            <w:r>
              <w:rPr>
                <w:sz w:val="21"/>
                <w:szCs w:val="21"/>
              </w:rPr>
              <w:t>K</w:t>
            </w:r>
            <w:r>
              <w:rPr>
                <w:sz w:val="21"/>
                <w:szCs w:val="21"/>
                <w:vertAlign w:val="subscript"/>
              </w:rPr>
              <w:t>SB</w:t>
            </w:r>
          </w:p>
        </w:tc>
        <w:tc>
          <w:tcPr>
            <w:tcW w:w="1559" w:type="dxa"/>
            <w:noWrap/>
            <w:vAlign w:val="center"/>
          </w:tcPr>
          <w:p w14:paraId="4C925E45" w14:textId="77777777" w:rsidR="00AF1BF8" w:rsidRDefault="00000000">
            <w:pPr>
              <w:pStyle w:val="af7"/>
              <w:jc w:val="center"/>
              <w:rPr>
                <w:sz w:val="21"/>
                <w:szCs w:val="21"/>
              </w:rPr>
            </w:pPr>
            <w:r>
              <w:rPr>
                <w:sz w:val="21"/>
                <w:szCs w:val="21"/>
              </w:rPr>
              <w:t>g COD/m</w:t>
            </w:r>
            <w:r>
              <w:rPr>
                <w:sz w:val="21"/>
                <w:szCs w:val="21"/>
                <w:vertAlign w:val="superscript"/>
              </w:rPr>
              <w:t>3</w:t>
            </w:r>
          </w:p>
        </w:tc>
        <w:tc>
          <w:tcPr>
            <w:tcW w:w="2268" w:type="dxa"/>
            <w:noWrap/>
            <w:vAlign w:val="center"/>
          </w:tcPr>
          <w:p w14:paraId="263765D1" w14:textId="77777777" w:rsidR="00AF1BF8" w:rsidRDefault="00000000">
            <w:pPr>
              <w:pStyle w:val="af7"/>
              <w:jc w:val="center"/>
              <w:rPr>
                <w:sz w:val="21"/>
                <w:szCs w:val="21"/>
              </w:rPr>
            </w:pPr>
            <w:r>
              <w:rPr>
                <w:sz w:val="21"/>
                <w:szCs w:val="21"/>
              </w:rPr>
              <w:t>0.15, 0.71, 0.48</w:t>
            </w:r>
          </w:p>
        </w:tc>
        <w:tc>
          <w:tcPr>
            <w:tcW w:w="2551" w:type="dxa"/>
            <w:noWrap/>
            <w:vAlign w:val="center"/>
          </w:tcPr>
          <w:p w14:paraId="3649DA38" w14:textId="77777777" w:rsidR="00AF1BF8" w:rsidRDefault="00000000">
            <w:pPr>
              <w:pStyle w:val="af7"/>
              <w:jc w:val="center"/>
              <w:rPr>
                <w:sz w:val="21"/>
                <w:szCs w:val="21"/>
              </w:rPr>
            </w:pPr>
            <w:r>
              <w:rPr>
                <w:sz w:val="21"/>
                <w:szCs w:val="21"/>
              </w:rPr>
              <w:t xml:space="preserve">TN, TP, </w:t>
            </w:r>
            <m:oMath>
              <m:sSubSup>
                <m:sSubSupPr>
                  <m:ctrlPr>
                    <w:rPr>
                      <w:rFonts w:ascii="Cambria Math" w:hAnsi="Cambria Math"/>
                      <w:sz w:val="21"/>
                      <w:szCs w:val="21"/>
                    </w:rPr>
                  </m:ctrlPr>
                </m:sSubSupPr>
                <m:e>
                  <m:r>
                    <m:rPr>
                      <m:nor/>
                    </m:rPr>
                    <w:rPr>
                      <w:sz w:val="21"/>
                      <w:szCs w:val="21"/>
                    </w:rPr>
                    <m:t>NH</m:t>
                  </m:r>
                </m:e>
                <m:sub>
                  <m:r>
                    <m:rPr>
                      <m:nor/>
                    </m:rPr>
                    <w:rPr>
                      <w:sz w:val="21"/>
                      <w:szCs w:val="21"/>
                    </w:rPr>
                    <m:t>4</m:t>
                  </m:r>
                </m:sub>
                <m:sup>
                  <m:r>
                    <m:rPr>
                      <m:nor/>
                    </m:rPr>
                    <w:rPr>
                      <w:sz w:val="21"/>
                      <w:szCs w:val="21"/>
                    </w:rPr>
                    <m:t>+</m:t>
                  </m:r>
                </m:sup>
              </m:sSubSup>
            </m:oMath>
            <w:r>
              <w:rPr>
                <w:rFonts w:hint="eastAsia"/>
                <w:sz w:val="21"/>
                <w:szCs w:val="21"/>
              </w:rPr>
              <w:t>-N</w:t>
            </w:r>
          </w:p>
        </w:tc>
      </w:tr>
      <w:tr w:rsidR="00AF1BF8" w14:paraId="057B5223" w14:textId="77777777">
        <w:trPr>
          <w:trHeight w:val="336"/>
          <w:jc w:val="center"/>
        </w:trPr>
        <w:tc>
          <w:tcPr>
            <w:tcW w:w="2127" w:type="dxa"/>
            <w:noWrap/>
            <w:vAlign w:val="center"/>
          </w:tcPr>
          <w:p w14:paraId="62B1867B" w14:textId="77777777" w:rsidR="00AF1BF8" w:rsidRDefault="00000000">
            <w:pPr>
              <w:pStyle w:val="af7"/>
              <w:jc w:val="center"/>
              <w:rPr>
                <w:sz w:val="21"/>
                <w:szCs w:val="21"/>
              </w:rPr>
            </w:pPr>
            <w:proofErr w:type="spellStart"/>
            <w:proofErr w:type="gramStart"/>
            <w:r>
              <w:rPr>
                <w:sz w:val="21"/>
                <w:szCs w:val="21"/>
              </w:rPr>
              <w:t>K</w:t>
            </w:r>
            <w:r>
              <w:rPr>
                <w:sz w:val="21"/>
                <w:szCs w:val="21"/>
                <w:vertAlign w:val="subscript"/>
              </w:rPr>
              <w:t>SB,NO</w:t>
            </w:r>
            <w:proofErr w:type="spellEnd"/>
            <w:proofErr w:type="gramEnd"/>
          </w:p>
        </w:tc>
        <w:tc>
          <w:tcPr>
            <w:tcW w:w="1559" w:type="dxa"/>
            <w:noWrap/>
            <w:vAlign w:val="center"/>
          </w:tcPr>
          <w:p w14:paraId="4F810489" w14:textId="77777777" w:rsidR="00AF1BF8" w:rsidRDefault="00000000">
            <w:pPr>
              <w:pStyle w:val="af7"/>
              <w:jc w:val="center"/>
              <w:rPr>
                <w:sz w:val="21"/>
                <w:szCs w:val="21"/>
              </w:rPr>
            </w:pPr>
            <w:r>
              <w:rPr>
                <w:sz w:val="21"/>
                <w:szCs w:val="21"/>
              </w:rPr>
              <w:t>g COD/m</w:t>
            </w:r>
            <w:r>
              <w:rPr>
                <w:sz w:val="21"/>
                <w:szCs w:val="21"/>
                <w:vertAlign w:val="superscript"/>
              </w:rPr>
              <w:t>3</w:t>
            </w:r>
          </w:p>
        </w:tc>
        <w:tc>
          <w:tcPr>
            <w:tcW w:w="2268" w:type="dxa"/>
            <w:noWrap/>
            <w:vAlign w:val="center"/>
          </w:tcPr>
          <w:p w14:paraId="2397CC2B" w14:textId="77777777" w:rsidR="00AF1BF8" w:rsidRDefault="00000000">
            <w:pPr>
              <w:pStyle w:val="af7"/>
              <w:jc w:val="center"/>
              <w:rPr>
                <w:sz w:val="21"/>
                <w:szCs w:val="21"/>
              </w:rPr>
            </w:pPr>
            <w:r>
              <w:rPr>
                <w:sz w:val="21"/>
                <w:szCs w:val="21"/>
              </w:rPr>
              <w:t>0.71</w:t>
            </w:r>
          </w:p>
        </w:tc>
        <w:tc>
          <w:tcPr>
            <w:tcW w:w="2551" w:type="dxa"/>
            <w:noWrap/>
            <w:vAlign w:val="center"/>
          </w:tcPr>
          <w:p w14:paraId="118063A4" w14:textId="77777777" w:rsidR="00AF1BF8" w:rsidRDefault="00000000">
            <w:pPr>
              <w:pStyle w:val="af7"/>
              <w:jc w:val="center"/>
              <w:rPr>
                <w:sz w:val="21"/>
                <w:szCs w:val="21"/>
              </w:rPr>
            </w:pPr>
            <w:r>
              <w:rPr>
                <w:sz w:val="21"/>
                <w:szCs w:val="21"/>
              </w:rPr>
              <w:t>TP</w:t>
            </w:r>
          </w:p>
        </w:tc>
      </w:tr>
      <w:tr w:rsidR="00AF1BF8" w14:paraId="7898BAF7" w14:textId="77777777">
        <w:trPr>
          <w:trHeight w:val="336"/>
          <w:jc w:val="center"/>
        </w:trPr>
        <w:tc>
          <w:tcPr>
            <w:tcW w:w="2127" w:type="dxa"/>
            <w:noWrap/>
            <w:vAlign w:val="center"/>
          </w:tcPr>
          <w:p w14:paraId="670ACE19" w14:textId="77777777" w:rsidR="00AF1BF8" w:rsidRDefault="00000000">
            <w:pPr>
              <w:pStyle w:val="af7"/>
              <w:jc w:val="center"/>
              <w:rPr>
                <w:sz w:val="21"/>
                <w:szCs w:val="21"/>
              </w:rPr>
            </w:pPr>
            <w:proofErr w:type="spellStart"/>
            <w:proofErr w:type="gramStart"/>
            <w:r>
              <w:rPr>
                <w:sz w:val="21"/>
                <w:szCs w:val="21"/>
              </w:rPr>
              <w:t>K</w:t>
            </w:r>
            <w:r>
              <w:rPr>
                <w:sz w:val="21"/>
                <w:szCs w:val="21"/>
                <w:vertAlign w:val="subscript"/>
              </w:rPr>
              <w:t>SB,NO</w:t>
            </w:r>
            <w:proofErr w:type="gramEnd"/>
            <w:r>
              <w:rPr>
                <w:sz w:val="21"/>
                <w:szCs w:val="21"/>
                <w:vertAlign w:val="subscript"/>
              </w:rPr>
              <w:t>2</w:t>
            </w:r>
            <w:proofErr w:type="spellEnd"/>
          </w:p>
        </w:tc>
        <w:tc>
          <w:tcPr>
            <w:tcW w:w="1559" w:type="dxa"/>
            <w:noWrap/>
            <w:vAlign w:val="center"/>
          </w:tcPr>
          <w:p w14:paraId="24917691" w14:textId="77777777" w:rsidR="00AF1BF8" w:rsidRDefault="00000000">
            <w:pPr>
              <w:pStyle w:val="af7"/>
              <w:jc w:val="center"/>
              <w:rPr>
                <w:sz w:val="21"/>
                <w:szCs w:val="21"/>
              </w:rPr>
            </w:pPr>
            <w:r>
              <w:rPr>
                <w:sz w:val="21"/>
                <w:szCs w:val="21"/>
              </w:rPr>
              <w:t>g COD/m</w:t>
            </w:r>
            <w:r>
              <w:rPr>
                <w:sz w:val="21"/>
                <w:szCs w:val="21"/>
                <w:vertAlign w:val="superscript"/>
              </w:rPr>
              <w:t>3</w:t>
            </w:r>
          </w:p>
        </w:tc>
        <w:tc>
          <w:tcPr>
            <w:tcW w:w="2268" w:type="dxa"/>
            <w:noWrap/>
            <w:vAlign w:val="center"/>
          </w:tcPr>
          <w:p w14:paraId="7B7E5836" w14:textId="77777777" w:rsidR="00AF1BF8" w:rsidRDefault="00000000">
            <w:pPr>
              <w:pStyle w:val="af7"/>
              <w:jc w:val="center"/>
              <w:rPr>
                <w:sz w:val="21"/>
                <w:szCs w:val="21"/>
              </w:rPr>
            </w:pPr>
            <w:r>
              <w:rPr>
                <w:sz w:val="21"/>
                <w:szCs w:val="21"/>
              </w:rPr>
              <w:t>0.11</w:t>
            </w:r>
          </w:p>
        </w:tc>
        <w:tc>
          <w:tcPr>
            <w:tcW w:w="2551" w:type="dxa"/>
            <w:noWrap/>
            <w:vAlign w:val="center"/>
          </w:tcPr>
          <w:p w14:paraId="390B1105" w14:textId="77777777" w:rsidR="00AF1BF8" w:rsidRDefault="00000000">
            <w:pPr>
              <w:pStyle w:val="af7"/>
              <w:jc w:val="center"/>
              <w:rPr>
                <w:sz w:val="21"/>
                <w:szCs w:val="21"/>
              </w:rPr>
            </w:pPr>
            <w:r>
              <w:rPr>
                <w:sz w:val="21"/>
                <w:szCs w:val="21"/>
              </w:rPr>
              <w:t>TN</w:t>
            </w:r>
          </w:p>
        </w:tc>
      </w:tr>
      <w:tr w:rsidR="00AF1BF8" w14:paraId="4B271989" w14:textId="77777777">
        <w:trPr>
          <w:trHeight w:val="336"/>
          <w:jc w:val="center"/>
        </w:trPr>
        <w:tc>
          <w:tcPr>
            <w:tcW w:w="2127" w:type="dxa"/>
            <w:noWrap/>
            <w:vAlign w:val="center"/>
          </w:tcPr>
          <w:p w14:paraId="164980E1" w14:textId="77777777" w:rsidR="00AF1BF8" w:rsidRDefault="00000000">
            <w:pPr>
              <w:pStyle w:val="af7"/>
              <w:jc w:val="center"/>
              <w:rPr>
                <w:sz w:val="21"/>
                <w:szCs w:val="21"/>
              </w:rPr>
            </w:pPr>
            <w:proofErr w:type="spellStart"/>
            <w:r>
              <w:rPr>
                <w:sz w:val="21"/>
                <w:szCs w:val="21"/>
              </w:rPr>
              <w:t>K</w:t>
            </w:r>
            <w:r>
              <w:rPr>
                <w:sz w:val="21"/>
                <w:szCs w:val="21"/>
                <w:vertAlign w:val="subscript"/>
              </w:rPr>
              <w:t>O</w:t>
            </w:r>
            <w:proofErr w:type="gramStart"/>
            <w:r>
              <w:rPr>
                <w:sz w:val="21"/>
                <w:szCs w:val="21"/>
                <w:vertAlign w:val="subscript"/>
              </w:rPr>
              <w:t>2,OHO</w:t>
            </w:r>
            <w:proofErr w:type="spellEnd"/>
            <w:proofErr w:type="gramEnd"/>
          </w:p>
        </w:tc>
        <w:tc>
          <w:tcPr>
            <w:tcW w:w="1559" w:type="dxa"/>
            <w:noWrap/>
            <w:vAlign w:val="center"/>
          </w:tcPr>
          <w:p w14:paraId="1CE207FD" w14:textId="77777777" w:rsidR="00AF1BF8" w:rsidRDefault="00000000">
            <w:pPr>
              <w:pStyle w:val="af7"/>
              <w:jc w:val="center"/>
              <w:rPr>
                <w:sz w:val="21"/>
                <w:szCs w:val="21"/>
              </w:rPr>
            </w:pPr>
            <w:r>
              <w:rPr>
                <w:sz w:val="21"/>
                <w:szCs w:val="21"/>
              </w:rPr>
              <w:t xml:space="preserve">g </w:t>
            </w:r>
            <w:proofErr w:type="spellStart"/>
            <w:r>
              <w:rPr>
                <w:sz w:val="21"/>
                <w:szCs w:val="21"/>
              </w:rPr>
              <w:t>O</w:t>
            </w:r>
            <w:r>
              <w:rPr>
                <w:sz w:val="21"/>
                <w:szCs w:val="21"/>
                <w:vertAlign w:val="subscript"/>
              </w:rPr>
              <w:t>2</w:t>
            </w:r>
            <w:proofErr w:type="spellEnd"/>
            <w:r>
              <w:rPr>
                <w:sz w:val="21"/>
                <w:szCs w:val="21"/>
              </w:rPr>
              <w:t>/m</w:t>
            </w:r>
            <w:r>
              <w:rPr>
                <w:sz w:val="21"/>
                <w:szCs w:val="21"/>
                <w:vertAlign w:val="superscript"/>
              </w:rPr>
              <w:t>3</w:t>
            </w:r>
          </w:p>
        </w:tc>
        <w:tc>
          <w:tcPr>
            <w:tcW w:w="2268" w:type="dxa"/>
            <w:noWrap/>
            <w:vAlign w:val="center"/>
          </w:tcPr>
          <w:p w14:paraId="26593CFE" w14:textId="77777777" w:rsidR="00AF1BF8" w:rsidRDefault="00000000">
            <w:pPr>
              <w:pStyle w:val="af7"/>
              <w:jc w:val="center"/>
              <w:rPr>
                <w:sz w:val="21"/>
                <w:szCs w:val="21"/>
              </w:rPr>
            </w:pPr>
            <w:r>
              <w:rPr>
                <w:sz w:val="21"/>
                <w:szCs w:val="21"/>
              </w:rPr>
              <w:t>0.48</w:t>
            </w:r>
          </w:p>
        </w:tc>
        <w:tc>
          <w:tcPr>
            <w:tcW w:w="2551" w:type="dxa"/>
            <w:noWrap/>
            <w:vAlign w:val="center"/>
          </w:tcPr>
          <w:p w14:paraId="4885AC12" w14:textId="77777777" w:rsidR="00AF1BF8" w:rsidRDefault="00000000">
            <w:pPr>
              <w:pStyle w:val="af7"/>
              <w:jc w:val="center"/>
              <w:rPr>
                <w:sz w:val="21"/>
                <w:szCs w:val="21"/>
              </w:rPr>
            </w:pPr>
            <m:oMath>
              <m:sSubSup>
                <m:sSubSupPr>
                  <m:ctrlPr>
                    <w:rPr>
                      <w:rFonts w:ascii="Cambria Math" w:hAnsi="Cambria Math"/>
                      <w:sz w:val="21"/>
                      <w:szCs w:val="21"/>
                    </w:rPr>
                  </m:ctrlPr>
                </m:sSubSupPr>
                <m:e>
                  <m:r>
                    <m:rPr>
                      <m:nor/>
                    </m:rPr>
                    <w:rPr>
                      <w:sz w:val="21"/>
                      <w:szCs w:val="21"/>
                    </w:rPr>
                    <m:t>NH</m:t>
                  </m:r>
                </m:e>
                <m:sub>
                  <m:r>
                    <m:rPr>
                      <m:nor/>
                    </m:rPr>
                    <w:rPr>
                      <w:sz w:val="21"/>
                      <w:szCs w:val="21"/>
                    </w:rPr>
                    <m:t>4</m:t>
                  </m:r>
                </m:sub>
                <m:sup>
                  <m:r>
                    <m:rPr>
                      <m:nor/>
                    </m:rPr>
                    <w:rPr>
                      <w:sz w:val="21"/>
                      <w:szCs w:val="21"/>
                    </w:rPr>
                    <m:t>+</m:t>
                  </m:r>
                </m:sup>
              </m:sSubSup>
            </m:oMath>
            <w:r>
              <w:rPr>
                <w:rFonts w:hint="eastAsia"/>
                <w:sz w:val="21"/>
                <w:szCs w:val="21"/>
              </w:rPr>
              <w:t>-N</w:t>
            </w:r>
          </w:p>
        </w:tc>
      </w:tr>
      <w:tr w:rsidR="00AF1BF8" w14:paraId="3110AC41" w14:textId="77777777">
        <w:trPr>
          <w:trHeight w:val="336"/>
          <w:jc w:val="center"/>
        </w:trPr>
        <w:tc>
          <w:tcPr>
            <w:tcW w:w="2127" w:type="dxa"/>
            <w:noWrap/>
            <w:vAlign w:val="center"/>
          </w:tcPr>
          <w:p w14:paraId="360B854C" w14:textId="77777777" w:rsidR="00AF1BF8" w:rsidRDefault="00000000">
            <w:pPr>
              <w:pStyle w:val="af7"/>
              <w:jc w:val="center"/>
              <w:rPr>
                <w:sz w:val="21"/>
                <w:szCs w:val="21"/>
              </w:rPr>
            </w:pPr>
            <w:proofErr w:type="spellStart"/>
            <w:r>
              <w:rPr>
                <w:sz w:val="21"/>
                <w:szCs w:val="21"/>
              </w:rPr>
              <w:t>K</w:t>
            </w:r>
            <w:r>
              <w:rPr>
                <w:sz w:val="21"/>
                <w:szCs w:val="21"/>
                <w:vertAlign w:val="subscript"/>
              </w:rPr>
              <w:t>O</w:t>
            </w:r>
            <w:proofErr w:type="gramStart"/>
            <w:r>
              <w:rPr>
                <w:sz w:val="21"/>
                <w:szCs w:val="21"/>
                <w:vertAlign w:val="subscript"/>
              </w:rPr>
              <w:t>2,OHO</w:t>
            </w:r>
            <w:proofErr w:type="gramEnd"/>
            <w:r>
              <w:rPr>
                <w:sz w:val="21"/>
                <w:szCs w:val="21"/>
                <w:vertAlign w:val="subscript"/>
              </w:rPr>
              <w:t>,NO2</w:t>
            </w:r>
            <w:proofErr w:type="spellEnd"/>
          </w:p>
        </w:tc>
        <w:tc>
          <w:tcPr>
            <w:tcW w:w="1559" w:type="dxa"/>
            <w:noWrap/>
            <w:vAlign w:val="center"/>
          </w:tcPr>
          <w:p w14:paraId="730576FE" w14:textId="77777777" w:rsidR="00AF1BF8" w:rsidRDefault="00000000">
            <w:pPr>
              <w:pStyle w:val="af7"/>
              <w:jc w:val="center"/>
              <w:rPr>
                <w:sz w:val="21"/>
                <w:szCs w:val="21"/>
              </w:rPr>
            </w:pPr>
            <w:r>
              <w:rPr>
                <w:sz w:val="21"/>
                <w:szCs w:val="21"/>
              </w:rPr>
              <w:t xml:space="preserve">g </w:t>
            </w:r>
            <w:proofErr w:type="spellStart"/>
            <w:r>
              <w:rPr>
                <w:sz w:val="21"/>
                <w:szCs w:val="21"/>
              </w:rPr>
              <w:t>O</w:t>
            </w:r>
            <w:r>
              <w:rPr>
                <w:sz w:val="21"/>
                <w:szCs w:val="21"/>
                <w:vertAlign w:val="subscript"/>
              </w:rPr>
              <w:t>2</w:t>
            </w:r>
            <w:proofErr w:type="spellEnd"/>
            <w:r>
              <w:rPr>
                <w:sz w:val="21"/>
                <w:szCs w:val="21"/>
              </w:rPr>
              <w:t>/m</w:t>
            </w:r>
            <w:r>
              <w:rPr>
                <w:sz w:val="21"/>
                <w:szCs w:val="21"/>
                <w:vertAlign w:val="superscript"/>
              </w:rPr>
              <w:t>3</w:t>
            </w:r>
          </w:p>
        </w:tc>
        <w:tc>
          <w:tcPr>
            <w:tcW w:w="2268" w:type="dxa"/>
            <w:noWrap/>
            <w:vAlign w:val="center"/>
          </w:tcPr>
          <w:p w14:paraId="33B2EBEE" w14:textId="77777777" w:rsidR="00AF1BF8" w:rsidRDefault="00000000">
            <w:pPr>
              <w:pStyle w:val="af7"/>
              <w:jc w:val="center"/>
              <w:rPr>
                <w:sz w:val="21"/>
                <w:szCs w:val="21"/>
              </w:rPr>
            </w:pPr>
            <w:r>
              <w:rPr>
                <w:sz w:val="21"/>
                <w:szCs w:val="21"/>
              </w:rPr>
              <w:t>0.13</w:t>
            </w:r>
          </w:p>
        </w:tc>
        <w:tc>
          <w:tcPr>
            <w:tcW w:w="2551" w:type="dxa"/>
            <w:noWrap/>
            <w:vAlign w:val="center"/>
          </w:tcPr>
          <w:p w14:paraId="7211D476" w14:textId="77777777" w:rsidR="00AF1BF8" w:rsidRDefault="00000000">
            <w:pPr>
              <w:pStyle w:val="af7"/>
              <w:jc w:val="center"/>
              <w:rPr>
                <w:sz w:val="21"/>
                <w:szCs w:val="21"/>
              </w:rPr>
            </w:pPr>
            <w:r>
              <w:rPr>
                <w:sz w:val="21"/>
                <w:szCs w:val="21"/>
              </w:rPr>
              <w:t>TN</w:t>
            </w:r>
          </w:p>
        </w:tc>
      </w:tr>
      <w:tr w:rsidR="00AF1BF8" w14:paraId="19380C0E" w14:textId="77777777">
        <w:trPr>
          <w:trHeight w:val="276"/>
          <w:jc w:val="center"/>
        </w:trPr>
        <w:tc>
          <w:tcPr>
            <w:tcW w:w="2127" w:type="dxa"/>
            <w:noWrap/>
            <w:vAlign w:val="center"/>
          </w:tcPr>
          <w:p w14:paraId="67ACF6FA" w14:textId="77777777" w:rsidR="00AF1BF8" w:rsidRDefault="00000000">
            <w:pPr>
              <w:pStyle w:val="af7"/>
              <w:jc w:val="center"/>
              <w:rPr>
                <w:sz w:val="21"/>
                <w:szCs w:val="21"/>
              </w:rPr>
            </w:pPr>
            <w:proofErr w:type="spellStart"/>
            <w:proofErr w:type="gramStart"/>
            <w:r>
              <w:rPr>
                <w:sz w:val="21"/>
                <w:szCs w:val="21"/>
              </w:rPr>
              <w:t>q</w:t>
            </w:r>
            <w:r>
              <w:rPr>
                <w:sz w:val="21"/>
                <w:szCs w:val="21"/>
                <w:vertAlign w:val="subscript"/>
              </w:rPr>
              <w:t>PAO,PP</w:t>
            </w:r>
            <w:proofErr w:type="spellEnd"/>
            <w:proofErr w:type="gramEnd"/>
          </w:p>
        </w:tc>
        <w:tc>
          <w:tcPr>
            <w:tcW w:w="1559" w:type="dxa"/>
            <w:noWrap/>
            <w:vAlign w:val="center"/>
          </w:tcPr>
          <w:p w14:paraId="718BCBF4" w14:textId="77777777" w:rsidR="00AF1BF8" w:rsidRDefault="00000000">
            <w:pPr>
              <w:pStyle w:val="af7"/>
              <w:jc w:val="center"/>
              <w:rPr>
                <w:sz w:val="21"/>
                <w:szCs w:val="21"/>
              </w:rPr>
            </w:pPr>
            <w:r>
              <w:rPr>
                <w:sz w:val="21"/>
                <w:szCs w:val="21"/>
              </w:rPr>
              <w:t>1/d</w:t>
            </w:r>
          </w:p>
        </w:tc>
        <w:tc>
          <w:tcPr>
            <w:tcW w:w="2268" w:type="dxa"/>
            <w:noWrap/>
            <w:vAlign w:val="center"/>
          </w:tcPr>
          <w:p w14:paraId="1B1C4881" w14:textId="77777777" w:rsidR="00AF1BF8" w:rsidRDefault="00000000">
            <w:pPr>
              <w:pStyle w:val="af7"/>
              <w:jc w:val="center"/>
              <w:rPr>
                <w:sz w:val="21"/>
                <w:szCs w:val="21"/>
              </w:rPr>
            </w:pPr>
            <w:r>
              <w:rPr>
                <w:sz w:val="21"/>
                <w:szCs w:val="21"/>
              </w:rPr>
              <w:t>0.71</w:t>
            </w:r>
          </w:p>
        </w:tc>
        <w:tc>
          <w:tcPr>
            <w:tcW w:w="2551" w:type="dxa"/>
            <w:noWrap/>
            <w:vAlign w:val="center"/>
          </w:tcPr>
          <w:p w14:paraId="27162FE4" w14:textId="77777777" w:rsidR="00AF1BF8" w:rsidRDefault="00000000">
            <w:pPr>
              <w:pStyle w:val="af7"/>
              <w:jc w:val="center"/>
              <w:rPr>
                <w:sz w:val="21"/>
                <w:szCs w:val="21"/>
              </w:rPr>
            </w:pPr>
            <w:r>
              <w:rPr>
                <w:sz w:val="21"/>
                <w:szCs w:val="21"/>
              </w:rPr>
              <w:t>TP</w:t>
            </w:r>
          </w:p>
        </w:tc>
      </w:tr>
      <w:tr w:rsidR="00AF1BF8" w14:paraId="12FAEFD1" w14:textId="77777777">
        <w:trPr>
          <w:trHeight w:val="276"/>
          <w:jc w:val="center"/>
        </w:trPr>
        <w:tc>
          <w:tcPr>
            <w:tcW w:w="2127" w:type="dxa"/>
            <w:noWrap/>
            <w:vAlign w:val="center"/>
          </w:tcPr>
          <w:p w14:paraId="163340D7" w14:textId="77777777" w:rsidR="00AF1BF8" w:rsidRDefault="00000000">
            <w:pPr>
              <w:pStyle w:val="af7"/>
              <w:jc w:val="center"/>
              <w:rPr>
                <w:sz w:val="21"/>
                <w:szCs w:val="21"/>
              </w:rPr>
            </w:pPr>
            <w:proofErr w:type="spellStart"/>
            <w:r>
              <w:rPr>
                <w:sz w:val="21"/>
                <w:szCs w:val="21"/>
              </w:rPr>
              <w:t>q</w:t>
            </w:r>
            <w:r>
              <w:rPr>
                <w:sz w:val="21"/>
                <w:szCs w:val="21"/>
                <w:vertAlign w:val="subscript"/>
              </w:rPr>
              <w:t>HYD</w:t>
            </w:r>
            <w:proofErr w:type="spellEnd"/>
          </w:p>
        </w:tc>
        <w:tc>
          <w:tcPr>
            <w:tcW w:w="1559" w:type="dxa"/>
            <w:noWrap/>
            <w:vAlign w:val="center"/>
          </w:tcPr>
          <w:p w14:paraId="474B4415" w14:textId="77777777" w:rsidR="00AF1BF8" w:rsidRDefault="00000000">
            <w:pPr>
              <w:pStyle w:val="af7"/>
              <w:jc w:val="center"/>
              <w:rPr>
                <w:sz w:val="21"/>
                <w:szCs w:val="21"/>
              </w:rPr>
            </w:pPr>
            <w:r>
              <w:rPr>
                <w:sz w:val="21"/>
                <w:szCs w:val="21"/>
              </w:rPr>
              <w:t>1/d</w:t>
            </w:r>
          </w:p>
        </w:tc>
        <w:tc>
          <w:tcPr>
            <w:tcW w:w="2268" w:type="dxa"/>
            <w:noWrap/>
            <w:vAlign w:val="center"/>
          </w:tcPr>
          <w:p w14:paraId="2D7FBA83" w14:textId="77777777" w:rsidR="00AF1BF8" w:rsidRDefault="00000000">
            <w:pPr>
              <w:pStyle w:val="af7"/>
              <w:jc w:val="center"/>
              <w:rPr>
                <w:sz w:val="21"/>
                <w:szCs w:val="21"/>
              </w:rPr>
            </w:pPr>
            <w:r>
              <w:rPr>
                <w:sz w:val="21"/>
                <w:szCs w:val="21"/>
              </w:rPr>
              <w:t>0.71, 0.48</w:t>
            </w:r>
          </w:p>
        </w:tc>
        <w:tc>
          <w:tcPr>
            <w:tcW w:w="2551" w:type="dxa"/>
            <w:noWrap/>
            <w:vAlign w:val="center"/>
          </w:tcPr>
          <w:p w14:paraId="1823081D" w14:textId="77777777" w:rsidR="00AF1BF8" w:rsidRDefault="00000000">
            <w:pPr>
              <w:pStyle w:val="af7"/>
              <w:jc w:val="center"/>
              <w:rPr>
                <w:sz w:val="21"/>
                <w:szCs w:val="21"/>
              </w:rPr>
            </w:pPr>
            <w:r>
              <w:rPr>
                <w:sz w:val="21"/>
                <w:szCs w:val="21"/>
              </w:rPr>
              <w:t xml:space="preserve">TP, </w:t>
            </w:r>
            <m:oMath>
              <m:sSubSup>
                <m:sSubSupPr>
                  <m:ctrlPr>
                    <w:rPr>
                      <w:rFonts w:ascii="Cambria Math" w:hAnsi="Cambria Math"/>
                      <w:sz w:val="21"/>
                      <w:szCs w:val="21"/>
                    </w:rPr>
                  </m:ctrlPr>
                </m:sSubSupPr>
                <m:e>
                  <m:r>
                    <m:rPr>
                      <m:nor/>
                    </m:rPr>
                    <w:rPr>
                      <w:sz w:val="21"/>
                      <w:szCs w:val="21"/>
                    </w:rPr>
                    <m:t>NH</m:t>
                  </m:r>
                </m:e>
                <m:sub>
                  <m:r>
                    <m:rPr>
                      <m:nor/>
                    </m:rPr>
                    <w:rPr>
                      <w:sz w:val="21"/>
                      <w:szCs w:val="21"/>
                    </w:rPr>
                    <m:t>4</m:t>
                  </m:r>
                </m:sub>
                <m:sup>
                  <m:r>
                    <m:rPr>
                      <m:nor/>
                    </m:rPr>
                    <w:rPr>
                      <w:sz w:val="21"/>
                      <w:szCs w:val="21"/>
                    </w:rPr>
                    <m:t>+</m:t>
                  </m:r>
                </m:sup>
              </m:sSubSup>
            </m:oMath>
            <w:r>
              <w:rPr>
                <w:rFonts w:hint="eastAsia"/>
                <w:sz w:val="21"/>
                <w:szCs w:val="21"/>
              </w:rPr>
              <w:t>-N</w:t>
            </w:r>
          </w:p>
        </w:tc>
      </w:tr>
      <w:tr w:rsidR="00AF1BF8" w14:paraId="018D787D" w14:textId="77777777">
        <w:trPr>
          <w:trHeight w:val="276"/>
          <w:jc w:val="center"/>
        </w:trPr>
        <w:tc>
          <w:tcPr>
            <w:tcW w:w="2127" w:type="dxa"/>
            <w:noWrap/>
            <w:vAlign w:val="center"/>
          </w:tcPr>
          <w:p w14:paraId="3FCEF001" w14:textId="77777777" w:rsidR="00AF1BF8" w:rsidRDefault="00000000">
            <w:pPr>
              <w:pStyle w:val="af7"/>
              <w:jc w:val="center"/>
              <w:rPr>
                <w:sz w:val="21"/>
                <w:szCs w:val="21"/>
              </w:rPr>
            </w:pPr>
            <w:proofErr w:type="spellStart"/>
            <w:proofErr w:type="gramStart"/>
            <w:r>
              <w:rPr>
                <w:sz w:val="21"/>
                <w:szCs w:val="21"/>
              </w:rPr>
              <w:t>fr</w:t>
            </w:r>
            <w:r>
              <w:rPr>
                <w:sz w:val="21"/>
                <w:szCs w:val="21"/>
                <w:vertAlign w:val="subscript"/>
              </w:rPr>
              <w:t>VSS,TSS</w:t>
            </w:r>
            <w:proofErr w:type="spellEnd"/>
            <w:proofErr w:type="gramEnd"/>
          </w:p>
        </w:tc>
        <w:tc>
          <w:tcPr>
            <w:tcW w:w="1559" w:type="dxa"/>
            <w:noWrap/>
            <w:vAlign w:val="center"/>
          </w:tcPr>
          <w:p w14:paraId="00DA305B" w14:textId="77777777" w:rsidR="00AF1BF8" w:rsidRDefault="00000000">
            <w:pPr>
              <w:pStyle w:val="af7"/>
              <w:jc w:val="center"/>
              <w:rPr>
                <w:sz w:val="21"/>
                <w:szCs w:val="21"/>
              </w:rPr>
            </w:pPr>
            <w:r>
              <w:rPr>
                <w:sz w:val="21"/>
                <w:szCs w:val="21"/>
              </w:rPr>
              <w:t>%</w:t>
            </w:r>
          </w:p>
        </w:tc>
        <w:tc>
          <w:tcPr>
            <w:tcW w:w="2268" w:type="dxa"/>
            <w:noWrap/>
            <w:vAlign w:val="center"/>
          </w:tcPr>
          <w:p w14:paraId="4D7DCC4E" w14:textId="77777777" w:rsidR="00AF1BF8" w:rsidRDefault="00000000">
            <w:pPr>
              <w:pStyle w:val="af7"/>
              <w:jc w:val="center"/>
              <w:rPr>
                <w:sz w:val="21"/>
                <w:szCs w:val="21"/>
              </w:rPr>
            </w:pPr>
            <w:r>
              <w:rPr>
                <w:sz w:val="21"/>
                <w:szCs w:val="21"/>
              </w:rPr>
              <w:t>0.29, 0.10</w:t>
            </w:r>
          </w:p>
        </w:tc>
        <w:tc>
          <w:tcPr>
            <w:tcW w:w="2551" w:type="dxa"/>
            <w:noWrap/>
            <w:vAlign w:val="center"/>
          </w:tcPr>
          <w:p w14:paraId="6E139D7B" w14:textId="77777777" w:rsidR="00AF1BF8" w:rsidRDefault="00000000">
            <w:pPr>
              <w:pStyle w:val="af7"/>
              <w:jc w:val="center"/>
              <w:rPr>
                <w:sz w:val="21"/>
                <w:szCs w:val="21"/>
              </w:rPr>
            </w:pPr>
            <w:r>
              <w:rPr>
                <w:sz w:val="21"/>
                <w:szCs w:val="21"/>
              </w:rPr>
              <w:t xml:space="preserve">TP, </w:t>
            </w:r>
            <m:oMath>
              <m:sSubSup>
                <m:sSubSupPr>
                  <m:ctrlPr>
                    <w:rPr>
                      <w:rFonts w:ascii="Cambria Math" w:hAnsi="Cambria Math"/>
                      <w:sz w:val="21"/>
                      <w:szCs w:val="21"/>
                    </w:rPr>
                  </m:ctrlPr>
                </m:sSubSupPr>
                <m:e>
                  <m:r>
                    <m:rPr>
                      <m:nor/>
                    </m:rPr>
                    <w:rPr>
                      <w:sz w:val="21"/>
                      <w:szCs w:val="21"/>
                    </w:rPr>
                    <m:t>NH</m:t>
                  </m:r>
                </m:e>
                <m:sub>
                  <m:r>
                    <m:rPr>
                      <m:nor/>
                    </m:rPr>
                    <w:rPr>
                      <w:sz w:val="21"/>
                      <w:szCs w:val="21"/>
                    </w:rPr>
                    <m:t>4</m:t>
                  </m:r>
                </m:sub>
                <m:sup>
                  <m:r>
                    <m:rPr>
                      <m:nor/>
                    </m:rPr>
                    <w:rPr>
                      <w:sz w:val="21"/>
                      <w:szCs w:val="21"/>
                    </w:rPr>
                    <m:t>+</m:t>
                  </m:r>
                </m:sup>
              </m:sSubSup>
            </m:oMath>
            <w:r>
              <w:rPr>
                <w:rFonts w:hint="eastAsia"/>
                <w:sz w:val="21"/>
                <w:szCs w:val="21"/>
              </w:rPr>
              <w:t>-N</w:t>
            </w:r>
          </w:p>
        </w:tc>
      </w:tr>
      <w:tr w:rsidR="00AF1BF8" w14:paraId="39B582EE" w14:textId="77777777">
        <w:trPr>
          <w:trHeight w:val="276"/>
          <w:jc w:val="center"/>
        </w:trPr>
        <w:tc>
          <w:tcPr>
            <w:tcW w:w="2127" w:type="dxa"/>
            <w:noWrap/>
            <w:vAlign w:val="center"/>
          </w:tcPr>
          <w:p w14:paraId="2B54102E" w14:textId="77777777" w:rsidR="00AF1BF8" w:rsidRDefault="00000000">
            <w:pPr>
              <w:pStyle w:val="af7"/>
              <w:jc w:val="center"/>
              <w:rPr>
                <w:sz w:val="21"/>
                <w:szCs w:val="21"/>
              </w:rPr>
            </w:pPr>
            <w:proofErr w:type="spellStart"/>
            <w:proofErr w:type="gramStart"/>
            <w:r>
              <w:rPr>
                <w:sz w:val="21"/>
                <w:szCs w:val="21"/>
              </w:rPr>
              <w:t>fr</w:t>
            </w:r>
            <w:r>
              <w:rPr>
                <w:sz w:val="21"/>
                <w:szCs w:val="21"/>
                <w:vertAlign w:val="subscript"/>
              </w:rPr>
              <w:t>SCCOD,TCOD</w:t>
            </w:r>
            <w:proofErr w:type="spellEnd"/>
            <w:proofErr w:type="gramEnd"/>
          </w:p>
        </w:tc>
        <w:tc>
          <w:tcPr>
            <w:tcW w:w="1559" w:type="dxa"/>
            <w:noWrap/>
            <w:vAlign w:val="center"/>
          </w:tcPr>
          <w:p w14:paraId="52FD741A" w14:textId="77777777" w:rsidR="00AF1BF8" w:rsidRDefault="00000000">
            <w:pPr>
              <w:pStyle w:val="af7"/>
              <w:jc w:val="center"/>
              <w:rPr>
                <w:sz w:val="21"/>
                <w:szCs w:val="21"/>
              </w:rPr>
            </w:pPr>
            <w:r>
              <w:rPr>
                <w:sz w:val="21"/>
                <w:szCs w:val="21"/>
              </w:rPr>
              <w:t>%</w:t>
            </w:r>
          </w:p>
        </w:tc>
        <w:tc>
          <w:tcPr>
            <w:tcW w:w="2268" w:type="dxa"/>
            <w:noWrap/>
            <w:vAlign w:val="center"/>
          </w:tcPr>
          <w:p w14:paraId="605BE20C" w14:textId="77777777" w:rsidR="00AF1BF8" w:rsidRDefault="00000000">
            <w:pPr>
              <w:pStyle w:val="af7"/>
              <w:jc w:val="center"/>
              <w:rPr>
                <w:sz w:val="21"/>
                <w:szCs w:val="21"/>
              </w:rPr>
            </w:pPr>
            <w:r>
              <w:rPr>
                <w:sz w:val="21"/>
                <w:szCs w:val="21"/>
              </w:rPr>
              <w:t>0.14</w:t>
            </w:r>
          </w:p>
        </w:tc>
        <w:tc>
          <w:tcPr>
            <w:tcW w:w="2551" w:type="dxa"/>
            <w:noWrap/>
            <w:vAlign w:val="center"/>
          </w:tcPr>
          <w:p w14:paraId="3FFBCB5D" w14:textId="77777777" w:rsidR="00AF1BF8" w:rsidRDefault="00000000">
            <w:pPr>
              <w:pStyle w:val="af7"/>
              <w:jc w:val="center"/>
              <w:rPr>
                <w:sz w:val="21"/>
                <w:szCs w:val="21"/>
              </w:rPr>
            </w:pPr>
            <w:r>
              <w:rPr>
                <w:sz w:val="21"/>
                <w:szCs w:val="21"/>
              </w:rPr>
              <w:t>TP</w:t>
            </w:r>
          </w:p>
        </w:tc>
      </w:tr>
      <w:tr w:rsidR="00AF1BF8" w14:paraId="1925143E" w14:textId="77777777">
        <w:trPr>
          <w:trHeight w:val="276"/>
          <w:jc w:val="center"/>
        </w:trPr>
        <w:tc>
          <w:tcPr>
            <w:tcW w:w="2127" w:type="dxa"/>
            <w:noWrap/>
            <w:vAlign w:val="center"/>
          </w:tcPr>
          <w:p w14:paraId="036CBDA1" w14:textId="77777777" w:rsidR="00AF1BF8" w:rsidRDefault="00000000">
            <w:pPr>
              <w:pStyle w:val="af7"/>
              <w:jc w:val="center"/>
              <w:rPr>
                <w:sz w:val="21"/>
                <w:szCs w:val="21"/>
              </w:rPr>
            </w:pPr>
            <w:proofErr w:type="spellStart"/>
            <w:proofErr w:type="gramStart"/>
            <w:r>
              <w:rPr>
                <w:sz w:val="21"/>
                <w:szCs w:val="21"/>
              </w:rPr>
              <w:t>fr</w:t>
            </w:r>
            <w:r>
              <w:rPr>
                <w:sz w:val="21"/>
                <w:szCs w:val="21"/>
                <w:vertAlign w:val="subscript"/>
              </w:rPr>
              <w:t>SCOD,TCOD</w:t>
            </w:r>
            <w:proofErr w:type="spellEnd"/>
            <w:proofErr w:type="gramEnd"/>
          </w:p>
        </w:tc>
        <w:tc>
          <w:tcPr>
            <w:tcW w:w="1559" w:type="dxa"/>
            <w:noWrap/>
            <w:vAlign w:val="center"/>
          </w:tcPr>
          <w:p w14:paraId="7DB382CE" w14:textId="77777777" w:rsidR="00AF1BF8" w:rsidRDefault="00000000">
            <w:pPr>
              <w:pStyle w:val="af7"/>
              <w:jc w:val="center"/>
              <w:rPr>
                <w:sz w:val="21"/>
                <w:szCs w:val="21"/>
              </w:rPr>
            </w:pPr>
            <w:r>
              <w:rPr>
                <w:sz w:val="21"/>
                <w:szCs w:val="21"/>
              </w:rPr>
              <w:t>%</w:t>
            </w:r>
          </w:p>
        </w:tc>
        <w:tc>
          <w:tcPr>
            <w:tcW w:w="2268" w:type="dxa"/>
            <w:noWrap/>
            <w:vAlign w:val="center"/>
          </w:tcPr>
          <w:p w14:paraId="6AAE1750" w14:textId="77777777" w:rsidR="00AF1BF8" w:rsidRDefault="00000000">
            <w:pPr>
              <w:pStyle w:val="af7"/>
              <w:jc w:val="center"/>
              <w:rPr>
                <w:sz w:val="21"/>
                <w:szCs w:val="21"/>
              </w:rPr>
            </w:pPr>
            <w:r>
              <w:rPr>
                <w:sz w:val="21"/>
                <w:szCs w:val="21"/>
              </w:rPr>
              <w:t>0.14</w:t>
            </w:r>
          </w:p>
        </w:tc>
        <w:tc>
          <w:tcPr>
            <w:tcW w:w="2551" w:type="dxa"/>
            <w:noWrap/>
            <w:vAlign w:val="center"/>
          </w:tcPr>
          <w:p w14:paraId="33C14948" w14:textId="77777777" w:rsidR="00AF1BF8" w:rsidRDefault="00000000">
            <w:pPr>
              <w:pStyle w:val="af7"/>
              <w:jc w:val="center"/>
              <w:rPr>
                <w:sz w:val="21"/>
                <w:szCs w:val="21"/>
              </w:rPr>
            </w:pPr>
            <w:r>
              <w:rPr>
                <w:sz w:val="21"/>
                <w:szCs w:val="21"/>
              </w:rPr>
              <w:t>TP</w:t>
            </w:r>
          </w:p>
        </w:tc>
      </w:tr>
      <w:tr w:rsidR="00AF1BF8" w14:paraId="3489C7FF" w14:textId="77777777">
        <w:trPr>
          <w:trHeight w:val="276"/>
          <w:jc w:val="center"/>
        </w:trPr>
        <w:tc>
          <w:tcPr>
            <w:tcW w:w="2127" w:type="dxa"/>
            <w:noWrap/>
            <w:vAlign w:val="center"/>
          </w:tcPr>
          <w:p w14:paraId="3E865422" w14:textId="77777777" w:rsidR="00AF1BF8" w:rsidRDefault="00000000">
            <w:pPr>
              <w:pStyle w:val="af7"/>
              <w:jc w:val="center"/>
              <w:rPr>
                <w:sz w:val="21"/>
                <w:szCs w:val="21"/>
              </w:rPr>
            </w:pPr>
            <w:proofErr w:type="spellStart"/>
            <w:proofErr w:type="gramStart"/>
            <w:r>
              <w:rPr>
                <w:sz w:val="21"/>
                <w:szCs w:val="21"/>
              </w:rPr>
              <w:t>fr</w:t>
            </w:r>
            <w:r>
              <w:rPr>
                <w:sz w:val="21"/>
                <w:szCs w:val="21"/>
                <w:vertAlign w:val="subscript"/>
              </w:rPr>
              <w:t>VFA,SCCOD</w:t>
            </w:r>
            <w:proofErr w:type="spellEnd"/>
            <w:proofErr w:type="gramEnd"/>
          </w:p>
        </w:tc>
        <w:tc>
          <w:tcPr>
            <w:tcW w:w="1559" w:type="dxa"/>
            <w:noWrap/>
            <w:vAlign w:val="center"/>
          </w:tcPr>
          <w:p w14:paraId="42566C60" w14:textId="77777777" w:rsidR="00AF1BF8" w:rsidRDefault="00000000">
            <w:pPr>
              <w:pStyle w:val="af7"/>
              <w:jc w:val="center"/>
              <w:rPr>
                <w:sz w:val="21"/>
                <w:szCs w:val="21"/>
              </w:rPr>
            </w:pPr>
            <w:r>
              <w:rPr>
                <w:sz w:val="21"/>
                <w:szCs w:val="21"/>
              </w:rPr>
              <w:t>%</w:t>
            </w:r>
          </w:p>
        </w:tc>
        <w:tc>
          <w:tcPr>
            <w:tcW w:w="2268" w:type="dxa"/>
            <w:noWrap/>
            <w:vAlign w:val="center"/>
          </w:tcPr>
          <w:p w14:paraId="0888786B" w14:textId="77777777" w:rsidR="00AF1BF8" w:rsidRDefault="00000000">
            <w:pPr>
              <w:pStyle w:val="af7"/>
              <w:jc w:val="center"/>
              <w:rPr>
                <w:sz w:val="21"/>
                <w:szCs w:val="21"/>
              </w:rPr>
            </w:pPr>
            <w:r>
              <w:rPr>
                <w:sz w:val="21"/>
                <w:szCs w:val="21"/>
              </w:rPr>
              <w:t>0.14</w:t>
            </w:r>
          </w:p>
        </w:tc>
        <w:tc>
          <w:tcPr>
            <w:tcW w:w="2551" w:type="dxa"/>
            <w:noWrap/>
            <w:vAlign w:val="center"/>
          </w:tcPr>
          <w:p w14:paraId="768056AB" w14:textId="77777777" w:rsidR="00AF1BF8" w:rsidRDefault="00000000">
            <w:pPr>
              <w:pStyle w:val="af7"/>
              <w:jc w:val="center"/>
              <w:rPr>
                <w:sz w:val="21"/>
                <w:szCs w:val="21"/>
              </w:rPr>
            </w:pPr>
            <w:r>
              <w:rPr>
                <w:sz w:val="21"/>
                <w:szCs w:val="21"/>
              </w:rPr>
              <w:t>TP</w:t>
            </w:r>
          </w:p>
        </w:tc>
      </w:tr>
      <w:tr w:rsidR="00AF1BF8" w14:paraId="2F44BF7B" w14:textId="77777777">
        <w:trPr>
          <w:trHeight w:val="276"/>
          <w:jc w:val="center"/>
        </w:trPr>
        <w:tc>
          <w:tcPr>
            <w:tcW w:w="2127" w:type="dxa"/>
            <w:noWrap/>
            <w:vAlign w:val="center"/>
          </w:tcPr>
          <w:p w14:paraId="24CA4E71" w14:textId="77777777" w:rsidR="00AF1BF8" w:rsidRDefault="00000000">
            <w:pPr>
              <w:pStyle w:val="af7"/>
              <w:jc w:val="center"/>
              <w:rPr>
                <w:sz w:val="21"/>
                <w:szCs w:val="21"/>
              </w:rPr>
            </w:pPr>
            <w:proofErr w:type="spellStart"/>
            <w:proofErr w:type="gramStart"/>
            <w:r>
              <w:rPr>
                <w:sz w:val="21"/>
                <w:szCs w:val="21"/>
              </w:rPr>
              <w:t>fr</w:t>
            </w:r>
            <w:r>
              <w:rPr>
                <w:sz w:val="21"/>
                <w:szCs w:val="21"/>
                <w:vertAlign w:val="subscript"/>
              </w:rPr>
              <w:t>SU,SCCOD</w:t>
            </w:r>
            <w:proofErr w:type="spellEnd"/>
            <w:proofErr w:type="gramEnd"/>
          </w:p>
        </w:tc>
        <w:tc>
          <w:tcPr>
            <w:tcW w:w="1559" w:type="dxa"/>
            <w:noWrap/>
            <w:vAlign w:val="center"/>
          </w:tcPr>
          <w:p w14:paraId="002FFF80" w14:textId="77777777" w:rsidR="00AF1BF8" w:rsidRDefault="00000000">
            <w:pPr>
              <w:pStyle w:val="af7"/>
              <w:jc w:val="center"/>
              <w:rPr>
                <w:sz w:val="21"/>
                <w:szCs w:val="21"/>
              </w:rPr>
            </w:pPr>
            <w:r>
              <w:rPr>
                <w:sz w:val="21"/>
                <w:szCs w:val="21"/>
              </w:rPr>
              <w:t>%</w:t>
            </w:r>
          </w:p>
        </w:tc>
        <w:tc>
          <w:tcPr>
            <w:tcW w:w="2268" w:type="dxa"/>
            <w:noWrap/>
            <w:vAlign w:val="center"/>
          </w:tcPr>
          <w:p w14:paraId="4C6978B0" w14:textId="77777777" w:rsidR="00AF1BF8" w:rsidRDefault="00000000">
            <w:pPr>
              <w:pStyle w:val="af7"/>
              <w:jc w:val="center"/>
              <w:rPr>
                <w:sz w:val="21"/>
                <w:szCs w:val="21"/>
              </w:rPr>
            </w:pPr>
            <w:r>
              <w:rPr>
                <w:sz w:val="21"/>
                <w:szCs w:val="21"/>
              </w:rPr>
              <w:t>2.35, 0.15, 0.57, 0.10</w:t>
            </w:r>
          </w:p>
        </w:tc>
        <w:tc>
          <w:tcPr>
            <w:tcW w:w="2551" w:type="dxa"/>
            <w:noWrap/>
            <w:vAlign w:val="center"/>
          </w:tcPr>
          <w:p w14:paraId="0547D1B5" w14:textId="77777777" w:rsidR="00AF1BF8" w:rsidRDefault="00000000">
            <w:pPr>
              <w:pStyle w:val="af7"/>
              <w:jc w:val="center"/>
              <w:rPr>
                <w:sz w:val="21"/>
                <w:szCs w:val="21"/>
              </w:rPr>
            </w:pPr>
            <w:r>
              <w:rPr>
                <w:sz w:val="21"/>
                <w:szCs w:val="21"/>
              </w:rPr>
              <w:t xml:space="preserve">COD, TN, TP, </w:t>
            </w:r>
            <m:oMath>
              <m:sSubSup>
                <m:sSubSupPr>
                  <m:ctrlPr>
                    <w:rPr>
                      <w:rFonts w:ascii="Cambria Math" w:hAnsi="Cambria Math"/>
                      <w:sz w:val="21"/>
                      <w:szCs w:val="21"/>
                    </w:rPr>
                  </m:ctrlPr>
                </m:sSubSupPr>
                <m:e>
                  <m:r>
                    <m:rPr>
                      <m:nor/>
                    </m:rPr>
                    <w:rPr>
                      <w:sz w:val="21"/>
                      <w:szCs w:val="21"/>
                    </w:rPr>
                    <m:t>NH</m:t>
                  </m:r>
                </m:e>
                <m:sub>
                  <m:r>
                    <m:rPr>
                      <m:nor/>
                    </m:rPr>
                    <w:rPr>
                      <w:sz w:val="21"/>
                      <w:szCs w:val="21"/>
                    </w:rPr>
                    <m:t>4</m:t>
                  </m:r>
                </m:sub>
                <m:sup>
                  <m:r>
                    <m:rPr>
                      <m:nor/>
                    </m:rPr>
                    <w:rPr>
                      <w:sz w:val="21"/>
                      <w:szCs w:val="21"/>
                    </w:rPr>
                    <m:t>+</m:t>
                  </m:r>
                </m:sup>
              </m:sSubSup>
            </m:oMath>
            <w:r>
              <w:rPr>
                <w:rFonts w:hint="eastAsia"/>
                <w:sz w:val="21"/>
                <w:szCs w:val="21"/>
              </w:rPr>
              <w:t>-N</w:t>
            </w:r>
          </w:p>
        </w:tc>
      </w:tr>
      <w:tr w:rsidR="00AF1BF8" w14:paraId="5A91EC52" w14:textId="77777777">
        <w:trPr>
          <w:trHeight w:val="276"/>
          <w:jc w:val="center"/>
        </w:trPr>
        <w:tc>
          <w:tcPr>
            <w:tcW w:w="2127" w:type="dxa"/>
            <w:noWrap/>
            <w:vAlign w:val="center"/>
          </w:tcPr>
          <w:p w14:paraId="7B72AA65" w14:textId="77777777" w:rsidR="00AF1BF8" w:rsidRDefault="00000000">
            <w:pPr>
              <w:pStyle w:val="af7"/>
              <w:jc w:val="center"/>
              <w:rPr>
                <w:sz w:val="21"/>
                <w:szCs w:val="21"/>
              </w:rPr>
            </w:pPr>
            <w:proofErr w:type="spellStart"/>
            <w:proofErr w:type="gramStart"/>
            <w:r>
              <w:rPr>
                <w:sz w:val="21"/>
                <w:szCs w:val="21"/>
              </w:rPr>
              <w:t>fr</w:t>
            </w:r>
            <w:r>
              <w:rPr>
                <w:sz w:val="21"/>
                <w:szCs w:val="21"/>
                <w:vertAlign w:val="subscript"/>
              </w:rPr>
              <w:t>XU,TCOD</w:t>
            </w:r>
            <w:proofErr w:type="spellEnd"/>
            <w:proofErr w:type="gramEnd"/>
          </w:p>
        </w:tc>
        <w:tc>
          <w:tcPr>
            <w:tcW w:w="1559" w:type="dxa"/>
            <w:noWrap/>
            <w:vAlign w:val="center"/>
          </w:tcPr>
          <w:p w14:paraId="78FFE74A" w14:textId="77777777" w:rsidR="00AF1BF8" w:rsidRDefault="00000000">
            <w:pPr>
              <w:pStyle w:val="af7"/>
              <w:jc w:val="center"/>
              <w:rPr>
                <w:sz w:val="21"/>
                <w:szCs w:val="21"/>
              </w:rPr>
            </w:pPr>
            <w:r>
              <w:rPr>
                <w:sz w:val="21"/>
                <w:szCs w:val="21"/>
              </w:rPr>
              <w:t>%</w:t>
            </w:r>
          </w:p>
        </w:tc>
        <w:tc>
          <w:tcPr>
            <w:tcW w:w="2268" w:type="dxa"/>
            <w:noWrap/>
            <w:vAlign w:val="center"/>
          </w:tcPr>
          <w:p w14:paraId="0C58F2CE" w14:textId="77777777" w:rsidR="00AF1BF8" w:rsidRDefault="00000000">
            <w:pPr>
              <w:pStyle w:val="af7"/>
              <w:jc w:val="center"/>
              <w:rPr>
                <w:sz w:val="21"/>
                <w:szCs w:val="21"/>
              </w:rPr>
            </w:pPr>
            <w:r>
              <w:rPr>
                <w:sz w:val="21"/>
                <w:szCs w:val="21"/>
              </w:rPr>
              <w:t>0.29, 0.29</w:t>
            </w:r>
          </w:p>
        </w:tc>
        <w:tc>
          <w:tcPr>
            <w:tcW w:w="2551" w:type="dxa"/>
            <w:noWrap/>
            <w:vAlign w:val="center"/>
          </w:tcPr>
          <w:p w14:paraId="4B67721F" w14:textId="77777777" w:rsidR="00AF1BF8" w:rsidRDefault="00000000">
            <w:pPr>
              <w:pStyle w:val="af7"/>
              <w:jc w:val="center"/>
              <w:rPr>
                <w:sz w:val="21"/>
                <w:szCs w:val="21"/>
              </w:rPr>
            </w:pPr>
            <w:r>
              <w:rPr>
                <w:sz w:val="21"/>
                <w:szCs w:val="21"/>
              </w:rPr>
              <w:t xml:space="preserve">TP, </w:t>
            </w:r>
            <m:oMath>
              <m:sSubSup>
                <m:sSubSupPr>
                  <m:ctrlPr>
                    <w:rPr>
                      <w:rFonts w:ascii="Cambria Math" w:hAnsi="Cambria Math"/>
                      <w:sz w:val="21"/>
                      <w:szCs w:val="21"/>
                    </w:rPr>
                  </m:ctrlPr>
                </m:sSubSupPr>
                <m:e>
                  <m:r>
                    <m:rPr>
                      <m:nor/>
                    </m:rPr>
                    <w:rPr>
                      <w:sz w:val="21"/>
                      <w:szCs w:val="21"/>
                    </w:rPr>
                    <m:t>NH</m:t>
                  </m:r>
                </m:e>
                <m:sub>
                  <m:r>
                    <m:rPr>
                      <m:nor/>
                    </m:rPr>
                    <w:rPr>
                      <w:sz w:val="21"/>
                      <w:szCs w:val="21"/>
                    </w:rPr>
                    <m:t>4</m:t>
                  </m:r>
                </m:sub>
                <m:sup>
                  <m:r>
                    <m:rPr>
                      <m:nor/>
                    </m:rPr>
                    <w:rPr>
                      <w:sz w:val="21"/>
                      <w:szCs w:val="21"/>
                    </w:rPr>
                    <m:t>+</m:t>
                  </m:r>
                </m:sup>
              </m:sSubSup>
            </m:oMath>
            <w:r>
              <w:rPr>
                <w:rFonts w:hint="eastAsia"/>
                <w:sz w:val="21"/>
                <w:szCs w:val="21"/>
              </w:rPr>
              <w:t>-N</w:t>
            </w:r>
          </w:p>
        </w:tc>
      </w:tr>
      <w:tr w:rsidR="00AF1BF8" w14:paraId="10791734" w14:textId="77777777">
        <w:trPr>
          <w:trHeight w:val="276"/>
          <w:jc w:val="center"/>
        </w:trPr>
        <w:tc>
          <w:tcPr>
            <w:tcW w:w="2127" w:type="dxa"/>
            <w:noWrap/>
            <w:vAlign w:val="center"/>
          </w:tcPr>
          <w:p w14:paraId="2B23F68F" w14:textId="77777777" w:rsidR="00AF1BF8" w:rsidRDefault="00000000">
            <w:pPr>
              <w:pStyle w:val="af7"/>
              <w:jc w:val="center"/>
              <w:rPr>
                <w:sz w:val="21"/>
                <w:szCs w:val="21"/>
              </w:rPr>
            </w:pPr>
            <w:proofErr w:type="spellStart"/>
            <w:r>
              <w:rPr>
                <w:sz w:val="21"/>
                <w:szCs w:val="21"/>
              </w:rPr>
              <w:t>fr</w:t>
            </w:r>
            <w:r>
              <w:rPr>
                <w:sz w:val="21"/>
                <w:szCs w:val="21"/>
                <w:vertAlign w:val="subscript"/>
              </w:rPr>
              <w:t>SPO</w:t>
            </w:r>
            <w:proofErr w:type="gramStart"/>
            <w:r>
              <w:rPr>
                <w:sz w:val="21"/>
                <w:szCs w:val="21"/>
                <w:vertAlign w:val="subscript"/>
              </w:rPr>
              <w:t>4,TP</w:t>
            </w:r>
            <w:proofErr w:type="spellEnd"/>
            <w:proofErr w:type="gramEnd"/>
          </w:p>
        </w:tc>
        <w:tc>
          <w:tcPr>
            <w:tcW w:w="1559" w:type="dxa"/>
            <w:noWrap/>
            <w:vAlign w:val="center"/>
          </w:tcPr>
          <w:p w14:paraId="1DB68D97" w14:textId="77777777" w:rsidR="00AF1BF8" w:rsidRDefault="00000000">
            <w:pPr>
              <w:pStyle w:val="af7"/>
              <w:jc w:val="center"/>
              <w:rPr>
                <w:sz w:val="21"/>
                <w:szCs w:val="21"/>
              </w:rPr>
            </w:pPr>
            <w:r>
              <w:rPr>
                <w:sz w:val="21"/>
                <w:szCs w:val="21"/>
              </w:rPr>
              <w:t>%</w:t>
            </w:r>
          </w:p>
        </w:tc>
        <w:tc>
          <w:tcPr>
            <w:tcW w:w="2268" w:type="dxa"/>
            <w:noWrap/>
            <w:vAlign w:val="center"/>
          </w:tcPr>
          <w:p w14:paraId="7F6291D3" w14:textId="77777777" w:rsidR="00AF1BF8" w:rsidRDefault="00000000">
            <w:pPr>
              <w:pStyle w:val="af7"/>
              <w:jc w:val="center"/>
              <w:rPr>
                <w:sz w:val="21"/>
                <w:szCs w:val="21"/>
              </w:rPr>
            </w:pPr>
            <w:r>
              <w:rPr>
                <w:sz w:val="21"/>
                <w:szCs w:val="21"/>
              </w:rPr>
              <w:t>0.14, 0.10</w:t>
            </w:r>
          </w:p>
        </w:tc>
        <w:tc>
          <w:tcPr>
            <w:tcW w:w="2551" w:type="dxa"/>
            <w:noWrap/>
            <w:vAlign w:val="center"/>
          </w:tcPr>
          <w:p w14:paraId="03813FCC" w14:textId="77777777" w:rsidR="00AF1BF8" w:rsidRDefault="00000000">
            <w:pPr>
              <w:pStyle w:val="af7"/>
              <w:jc w:val="center"/>
              <w:rPr>
                <w:sz w:val="21"/>
                <w:szCs w:val="21"/>
              </w:rPr>
            </w:pPr>
            <w:r>
              <w:rPr>
                <w:sz w:val="21"/>
                <w:szCs w:val="21"/>
              </w:rPr>
              <w:t xml:space="preserve">TP, </w:t>
            </w:r>
            <m:oMath>
              <m:sSubSup>
                <m:sSubSupPr>
                  <m:ctrlPr>
                    <w:rPr>
                      <w:rFonts w:ascii="Cambria Math" w:hAnsi="Cambria Math"/>
                      <w:sz w:val="21"/>
                      <w:szCs w:val="21"/>
                    </w:rPr>
                  </m:ctrlPr>
                </m:sSubSupPr>
                <m:e>
                  <m:r>
                    <m:rPr>
                      <m:nor/>
                    </m:rPr>
                    <w:rPr>
                      <w:sz w:val="21"/>
                      <w:szCs w:val="21"/>
                    </w:rPr>
                    <m:t>NH</m:t>
                  </m:r>
                </m:e>
                <m:sub>
                  <m:r>
                    <m:rPr>
                      <m:nor/>
                    </m:rPr>
                    <w:rPr>
                      <w:sz w:val="21"/>
                      <w:szCs w:val="21"/>
                    </w:rPr>
                    <m:t>4</m:t>
                  </m:r>
                </m:sub>
                <m:sup>
                  <m:r>
                    <m:rPr>
                      <m:nor/>
                    </m:rPr>
                    <w:rPr>
                      <w:sz w:val="21"/>
                      <w:szCs w:val="21"/>
                    </w:rPr>
                    <m:t>+</m:t>
                  </m:r>
                </m:sup>
              </m:sSubSup>
            </m:oMath>
            <w:r>
              <w:rPr>
                <w:rFonts w:hint="eastAsia"/>
                <w:sz w:val="21"/>
                <w:szCs w:val="21"/>
              </w:rPr>
              <w:t>-N</w:t>
            </w:r>
          </w:p>
        </w:tc>
      </w:tr>
    </w:tbl>
    <w:p w14:paraId="107BF22C" w14:textId="77777777" w:rsidR="00AF1BF8" w:rsidRDefault="00AF1BF8">
      <w:pPr>
        <w:pStyle w:val="af7"/>
      </w:pPr>
    </w:p>
    <w:p w14:paraId="7E063203" w14:textId="77777777" w:rsidR="00AF1BF8" w:rsidRDefault="00000000">
      <w:pPr>
        <w:pStyle w:val="2"/>
        <w:spacing w:before="10" w:after="10"/>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Text </w:t>
      </w:r>
      <w:proofErr w:type="spellStart"/>
      <w:r>
        <w:rPr>
          <w:rFonts w:ascii="Times New Roman" w:hAnsi="Times New Roman" w:cs="Times New Roman"/>
          <w:color w:val="4472C4" w:themeColor="accent1"/>
          <w:sz w:val="24"/>
          <w:szCs w:val="24"/>
        </w:rPr>
        <w:t>A.</w:t>
      </w:r>
      <w:r>
        <w:rPr>
          <w:rFonts w:ascii="Times New Roman" w:hAnsi="Times New Roman" w:cs="Times New Roman" w:hint="eastAsia"/>
          <w:color w:val="4472C4" w:themeColor="accent1"/>
          <w:sz w:val="24"/>
          <w:szCs w:val="24"/>
        </w:rPr>
        <w:t>3</w:t>
      </w:r>
      <w:r>
        <w:rPr>
          <w:rFonts w:ascii="Times New Roman" w:hAnsi="Times New Roman" w:cs="Times New Roman"/>
          <w:color w:val="4472C4" w:themeColor="accent1"/>
          <w:sz w:val="24"/>
          <w:szCs w:val="24"/>
        </w:rPr>
        <w:t>.</w:t>
      </w:r>
      <w:r>
        <w:rPr>
          <w:rFonts w:ascii="Times New Roman" w:hAnsi="Times New Roman" w:cs="Times New Roman" w:hint="eastAsia"/>
          <w:color w:val="4472C4" w:themeColor="accent1"/>
          <w:sz w:val="24"/>
          <w:szCs w:val="24"/>
        </w:rPr>
        <w:t>3</w:t>
      </w:r>
      <w:proofErr w:type="spellEnd"/>
      <w:r>
        <w:rPr>
          <w:rFonts w:ascii="Times New Roman" w:hAnsi="Times New Roman" w:cs="Times New Roman"/>
          <w:color w:val="4472C4" w:themeColor="accent1"/>
          <w:sz w:val="24"/>
          <w:szCs w:val="24"/>
        </w:rPr>
        <w:t xml:space="preserve"> Steady-state calibration</w:t>
      </w:r>
    </w:p>
    <w:p w14:paraId="4EB9877D" w14:textId="77777777" w:rsidR="00AF1BF8" w:rsidRDefault="00000000">
      <w:pPr>
        <w:ind w:firstLine="478"/>
      </w:pPr>
      <w:r>
        <w:t xml:space="preserve">Steady-state calibration was performed to bring the model to a stable operating condition. The </w:t>
      </w:r>
      <w:r>
        <w:lastRenderedPageBreak/>
        <w:t>simulation period was 30 days with a 1 h recording interval. Input data consisted of monthly average influent flow, water quality, and operating conditions from May to September 2022. After steady-state simulation using the default kinetic parameters, the model was further calibrated by manually adjusting stoichiometric and kinetic parameters based on engineering experience.</w:t>
      </w:r>
    </w:p>
    <w:p w14:paraId="3E8F9D8D" w14:textId="77777777" w:rsidR="00AF1BF8" w:rsidRDefault="00000000">
      <w:pPr>
        <w:ind w:firstLine="478"/>
      </w:pPr>
      <w:r>
        <w:t xml:space="preserve">Currently, no universal standard exists for digital model accuracy in wastewater treatment. The WERF guidelines recommend that relative errors for steady-state simulation be controlled between 5% and 20%. The steady-state calibration results are shown in </w:t>
      </w:r>
      <w:r>
        <w:rPr>
          <w:color w:val="4472C4" w:themeColor="accent1"/>
        </w:rPr>
        <w:t xml:space="preserve">Table </w:t>
      </w:r>
      <w:proofErr w:type="spellStart"/>
      <w:r>
        <w:rPr>
          <w:color w:val="4472C4" w:themeColor="accent1"/>
        </w:rPr>
        <w:t>A7</w:t>
      </w:r>
      <w:proofErr w:type="spellEnd"/>
      <w:r>
        <w:t>. The monthly average simulated effluent values agreed well with observed data, with all relative errors below 10%, indicating satisfactory model performance for subsequent dynamic simulation.</w:t>
      </w:r>
    </w:p>
    <w:p w14:paraId="269C0D94" w14:textId="77777777" w:rsidR="00AF1BF8" w:rsidRDefault="00000000">
      <w:pPr>
        <w:pStyle w:val="af7"/>
        <w:spacing w:line="360" w:lineRule="auto"/>
        <w:jc w:val="center"/>
        <w:rPr>
          <w:color w:val="4472C4" w:themeColor="accent1"/>
          <w:sz w:val="21"/>
          <w:szCs w:val="21"/>
        </w:rPr>
      </w:pPr>
      <w:r>
        <w:rPr>
          <w:rFonts w:hint="eastAsia"/>
          <w:color w:val="4472C4" w:themeColor="accent1"/>
          <w:sz w:val="21"/>
          <w:szCs w:val="21"/>
        </w:rPr>
        <w:t>Table</w:t>
      </w:r>
      <w:r>
        <w:rPr>
          <w:color w:val="4472C4" w:themeColor="accent1"/>
          <w:sz w:val="21"/>
          <w:szCs w:val="21"/>
        </w:rPr>
        <w:t xml:space="preserve"> </w:t>
      </w:r>
      <w:proofErr w:type="spellStart"/>
      <w:r>
        <w:rPr>
          <w:color w:val="4472C4" w:themeColor="accent1"/>
          <w:sz w:val="21"/>
          <w:szCs w:val="21"/>
        </w:rPr>
        <w:t>A7</w:t>
      </w:r>
      <w:proofErr w:type="spellEnd"/>
      <w:r>
        <w:rPr>
          <w:color w:val="4472C4" w:themeColor="accent1"/>
          <w:sz w:val="21"/>
          <w:szCs w:val="21"/>
        </w:rPr>
        <w:t xml:space="preserve"> </w:t>
      </w:r>
      <w:r>
        <w:rPr>
          <w:color w:val="000000" w:themeColor="text1"/>
          <w:sz w:val="21"/>
          <w:szCs w:val="21"/>
        </w:rPr>
        <w:t>Steady-state calibration results</w:t>
      </w:r>
      <w:r>
        <w:rPr>
          <w:rFonts w:hint="eastAsia"/>
          <w:color w:val="000000" w:themeColor="text1"/>
          <w:sz w:val="21"/>
          <w:szCs w:val="21"/>
        </w:rPr>
        <w:t>.</w:t>
      </w:r>
    </w:p>
    <w:tbl>
      <w:tblPr>
        <w:tblStyle w:val="af"/>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718"/>
        <w:gridCol w:w="935"/>
        <w:gridCol w:w="977"/>
        <w:gridCol w:w="935"/>
        <w:gridCol w:w="977"/>
        <w:gridCol w:w="935"/>
        <w:gridCol w:w="977"/>
        <w:gridCol w:w="906"/>
        <w:gridCol w:w="946"/>
      </w:tblGrid>
      <w:tr w:rsidR="00AF1BF8" w14:paraId="1FF7C16D" w14:textId="77777777">
        <w:tc>
          <w:tcPr>
            <w:tcW w:w="748" w:type="dxa"/>
            <w:vMerge w:val="restart"/>
            <w:vAlign w:val="center"/>
          </w:tcPr>
          <w:p w14:paraId="4BC1BB0F" w14:textId="77777777" w:rsidR="00AF1BF8" w:rsidRDefault="00000000">
            <w:pPr>
              <w:pStyle w:val="af7"/>
              <w:jc w:val="center"/>
              <w:rPr>
                <w:kern w:val="0"/>
                <w:sz w:val="18"/>
                <w:szCs w:val="18"/>
              </w:rPr>
            </w:pPr>
            <w:r>
              <w:rPr>
                <w:rFonts w:hint="eastAsia"/>
                <w:kern w:val="0"/>
                <w:sz w:val="18"/>
                <w:szCs w:val="18"/>
              </w:rPr>
              <w:t>Month</w:t>
            </w:r>
          </w:p>
        </w:tc>
        <w:tc>
          <w:tcPr>
            <w:tcW w:w="2000" w:type="dxa"/>
            <w:gridSpan w:val="2"/>
            <w:vAlign w:val="center"/>
          </w:tcPr>
          <w:p w14:paraId="6232158C" w14:textId="77777777" w:rsidR="00AF1BF8" w:rsidRDefault="00000000">
            <w:pPr>
              <w:pStyle w:val="af7"/>
              <w:jc w:val="center"/>
              <w:rPr>
                <w:kern w:val="0"/>
                <w:sz w:val="18"/>
                <w:szCs w:val="18"/>
              </w:rPr>
            </w:pPr>
            <w:r>
              <w:rPr>
                <w:rFonts w:hint="eastAsia"/>
                <w:kern w:val="0"/>
                <w:sz w:val="18"/>
                <w:szCs w:val="18"/>
              </w:rPr>
              <w:t>COD</w:t>
            </w:r>
          </w:p>
        </w:tc>
        <w:tc>
          <w:tcPr>
            <w:tcW w:w="2000" w:type="dxa"/>
            <w:gridSpan w:val="2"/>
            <w:tcBorders>
              <w:bottom w:val="single" w:sz="4" w:space="0" w:color="auto"/>
            </w:tcBorders>
            <w:vAlign w:val="center"/>
          </w:tcPr>
          <w:p w14:paraId="367199AA" w14:textId="77777777" w:rsidR="00AF1BF8" w:rsidRDefault="00000000">
            <w:pPr>
              <w:pStyle w:val="af7"/>
              <w:jc w:val="center"/>
              <w:rPr>
                <w:kern w:val="0"/>
                <w:sz w:val="18"/>
                <w:szCs w:val="18"/>
              </w:rPr>
            </w:pPr>
            <w:r>
              <w:rPr>
                <w:rFonts w:hint="eastAsia"/>
                <w:kern w:val="0"/>
                <w:sz w:val="18"/>
                <w:szCs w:val="18"/>
              </w:rPr>
              <w:t>TN</w:t>
            </w:r>
          </w:p>
        </w:tc>
        <w:tc>
          <w:tcPr>
            <w:tcW w:w="2000" w:type="dxa"/>
            <w:gridSpan w:val="2"/>
            <w:vAlign w:val="center"/>
          </w:tcPr>
          <w:p w14:paraId="3F20E7A0" w14:textId="5F444B48" w:rsidR="00AF1BF8" w:rsidRDefault="00E05736">
            <w:pPr>
              <w:pStyle w:val="af7"/>
              <w:jc w:val="center"/>
              <w:rPr>
                <w:kern w:val="0"/>
                <w:sz w:val="18"/>
                <w:szCs w:val="18"/>
              </w:rPr>
            </w:pPr>
            <w:r>
              <w:rPr>
                <w:rFonts w:hint="eastAsia"/>
                <w:kern w:val="0"/>
                <w:sz w:val="18"/>
                <w:szCs w:val="18"/>
              </w:rPr>
              <w:t>NH</w:t>
            </w:r>
            <w:r w:rsidRPr="00E05736">
              <w:rPr>
                <w:rFonts w:hint="eastAsia"/>
                <w:kern w:val="0"/>
                <w:sz w:val="18"/>
                <w:szCs w:val="18"/>
                <w:vertAlign w:val="subscript"/>
              </w:rPr>
              <w:t>4</w:t>
            </w:r>
            <w:r w:rsidRPr="00E05736">
              <w:rPr>
                <w:rFonts w:hint="eastAsia"/>
                <w:kern w:val="0"/>
                <w:sz w:val="18"/>
                <w:szCs w:val="18"/>
                <w:vertAlign w:val="superscript"/>
              </w:rPr>
              <w:t>+</w:t>
            </w:r>
            <w:r>
              <w:rPr>
                <w:rFonts w:hint="eastAsia"/>
                <w:kern w:val="0"/>
                <w:sz w:val="18"/>
                <w:szCs w:val="18"/>
              </w:rPr>
              <w:t>-N</w:t>
            </w:r>
          </w:p>
        </w:tc>
        <w:tc>
          <w:tcPr>
            <w:tcW w:w="1558" w:type="dxa"/>
            <w:gridSpan w:val="2"/>
            <w:vAlign w:val="center"/>
          </w:tcPr>
          <w:p w14:paraId="6C62A8EF" w14:textId="77777777" w:rsidR="00AF1BF8" w:rsidRDefault="00000000">
            <w:pPr>
              <w:pStyle w:val="af7"/>
              <w:jc w:val="center"/>
              <w:rPr>
                <w:kern w:val="0"/>
                <w:sz w:val="18"/>
                <w:szCs w:val="18"/>
              </w:rPr>
            </w:pPr>
            <w:r>
              <w:rPr>
                <w:rFonts w:hint="eastAsia"/>
                <w:kern w:val="0"/>
                <w:sz w:val="18"/>
                <w:szCs w:val="18"/>
              </w:rPr>
              <w:t>TP</w:t>
            </w:r>
          </w:p>
        </w:tc>
      </w:tr>
      <w:tr w:rsidR="00AF1BF8" w14:paraId="7365C89E" w14:textId="77777777">
        <w:tc>
          <w:tcPr>
            <w:tcW w:w="748" w:type="dxa"/>
            <w:vMerge/>
            <w:tcBorders>
              <w:bottom w:val="single" w:sz="4" w:space="0" w:color="auto"/>
            </w:tcBorders>
            <w:vAlign w:val="center"/>
          </w:tcPr>
          <w:p w14:paraId="7EC43BF3" w14:textId="77777777" w:rsidR="00AF1BF8" w:rsidRDefault="00AF1BF8">
            <w:pPr>
              <w:pStyle w:val="af7"/>
              <w:jc w:val="center"/>
              <w:rPr>
                <w:kern w:val="0"/>
                <w:sz w:val="18"/>
                <w:szCs w:val="18"/>
              </w:rPr>
            </w:pPr>
          </w:p>
        </w:tc>
        <w:tc>
          <w:tcPr>
            <w:tcW w:w="978" w:type="dxa"/>
            <w:tcBorders>
              <w:top w:val="single" w:sz="4" w:space="0" w:color="auto"/>
              <w:bottom w:val="single" w:sz="4" w:space="0" w:color="auto"/>
            </w:tcBorders>
            <w:vAlign w:val="center"/>
          </w:tcPr>
          <w:p w14:paraId="493CD2D0" w14:textId="77777777" w:rsidR="00AF1BF8" w:rsidRDefault="00000000">
            <w:pPr>
              <w:pStyle w:val="af7"/>
              <w:jc w:val="center"/>
              <w:rPr>
                <w:kern w:val="0"/>
                <w:sz w:val="18"/>
                <w:szCs w:val="18"/>
              </w:rPr>
            </w:pPr>
            <w:r>
              <w:rPr>
                <w:rFonts w:hint="eastAsia"/>
                <w:kern w:val="0"/>
                <w:sz w:val="18"/>
                <w:szCs w:val="18"/>
              </w:rPr>
              <w:t>O</w:t>
            </w:r>
            <w:r>
              <w:rPr>
                <w:kern w:val="0"/>
                <w:sz w:val="18"/>
                <w:szCs w:val="18"/>
              </w:rPr>
              <w:t>bserved</w:t>
            </w:r>
            <w:r>
              <w:rPr>
                <w:rFonts w:hint="eastAsia"/>
                <w:kern w:val="0"/>
                <w:sz w:val="18"/>
                <w:szCs w:val="18"/>
              </w:rPr>
              <w:t xml:space="preserve"> (mg/L)</w:t>
            </w:r>
          </w:p>
        </w:tc>
        <w:tc>
          <w:tcPr>
            <w:tcW w:w="1022" w:type="dxa"/>
            <w:tcBorders>
              <w:top w:val="single" w:sz="4" w:space="0" w:color="auto"/>
              <w:bottom w:val="single" w:sz="4" w:space="0" w:color="auto"/>
            </w:tcBorders>
            <w:vAlign w:val="center"/>
          </w:tcPr>
          <w:p w14:paraId="3D704104" w14:textId="77777777" w:rsidR="00AF1BF8" w:rsidRDefault="00000000">
            <w:pPr>
              <w:pStyle w:val="af7"/>
              <w:jc w:val="center"/>
              <w:rPr>
                <w:kern w:val="0"/>
                <w:sz w:val="18"/>
                <w:szCs w:val="18"/>
              </w:rPr>
            </w:pPr>
            <w:r>
              <w:rPr>
                <w:rFonts w:hint="eastAsia"/>
                <w:kern w:val="0"/>
                <w:sz w:val="18"/>
                <w:szCs w:val="18"/>
              </w:rPr>
              <w:t>S</w:t>
            </w:r>
            <w:r>
              <w:rPr>
                <w:kern w:val="0"/>
                <w:sz w:val="18"/>
                <w:szCs w:val="18"/>
              </w:rPr>
              <w:t>imulated</w:t>
            </w:r>
            <w:r>
              <w:rPr>
                <w:rFonts w:hint="eastAsia"/>
                <w:kern w:val="0"/>
                <w:sz w:val="18"/>
                <w:szCs w:val="18"/>
              </w:rPr>
              <w:t xml:space="preserve"> (mg/L)</w:t>
            </w:r>
          </w:p>
        </w:tc>
        <w:tc>
          <w:tcPr>
            <w:tcW w:w="978" w:type="dxa"/>
            <w:tcBorders>
              <w:top w:val="single" w:sz="4" w:space="0" w:color="auto"/>
              <w:bottom w:val="single" w:sz="4" w:space="0" w:color="auto"/>
            </w:tcBorders>
            <w:vAlign w:val="center"/>
          </w:tcPr>
          <w:p w14:paraId="167B0CEC" w14:textId="77777777" w:rsidR="00AF1BF8" w:rsidRDefault="00000000">
            <w:pPr>
              <w:pStyle w:val="af7"/>
              <w:jc w:val="center"/>
              <w:rPr>
                <w:kern w:val="0"/>
                <w:sz w:val="18"/>
                <w:szCs w:val="18"/>
              </w:rPr>
            </w:pPr>
            <w:r>
              <w:rPr>
                <w:rFonts w:hint="eastAsia"/>
                <w:kern w:val="0"/>
                <w:sz w:val="18"/>
                <w:szCs w:val="18"/>
              </w:rPr>
              <w:t>O</w:t>
            </w:r>
            <w:r>
              <w:rPr>
                <w:kern w:val="0"/>
                <w:sz w:val="18"/>
                <w:szCs w:val="18"/>
              </w:rPr>
              <w:t>bserved</w:t>
            </w:r>
            <w:r>
              <w:rPr>
                <w:rFonts w:hint="eastAsia"/>
                <w:kern w:val="0"/>
                <w:sz w:val="18"/>
                <w:szCs w:val="18"/>
              </w:rPr>
              <w:t xml:space="preserve"> (mg/L)</w:t>
            </w:r>
          </w:p>
        </w:tc>
        <w:tc>
          <w:tcPr>
            <w:tcW w:w="1022" w:type="dxa"/>
            <w:tcBorders>
              <w:top w:val="single" w:sz="4" w:space="0" w:color="auto"/>
              <w:bottom w:val="single" w:sz="4" w:space="0" w:color="auto"/>
            </w:tcBorders>
            <w:vAlign w:val="center"/>
          </w:tcPr>
          <w:p w14:paraId="09AB84BE" w14:textId="77777777" w:rsidR="00AF1BF8" w:rsidRDefault="00000000">
            <w:pPr>
              <w:pStyle w:val="af7"/>
              <w:jc w:val="center"/>
              <w:rPr>
                <w:kern w:val="0"/>
                <w:sz w:val="18"/>
                <w:szCs w:val="18"/>
              </w:rPr>
            </w:pPr>
            <w:r>
              <w:rPr>
                <w:rFonts w:hint="eastAsia"/>
                <w:kern w:val="0"/>
                <w:sz w:val="18"/>
                <w:szCs w:val="18"/>
              </w:rPr>
              <w:t>S</w:t>
            </w:r>
            <w:r>
              <w:rPr>
                <w:kern w:val="0"/>
                <w:sz w:val="18"/>
                <w:szCs w:val="18"/>
              </w:rPr>
              <w:t>imulated</w:t>
            </w:r>
            <w:r>
              <w:rPr>
                <w:rFonts w:hint="eastAsia"/>
                <w:kern w:val="0"/>
                <w:sz w:val="18"/>
                <w:szCs w:val="18"/>
              </w:rPr>
              <w:t xml:space="preserve"> (mg/L)</w:t>
            </w:r>
          </w:p>
        </w:tc>
        <w:tc>
          <w:tcPr>
            <w:tcW w:w="978" w:type="dxa"/>
            <w:tcBorders>
              <w:top w:val="single" w:sz="4" w:space="0" w:color="auto"/>
              <w:bottom w:val="single" w:sz="4" w:space="0" w:color="auto"/>
            </w:tcBorders>
            <w:vAlign w:val="center"/>
          </w:tcPr>
          <w:p w14:paraId="141019AF" w14:textId="77777777" w:rsidR="00AF1BF8" w:rsidRDefault="00000000">
            <w:pPr>
              <w:pStyle w:val="af7"/>
              <w:jc w:val="center"/>
              <w:rPr>
                <w:kern w:val="0"/>
                <w:sz w:val="18"/>
                <w:szCs w:val="18"/>
              </w:rPr>
            </w:pPr>
            <w:r>
              <w:rPr>
                <w:rFonts w:hint="eastAsia"/>
                <w:kern w:val="0"/>
                <w:sz w:val="18"/>
                <w:szCs w:val="18"/>
              </w:rPr>
              <w:t>O</w:t>
            </w:r>
            <w:r>
              <w:rPr>
                <w:kern w:val="0"/>
                <w:sz w:val="18"/>
                <w:szCs w:val="18"/>
              </w:rPr>
              <w:t>bserved</w:t>
            </w:r>
            <w:r>
              <w:rPr>
                <w:rFonts w:hint="eastAsia"/>
                <w:kern w:val="0"/>
                <w:sz w:val="18"/>
                <w:szCs w:val="18"/>
              </w:rPr>
              <w:t xml:space="preserve"> (mg/L)</w:t>
            </w:r>
          </w:p>
        </w:tc>
        <w:tc>
          <w:tcPr>
            <w:tcW w:w="1022" w:type="dxa"/>
            <w:tcBorders>
              <w:top w:val="single" w:sz="4" w:space="0" w:color="auto"/>
              <w:bottom w:val="single" w:sz="4" w:space="0" w:color="auto"/>
            </w:tcBorders>
            <w:vAlign w:val="center"/>
          </w:tcPr>
          <w:p w14:paraId="48B60BF1" w14:textId="77777777" w:rsidR="00AF1BF8" w:rsidRDefault="00000000">
            <w:pPr>
              <w:pStyle w:val="af7"/>
              <w:jc w:val="center"/>
              <w:rPr>
                <w:kern w:val="0"/>
                <w:sz w:val="18"/>
                <w:szCs w:val="18"/>
              </w:rPr>
            </w:pPr>
            <w:r>
              <w:rPr>
                <w:rFonts w:hint="eastAsia"/>
                <w:kern w:val="0"/>
                <w:sz w:val="18"/>
                <w:szCs w:val="18"/>
              </w:rPr>
              <w:t>S</w:t>
            </w:r>
            <w:r>
              <w:rPr>
                <w:kern w:val="0"/>
                <w:sz w:val="18"/>
                <w:szCs w:val="18"/>
              </w:rPr>
              <w:t>imulated</w:t>
            </w:r>
            <w:r>
              <w:rPr>
                <w:rFonts w:hint="eastAsia"/>
                <w:kern w:val="0"/>
                <w:sz w:val="18"/>
                <w:szCs w:val="18"/>
              </w:rPr>
              <w:t xml:space="preserve"> (mg/L)</w:t>
            </w:r>
          </w:p>
        </w:tc>
        <w:tc>
          <w:tcPr>
            <w:tcW w:w="779" w:type="dxa"/>
            <w:tcBorders>
              <w:top w:val="single" w:sz="4" w:space="0" w:color="auto"/>
              <w:bottom w:val="single" w:sz="4" w:space="0" w:color="auto"/>
            </w:tcBorders>
            <w:vAlign w:val="center"/>
          </w:tcPr>
          <w:p w14:paraId="0AF4ED54" w14:textId="77777777" w:rsidR="00AF1BF8" w:rsidRDefault="00000000">
            <w:pPr>
              <w:pStyle w:val="af7"/>
              <w:jc w:val="center"/>
              <w:rPr>
                <w:kern w:val="0"/>
                <w:sz w:val="18"/>
                <w:szCs w:val="18"/>
              </w:rPr>
            </w:pPr>
            <w:r>
              <w:rPr>
                <w:rFonts w:hint="eastAsia"/>
                <w:kern w:val="0"/>
                <w:sz w:val="18"/>
                <w:szCs w:val="18"/>
              </w:rPr>
              <w:t>O</w:t>
            </w:r>
            <w:r>
              <w:rPr>
                <w:kern w:val="0"/>
                <w:sz w:val="18"/>
                <w:szCs w:val="18"/>
              </w:rPr>
              <w:t>bserved</w:t>
            </w:r>
            <w:r>
              <w:rPr>
                <w:rFonts w:hint="eastAsia"/>
                <w:kern w:val="0"/>
                <w:sz w:val="18"/>
                <w:szCs w:val="18"/>
              </w:rPr>
              <w:t xml:space="preserve"> (mg/L)</w:t>
            </w:r>
          </w:p>
        </w:tc>
        <w:tc>
          <w:tcPr>
            <w:tcW w:w="779" w:type="dxa"/>
            <w:tcBorders>
              <w:top w:val="single" w:sz="4" w:space="0" w:color="auto"/>
              <w:bottom w:val="single" w:sz="4" w:space="0" w:color="auto"/>
            </w:tcBorders>
            <w:vAlign w:val="center"/>
          </w:tcPr>
          <w:p w14:paraId="71415BA5" w14:textId="77777777" w:rsidR="00AF1BF8" w:rsidRDefault="00000000">
            <w:pPr>
              <w:pStyle w:val="af7"/>
              <w:jc w:val="center"/>
              <w:rPr>
                <w:kern w:val="0"/>
                <w:sz w:val="18"/>
                <w:szCs w:val="18"/>
              </w:rPr>
            </w:pPr>
            <w:r>
              <w:rPr>
                <w:rFonts w:hint="eastAsia"/>
                <w:kern w:val="0"/>
                <w:sz w:val="18"/>
                <w:szCs w:val="18"/>
              </w:rPr>
              <w:t>S</w:t>
            </w:r>
            <w:r>
              <w:rPr>
                <w:kern w:val="0"/>
                <w:sz w:val="18"/>
                <w:szCs w:val="18"/>
              </w:rPr>
              <w:t>imulated</w:t>
            </w:r>
            <w:r>
              <w:rPr>
                <w:rFonts w:hint="eastAsia"/>
                <w:kern w:val="0"/>
                <w:sz w:val="18"/>
                <w:szCs w:val="18"/>
              </w:rPr>
              <w:t xml:space="preserve"> (mg/L)</w:t>
            </w:r>
          </w:p>
        </w:tc>
      </w:tr>
      <w:tr w:rsidR="00AF1BF8" w14:paraId="364140A4" w14:textId="77777777">
        <w:tc>
          <w:tcPr>
            <w:tcW w:w="748" w:type="dxa"/>
            <w:tcBorders>
              <w:top w:val="single" w:sz="4" w:space="0" w:color="auto"/>
            </w:tcBorders>
            <w:vAlign w:val="center"/>
          </w:tcPr>
          <w:p w14:paraId="22CE4305" w14:textId="77777777" w:rsidR="00AF1BF8" w:rsidRDefault="00000000">
            <w:pPr>
              <w:pStyle w:val="af7"/>
              <w:jc w:val="center"/>
              <w:rPr>
                <w:kern w:val="0"/>
                <w:sz w:val="18"/>
                <w:szCs w:val="18"/>
              </w:rPr>
            </w:pPr>
            <w:r>
              <w:rPr>
                <w:rFonts w:hint="eastAsia"/>
                <w:kern w:val="0"/>
                <w:sz w:val="18"/>
                <w:szCs w:val="18"/>
              </w:rPr>
              <w:t>May</w:t>
            </w:r>
          </w:p>
        </w:tc>
        <w:tc>
          <w:tcPr>
            <w:tcW w:w="978" w:type="dxa"/>
            <w:tcBorders>
              <w:top w:val="single" w:sz="4" w:space="0" w:color="auto"/>
            </w:tcBorders>
            <w:vAlign w:val="center"/>
          </w:tcPr>
          <w:p w14:paraId="5DEDE6C3" w14:textId="77777777" w:rsidR="00AF1BF8" w:rsidRDefault="00000000">
            <w:pPr>
              <w:pStyle w:val="af7"/>
              <w:jc w:val="center"/>
              <w:rPr>
                <w:kern w:val="0"/>
                <w:sz w:val="18"/>
                <w:szCs w:val="18"/>
              </w:rPr>
            </w:pPr>
            <w:r>
              <w:rPr>
                <w:rFonts w:hint="eastAsia"/>
                <w:kern w:val="0"/>
                <w:sz w:val="18"/>
                <w:szCs w:val="18"/>
              </w:rPr>
              <w:t>25.455</w:t>
            </w:r>
          </w:p>
        </w:tc>
        <w:tc>
          <w:tcPr>
            <w:tcW w:w="1022" w:type="dxa"/>
            <w:tcBorders>
              <w:top w:val="single" w:sz="4" w:space="0" w:color="auto"/>
            </w:tcBorders>
            <w:vAlign w:val="center"/>
          </w:tcPr>
          <w:p w14:paraId="0ABABFC7" w14:textId="77777777" w:rsidR="00AF1BF8" w:rsidRDefault="00000000">
            <w:pPr>
              <w:pStyle w:val="af7"/>
              <w:jc w:val="center"/>
              <w:rPr>
                <w:kern w:val="0"/>
                <w:sz w:val="18"/>
                <w:szCs w:val="18"/>
              </w:rPr>
            </w:pPr>
            <w:r>
              <w:rPr>
                <w:rFonts w:hint="eastAsia"/>
                <w:kern w:val="0"/>
                <w:sz w:val="18"/>
                <w:szCs w:val="18"/>
              </w:rPr>
              <w:t>25.592</w:t>
            </w:r>
          </w:p>
        </w:tc>
        <w:tc>
          <w:tcPr>
            <w:tcW w:w="978" w:type="dxa"/>
            <w:tcBorders>
              <w:top w:val="single" w:sz="4" w:space="0" w:color="auto"/>
            </w:tcBorders>
            <w:vAlign w:val="center"/>
          </w:tcPr>
          <w:p w14:paraId="395BEF37" w14:textId="77777777" w:rsidR="00AF1BF8" w:rsidRDefault="00000000">
            <w:pPr>
              <w:pStyle w:val="af7"/>
              <w:jc w:val="center"/>
              <w:rPr>
                <w:kern w:val="0"/>
                <w:sz w:val="18"/>
                <w:szCs w:val="18"/>
              </w:rPr>
            </w:pPr>
            <w:r>
              <w:rPr>
                <w:rFonts w:hint="eastAsia"/>
                <w:kern w:val="0"/>
                <w:sz w:val="18"/>
                <w:szCs w:val="18"/>
              </w:rPr>
              <w:t>11.997</w:t>
            </w:r>
          </w:p>
        </w:tc>
        <w:tc>
          <w:tcPr>
            <w:tcW w:w="1022" w:type="dxa"/>
            <w:tcBorders>
              <w:top w:val="single" w:sz="4" w:space="0" w:color="auto"/>
            </w:tcBorders>
            <w:vAlign w:val="center"/>
          </w:tcPr>
          <w:p w14:paraId="16F4D41E" w14:textId="77777777" w:rsidR="00AF1BF8" w:rsidRDefault="00000000">
            <w:pPr>
              <w:pStyle w:val="af7"/>
              <w:jc w:val="center"/>
              <w:rPr>
                <w:kern w:val="0"/>
                <w:sz w:val="18"/>
                <w:szCs w:val="18"/>
              </w:rPr>
            </w:pPr>
            <w:r>
              <w:rPr>
                <w:rFonts w:hint="eastAsia"/>
                <w:kern w:val="0"/>
                <w:sz w:val="18"/>
                <w:szCs w:val="18"/>
              </w:rPr>
              <w:t>12.039</w:t>
            </w:r>
          </w:p>
        </w:tc>
        <w:tc>
          <w:tcPr>
            <w:tcW w:w="978" w:type="dxa"/>
            <w:tcBorders>
              <w:top w:val="single" w:sz="4" w:space="0" w:color="auto"/>
            </w:tcBorders>
            <w:vAlign w:val="center"/>
          </w:tcPr>
          <w:p w14:paraId="497A5325" w14:textId="77777777" w:rsidR="00AF1BF8" w:rsidRDefault="00000000">
            <w:pPr>
              <w:pStyle w:val="af7"/>
              <w:jc w:val="center"/>
              <w:rPr>
                <w:kern w:val="0"/>
                <w:sz w:val="18"/>
                <w:szCs w:val="18"/>
              </w:rPr>
            </w:pPr>
            <w:r>
              <w:rPr>
                <w:rFonts w:hint="eastAsia"/>
                <w:kern w:val="0"/>
                <w:sz w:val="18"/>
                <w:szCs w:val="18"/>
              </w:rPr>
              <w:t>0.615</w:t>
            </w:r>
          </w:p>
        </w:tc>
        <w:tc>
          <w:tcPr>
            <w:tcW w:w="1022" w:type="dxa"/>
            <w:tcBorders>
              <w:top w:val="single" w:sz="4" w:space="0" w:color="auto"/>
            </w:tcBorders>
            <w:vAlign w:val="center"/>
          </w:tcPr>
          <w:p w14:paraId="74D4A0E2" w14:textId="77777777" w:rsidR="00AF1BF8" w:rsidRDefault="00000000">
            <w:pPr>
              <w:pStyle w:val="af7"/>
              <w:jc w:val="center"/>
              <w:rPr>
                <w:kern w:val="0"/>
                <w:sz w:val="18"/>
                <w:szCs w:val="18"/>
              </w:rPr>
            </w:pPr>
            <w:r>
              <w:rPr>
                <w:rFonts w:hint="eastAsia"/>
                <w:kern w:val="0"/>
                <w:sz w:val="18"/>
                <w:szCs w:val="18"/>
              </w:rPr>
              <w:t>0.620</w:t>
            </w:r>
          </w:p>
        </w:tc>
        <w:tc>
          <w:tcPr>
            <w:tcW w:w="779" w:type="dxa"/>
            <w:tcBorders>
              <w:top w:val="single" w:sz="4" w:space="0" w:color="auto"/>
            </w:tcBorders>
            <w:vAlign w:val="center"/>
          </w:tcPr>
          <w:p w14:paraId="1C2CF444" w14:textId="77777777" w:rsidR="00AF1BF8" w:rsidRDefault="00000000">
            <w:pPr>
              <w:pStyle w:val="af7"/>
              <w:jc w:val="center"/>
              <w:rPr>
                <w:kern w:val="0"/>
                <w:sz w:val="18"/>
                <w:szCs w:val="18"/>
              </w:rPr>
            </w:pPr>
            <w:r>
              <w:rPr>
                <w:rFonts w:hint="eastAsia"/>
                <w:kern w:val="0"/>
                <w:sz w:val="18"/>
                <w:szCs w:val="18"/>
              </w:rPr>
              <w:t>0.264</w:t>
            </w:r>
          </w:p>
        </w:tc>
        <w:tc>
          <w:tcPr>
            <w:tcW w:w="779" w:type="dxa"/>
            <w:tcBorders>
              <w:top w:val="single" w:sz="4" w:space="0" w:color="auto"/>
            </w:tcBorders>
            <w:vAlign w:val="center"/>
          </w:tcPr>
          <w:p w14:paraId="03A3996B" w14:textId="77777777" w:rsidR="00AF1BF8" w:rsidRDefault="00000000">
            <w:pPr>
              <w:pStyle w:val="af7"/>
              <w:jc w:val="center"/>
              <w:rPr>
                <w:kern w:val="0"/>
                <w:sz w:val="18"/>
                <w:szCs w:val="18"/>
              </w:rPr>
            </w:pPr>
            <w:r>
              <w:rPr>
                <w:rFonts w:hint="eastAsia"/>
                <w:kern w:val="0"/>
                <w:sz w:val="18"/>
                <w:szCs w:val="18"/>
              </w:rPr>
              <w:t>0.266</w:t>
            </w:r>
          </w:p>
        </w:tc>
      </w:tr>
      <w:tr w:rsidR="00AF1BF8" w14:paraId="68C9C784" w14:textId="77777777">
        <w:tc>
          <w:tcPr>
            <w:tcW w:w="748" w:type="dxa"/>
            <w:vAlign w:val="center"/>
          </w:tcPr>
          <w:p w14:paraId="005991D9" w14:textId="77777777" w:rsidR="00AF1BF8" w:rsidRDefault="00000000">
            <w:pPr>
              <w:pStyle w:val="af7"/>
              <w:jc w:val="center"/>
              <w:rPr>
                <w:kern w:val="0"/>
                <w:sz w:val="18"/>
                <w:szCs w:val="18"/>
              </w:rPr>
            </w:pPr>
            <w:r>
              <w:rPr>
                <w:rFonts w:hint="eastAsia"/>
                <w:kern w:val="0"/>
                <w:sz w:val="18"/>
                <w:szCs w:val="18"/>
              </w:rPr>
              <w:t>June</w:t>
            </w:r>
          </w:p>
        </w:tc>
        <w:tc>
          <w:tcPr>
            <w:tcW w:w="978" w:type="dxa"/>
            <w:vAlign w:val="center"/>
          </w:tcPr>
          <w:p w14:paraId="073CE323" w14:textId="77777777" w:rsidR="00AF1BF8" w:rsidRDefault="00000000">
            <w:pPr>
              <w:pStyle w:val="af7"/>
              <w:jc w:val="center"/>
              <w:rPr>
                <w:kern w:val="0"/>
                <w:sz w:val="18"/>
                <w:szCs w:val="18"/>
              </w:rPr>
            </w:pPr>
            <w:r>
              <w:rPr>
                <w:rFonts w:hint="eastAsia"/>
                <w:kern w:val="0"/>
                <w:sz w:val="18"/>
                <w:szCs w:val="18"/>
              </w:rPr>
              <w:t>26.131</w:t>
            </w:r>
          </w:p>
        </w:tc>
        <w:tc>
          <w:tcPr>
            <w:tcW w:w="1022" w:type="dxa"/>
            <w:vAlign w:val="center"/>
          </w:tcPr>
          <w:p w14:paraId="45E27D1F" w14:textId="77777777" w:rsidR="00AF1BF8" w:rsidRDefault="00000000">
            <w:pPr>
              <w:pStyle w:val="af7"/>
              <w:jc w:val="center"/>
              <w:rPr>
                <w:kern w:val="0"/>
                <w:sz w:val="18"/>
                <w:szCs w:val="18"/>
              </w:rPr>
            </w:pPr>
            <w:r>
              <w:rPr>
                <w:rFonts w:hint="eastAsia"/>
                <w:kern w:val="0"/>
                <w:sz w:val="18"/>
                <w:szCs w:val="18"/>
              </w:rPr>
              <w:t>26.417</w:t>
            </w:r>
          </w:p>
        </w:tc>
        <w:tc>
          <w:tcPr>
            <w:tcW w:w="978" w:type="dxa"/>
            <w:vAlign w:val="center"/>
          </w:tcPr>
          <w:p w14:paraId="1CE6FA74" w14:textId="77777777" w:rsidR="00AF1BF8" w:rsidRDefault="00000000">
            <w:pPr>
              <w:pStyle w:val="af7"/>
              <w:jc w:val="center"/>
              <w:rPr>
                <w:kern w:val="0"/>
                <w:sz w:val="18"/>
                <w:szCs w:val="18"/>
              </w:rPr>
            </w:pPr>
            <w:r>
              <w:rPr>
                <w:rFonts w:hint="eastAsia"/>
                <w:kern w:val="0"/>
                <w:sz w:val="18"/>
                <w:szCs w:val="18"/>
              </w:rPr>
              <w:t>12.398</w:t>
            </w:r>
          </w:p>
        </w:tc>
        <w:tc>
          <w:tcPr>
            <w:tcW w:w="1022" w:type="dxa"/>
            <w:vAlign w:val="center"/>
          </w:tcPr>
          <w:p w14:paraId="6422E36B" w14:textId="77777777" w:rsidR="00AF1BF8" w:rsidRDefault="00000000">
            <w:pPr>
              <w:pStyle w:val="af7"/>
              <w:jc w:val="center"/>
              <w:rPr>
                <w:kern w:val="0"/>
                <w:sz w:val="18"/>
                <w:szCs w:val="18"/>
              </w:rPr>
            </w:pPr>
            <w:r>
              <w:rPr>
                <w:rFonts w:hint="eastAsia"/>
                <w:kern w:val="0"/>
                <w:sz w:val="18"/>
                <w:szCs w:val="18"/>
              </w:rPr>
              <w:t>12.119</w:t>
            </w:r>
          </w:p>
        </w:tc>
        <w:tc>
          <w:tcPr>
            <w:tcW w:w="978" w:type="dxa"/>
            <w:vAlign w:val="center"/>
          </w:tcPr>
          <w:p w14:paraId="297B7150" w14:textId="77777777" w:rsidR="00AF1BF8" w:rsidRDefault="00000000">
            <w:pPr>
              <w:pStyle w:val="af7"/>
              <w:jc w:val="center"/>
              <w:rPr>
                <w:kern w:val="0"/>
                <w:sz w:val="18"/>
                <w:szCs w:val="18"/>
              </w:rPr>
            </w:pPr>
            <w:r>
              <w:rPr>
                <w:rFonts w:hint="eastAsia"/>
                <w:kern w:val="0"/>
                <w:sz w:val="18"/>
                <w:szCs w:val="18"/>
              </w:rPr>
              <w:t>0.782</w:t>
            </w:r>
          </w:p>
        </w:tc>
        <w:tc>
          <w:tcPr>
            <w:tcW w:w="1022" w:type="dxa"/>
            <w:vAlign w:val="center"/>
          </w:tcPr>
          <w:p w14:paraId="7FB6E40C" w14:textId="77777777" w:rsidR="00AF1BF8" w:rsidRDefault="00000000">
            <w:pPr>
              <w:pStyle w:val="af7"/>
              <w:jc w:val="center"/>
              <w:rPr>
                <w:kern w:val="0"/>
                <w:sz w:val="18"/>
                <w:szCs w:val="18"/>
              </w:rPr>
            </w:pPr>
            <w:r>
              <w:rPr>
                <w:rFonts w:hint="eastAsia"/>
                <w:kern w:val="0"/>
                <w:sz w:val="18"/>
                <w:szCs w:val="18"/>
              </w:rPr>
              <w:t>0.800</w:t>
            </w:r>
          </w:p>
        </w:tc>
        <w:tc>
          <w:tcPr>
            <w:tcW w:w="779" w:type="dxa"/>
            <w:vAlign w:val="center"/>
          </w:tcPr>
          <w:p w14:paraId="2657A655" w14:textId="77777777" w:rsidR="00AF1BF8" w:rsidRDefault="00000000">
            <w:pPr>
              <w:pStyle w:val="af7"/>
              <w:jc w:val="center"/>
              <w:rPr>
                <w:kern w:val="0"/>
                <w:sz w:val="18"/>
                <w:szCs w:val="18"/>
              </w:rPr>
            </w:pPr>
            <w:r>
              <w:rPr>
                <w:rFonts w:hint="eastAsia"/>
                <w:kern w:val="0"/>
                <w:sz w:val="18"/>
                <w:szCs w:val="18"/>
              </w:rPr>
              <w:t>0.213</w:t>
            </w:r>
          </w:p>
        </w:tc>
        <w:tc>
          <w:tcPr>
            <w:tcW w:w="779" w:type="dxa"/>
            <w:vAlign w:val="center"/>
          </w:tcPr>
          <w:p w14:paraId="0B94DC08" w14:textId="77777777" w:rsidR="00AF1BF8" w:rsidRDefault="00000000">
            <w:pPr>
              <w:pStyle w:val="af7"/>
              <w:jc w:val="center"/>
              <w:rPr>
                <w:kern w:val="0"/>
                <w:sz w:val="18"/>
                <w:szCs w:val="18"/>
              </w:rPr>
            </w:pPr>
            <w:r>
              <w:rPr>
                <w:rFonts w:hint="eastAsia"/>
                <w:kern w:val="0"/>
                <w:sz w:val="18"/>
                <w:szCs w:val="18"/>
              </w:rPr>
              <w:t>0.215</w:t>
            </w:r>
          </w:p>
        </w:tc>
      </w:tr>
      <w:tr w:rsidR="00AF1BF8" w14:paraId="2E383125" w14:textId="77777777">
        <w:tc>
          <w:tcPr>
            <w:tcW w:w="748" w:type="dxa"/>
            <w:vAlign w:val="center"/>
          </w:tcPr>
          <w:p w14:paraId="1FF7FE07" w14:textId="77777777" w:rsidR="00AF1BF8" w:rsidRDefault="00000000">
            <w:pPr>
              <w:pStyle w:val="af7"/>
              <w:jc w:val="center"/>
              <w:rPr>
                <w:kern w:val="0"/>
                <w:sz w:val="18"/>
                <w:szCs w:val="18"/>
              </w:rPr>
            </w:pPr>
            <w:r>
              <w:rPr>
                <w:rFonts w:hint="eastAsia"/>
                <w:kern w:val="0"/>
                <w:sz w:val="18"/>
                <w:szCs w:val="18"/>
              </w:rPr>
              <w:t>July</w:t>
            </w:r>
          </w:p>
        </w:tc>
        <w:tc>
          <w:tcPr>
            <w:tcW w:w="978" w:type="dxa"/>
            <w:vAlign w:val="center"/>
          </w:tcPr>
          <w:p w14:paraId="07D91BAD" w14:textId="77777777" w:rsidR="00AF1BF8" w:rsidRDefault="00000000">
            <w:pPr>
              <w:pStyle w:val="af7"/>
              <w:jc w:val="center"/>
              <w:rPr>
                <w:kern w:val="0"/>
                <w:sz w:val="18"/>
                <w:szCs w:val="18"/>
              </w:rPr>
            </w:pPr>
            <w:r>
              <w:rPr>
                <w:rFonts w:hint="eastAsia"/>
                <w:kern w:val="0"/>
                <w:sz w:val="18"/>
                <w:szCs w:val="18"/>
              </w:rPr>
              <w:t>26.590</w:t>
            </w:r>
          </w:p>
        </w:tc>
        <w:tc>
          <w:tcPr>
            <w:tcW w:w="1022" w:type="dxa"/>
            <w:vAlign w:val="center"/>
          </w:tcPr>
          <w:p w14:paraId="2F077A1D" w14:textId="77777777" w:rsidR="00AF1BF8" w:rsidRDefault="00000000">
            <w:pPr>
              <w:pStyle w:val="af7"/>
              <w:jc w:val="center"/>
              <w:rPr>
                <w:kern w:val="0"/>
                <w:sz w:val="18"/>
                <w:szCs w:val="18"/>
              </w:rPr>
            </w:pPr>
            <w:r>
              <w:rPr>
                <w:rFonts w:hint="eastAsia"/>
                <w:kern w:val="0"/>
                <w:sz w:val="18"/>
                <w:szCs w:val="18"/>
              </w:rPr>
              <w:t>26.138</w:t>
            </w:r>
          </w:p>
        </w:tc>
        <w:tc>
          <w:tcPr>
            <w:tcW w:w="978" w:type="dxa"/>
            <w:vAlign w:val="center"/>
          </w:tcPr>
          <w:p w14:paraId="4CE48233" w14:textId="77777777" w:rsidR="00AF1BF8" w:rsidRDefault="00000000">
            <w:pPr>
              <w:pStyle w:val="af7"/>
              <w:jc w:val="center"/>
              <w:rPr>
                <w:kern w:val="0"/>
                <w:sz w:val="18"/>
                <w:szCs w:val="18"/>
              </w:rPr>
            </w:pPr>
            <w:r>
              <w:rPr>
                <w:rFonts w:hint="eastAsia"/>
                <w:kern w:val="0"/>
                <w:sz w:val="18"/>
                <w:szCs w:val="18"/>
              </w:rPr>
              <w:t>12.529</w:t>
            </w:r>
          </w:p>
        </w:tc>
        <w:tc>
          <w:tcPr>
            <w:tcW w:w="1022" w:type="dxa"/>
            <w:vAlign w:val="center"/>
          </w:tcPr>
          <w:p w14:paraId="7563CC4B" w14:textId="77777777" w:rsidR="00AF1BF8" w:rsidRDefault="00000000">
            <w:pPr>
              <w:pStyle w:val="af7"/>
              <w:jc w:val="center"/>
              <w:rPr>
                <w:kern w:val="0"/>
                <w:sz w:val="18"/>
                <w:szCs w:val="18"/>
              </w:rPr>
            </w:pPr>
            <w:r>
              <w:rPr>
                <w:rFonts w:hint="eastAsia"/>
                <w:kern w:val="0"/>
                <w:sz w:val="18"/>
                <w:szCs w:val="18"/>
              </w:rPr>
              <w:t>12.490</w:t>
            </w:r>
          </w:p>
        </w:tc>
        <w:tc>
          <w:tcPr>
            <w:tcW w:w="978" w:type="dxa"/>
            <w:vAlign w:val="center"/>
          </w:tcPr>
          <w:p w14:paraId="10A15D6C" w14:textId="77777777" w:rsidR="00AF1BF8" w:rsidRDefault="00000000">
            <w:pPr>
              <w:pStyle w:val="af7"/>
              <w:jc w:val="center"/>
              <w:rPr>
                <w:kern w:val="0"/>
                <w:sz w:val="18"/>
                <w:szCs w:val="18"/>
              </w:rPr>
            </w:pPr>
            <w:r>
              <w:rPr>
                <w:rFonts w:hint="eastAsia"/>
                <w:kern w:val="0"/>
                <w:sz w:val="18"/>
                <w:szCs w:val="18"/>
              </w:rPr>
              <w:t>0.911</w:t>
            </w:r>
          </w:p>
        </w:tc>
        <w:tc>
          <w:tcPr>
            <w:tcW w:w="1022" w:type="dxa"/>
            <w:vAlign w:val="center"/>
          </w:tcPr>
          <w:p w14:paraId="1989BB99" w14:textId="77777777" w:rsidR="00AF1BF8" w:rsidRDefault="00000000">
            <w:pPr>
              <w:pStyle w:val="af7"/>
              <w:jc w:val="center"/>
              <w:rPr>
                <w:kern w:val="0"/>
                <w:sz w:val="18"/>
                <w:szCs w:val="18"/>
              </w:rPr>
            </w:pPr>
            <w:r>
              <w:rPr>
                <w:rFonts w:hint="eastAsia"/>
                <w:kern w:val="0"/>
                <w:sz w:val="18"/>
                <w:szCs w:val="18"/>
              </w:rPr>
              <w:t>0.896</w:t>
            </w:r>
          </w:p>
        </w:tc>
        <w:tc>
          <w:tcPr>
            <w:tcW w:w="779" w:type="dxa"/>
            <w:vAlign w:val="center"/>
          </w:tcPr>
          <w:p w14:paraId="53EE9B5F" w14:textId="77777777" w:rsidR="00AF1BF8" w:rsidRDefault="00000000">
            <w:pPr>
              <w:pStyle w:val="af7"/>
              <w:jc w:val="center"/>
              <w:rPr>
                <w:kern w:val="0"/>
                <w:sz w:val="18"/>
                <w:szCs w:val="18"/>
              </w:rPr>
            </w:pPr>
            <w:r>
              <w:rPr>
                <w:rFonts w:hint="eastAsia"/>
                <w:kern w:val="0"/>
                <w:sz w:val="18"/>
                <w:szCs w:val="18"/>
              </w:rPr>
              <w:t>0.197</w:t>
            </w:r>
          </w:p>
        </w:tc>
        <w:tc>
          <w:tcPr>
            <w:tcW w:w="779" w:type="dxa"/>
            <w:vAlign w:val="center"/>
          </w:tcPr>
          <w:p w14:paraId="03CB6D99" w14:textId="77777777" w:rsidR="00AF1BF8" w:rsidRDefault="00000000">
            <w:pPr>
              <w:pStyle w:val="af7"/>
              <w:jc w:val="center"/>
              <w:rPr>
                <w:kern w:val="0"/>
                <w:sz w:val="18"/>
                <w:szCs w:val="18"/>
              </w:rPr>
            </w:pPr>
            <w:r>
              <w:rPr>
                <w:rFonts w:hint="eastAsia"/>
                <w:kern w:val="0"/>
                <w:sz w:val="18"/>
                <w:szCs w:val="18"/>
              </w:rPr>
              <w:t>0.195</w:t>
            </w:r>
          </w:p>
        </w:tc>
      </w:tr>
      <w:tr w:rsidR="00AF1BF8" w14:paraId="24EDB86A" w14:textId="77777777">
        <w:tc>
          <w:tcPr>
            <w:tcW w:w="748" w:type="dxa"/>
            <w:vAlign w:val="center"/>
          </w:tcPr>
          <w:p w14:paraId="3CC21283" w14:textId="77777777" w:rsidR="00AF1BF8" w:rsidRDefault="00000000">
            <w:pPr>
              <w:pStyle w:val="af7"/>
              <w:jc w:val="center"/>
              <w:rPr>
                <w:kern w:val="0"/>
                <w:sz w:val="18"/>
                <w:szCs w:val="18"/>
              </w:rPr>
            </w:pPr>
            <w:r>
              <w:rPr>
                <w:rFonts w:hint="eastAsia"/>
                <w:kern w:val="0"/>
                <w:sz w:val="18"/>
                <w:szCs w:val="18"/>
              </w:rPr>
              <w:t>Aug</w:t>
            </w:r>
          </w:p>
        </w:tc>
        <w:tc>
          <w:tcPr>
            <w:tcW w:w="978" w:type="dxa"/>
            <w:vAlign w:val="center"/>
          </w:tcPr>
          <w:p w14:paraId="7C4CFCA9" w14:textId="77777777" w:rsidR="00AF1BF8" w:rsidRDefault="00000000">
            <w:pPr>
              <w:pStyle w:val="af7"/>
              <w:jc w:val="center"/>
              <w:rPr>
                <w:kern w:val="0"/>
                <w:sz w:val="18"/>
                <w:szCs w:val="18"/>
              </w:rPr>
            </w:pPr>
            <w:r>
              <w:rPr>
                <w:rFonts w:hint="eastAsia"/>
                <w:kern w:val="0"/>
                <w:sz w:val="18"/>
                <w:szCs w:val="18"/>
              </w:rPr>
              <w:t>22.553</w:t>
            </w:r>
          </w:p>
        </w:tc>
        <w:tc>
          <w:tcPr>
            <w:tcW w:w="1022" w:type="dxa"/>
            <w:vAlign w:val="center"/>
          </w:tcPr>
          <w:p w14:paraId="3085CDC4" w14:textId="77777777" w:rsidR="00AF1BF8" w:rsidRDefault="00000000">
            <w:pPr>
              <w:pStyle w:val="af7"/>
              <w:jc w:val="center"/>
              <w:rPr>
                <w:kern w:val="0"/>
                <w:sz w:val="18"/>
                <w:szCs w:val="18"/>
              </w:rPr>
            </w:pPr>
            <w:r>
              <w:rPr>
                <w:rFonts w:hint="eastAsia"/>
                <w:kern w:val="0"/>
                <w:sz w:val="18"/>
                <w:szCs w:val="18"/>
              </w:rPr>
              <w:t>22.921</w:t>
            </w:r>
          </w:p>
        </w:tc>
        <w:tc>
          <w:tcPr>
            <w:tcW w:w="978" w:type="dxa"/>
            <w:vAlign w:val="center"/>
          </w:tcPr>
          <w:p w14:paraId="1833A11C" w14:textId="77777777" w:rsidR="00AF1BF8" w:rsidRDefault="00000000">
            <w:pPr>
              <w:pStyle w:val="af7"/>
              <w:jc w:val="center"/>
              <w:rPr>
                <w:kern w:val="0"/>
                <w:sz w:val="18"/>
                <w:szCs w:val="18"/>
              </w:rPr>
            </w:pPr>
            <w:r>
              <w:rPr>
                <w:rFonts w:hint="eastAsia"/>
                <w:kern w:val="0"/>
                <w:sz w:val="18"/>
                <w:szCs w:val="18"/>
              </w:rPr>
              <w:t>12.866</w:t>
            </w:r>
          </w:p>
        </w:tc>
        <w:tc>
          <w:tcPr>
            <w:tcW w:w="1022" w:type="dxa"/>
            <w:vAlign w:val="center"/>
          </w:tcPr>
          <w:p w14:paraId="0FB87EE6" w14:textId="77777777" w:rsidR="00AF1BF8" w:rsidRDefault="00000000">
            <w:pPr>
              <w:pStyle w:val="af7"/>
              <w:jc w:val="center"/>
              <w:rPr>
                <w:kern w:val="0"/>
                <w:sz w:val="18"/>
                <w:szCs w:val="18"/>
              </w:rPr>
            </w:pPr>
            <w:r>
              <w:rPr>
                <w:rFonts w:hint="eastAsia"/>
                <w:kern w:val="0"/>
                <w:sz w:val="18"/>
                <w:szCs w:val="18"/>
              </w:rPr>
              <w:t>12.701</w:t>
            </w:r>
          </w:p>
        </w:tc>
        <w:tc>
          <w:tcPr>
            <w:tcW w:w="978" w:type="dxa"/>
            <w:vAlign w:val="center"/>
          </w:tcPr>
          <w:p w14:paraId="33E8FB39" w14:textId="77777777" w:rsidR="00AF1BF8" w:rsidRDefault="00000000">
            <w:pPr>
              <w:pStyle w:val="af7"/>
              <w:jc w:val="center"/>
              <w:rPr>
                <w:kern w:val="0"/>
                <w:sz w:val="18"/>
                <w:szCs w:val="18"/>
              </w:rPr>
            </w:pPr>
            <w:r>
              <w:rPr>
                <w:rFonts w:hint="eastAsia"/>
                <w:kern w:val="0"/>
                <w:sz w:val="18"/>
                <w:szCs w:val="18"/>
              </w:rPr>
              <w:t>0.957</w:t>
            </w:r>
          </w:p>
        </w:tc>
        <w:tc>
          <w:tcPr>
            <w:tcW w:w="1022" w:type="dxa"/>
            <w:vAlign w:val="center"/>
          </w:tcPr>
          <w:p w14:paraId="0BFA7FFE" w14:textId="77777777" w:rsidR="00AF1BF8" w:rsidRDefault="00000000">
            <w:pPr>
              <w:pStyle w:val="af7"/>
              <w:jc w:val="center"/>
              <w:rPr>
                <w:kern w:val="0"/>
                <w:sz w:val="18"/>
                <w:szCs w:val="18"/>
              </w:rPr>
            </w:pPr>
            <w:r>
              <w:rPr>
                <w:rFonts w:hint="eastAsia"/>
                <w:kern w:val="0"/>
                <w:sz w:val="18"/>
                <w:szCs w:val="18"/>
              </w:rPr>
              <w:t>0.962</w:t>
            </w:r>
          </w:p>
        </w:tc>
        <w:tc>
          <w:tcPr>
            <w:tcW w:w="779" w:type="dxa"/>
            <w:vAlign w:val="center"/>
          </w:tcPr>
          <w:p w14:paraId="240CF54A" w14:textId="77777777" w:rsidR="00AF1BF8" w:rsidRDefault="00000000">
            <w:pPr>
              <w:pStyle w:val="af7"/>
              <w:jc w:val="center"/>
              <w:rPr>
                <w:kern w:val="0"/>
                <w:sz w:val="18"/>
                <w:szCs w:val="18"/>
              </w:rPr>
            </w:pPr>
            <w:r>
              <w:rPr>
                <w:rFonts w:hint="eastAsia"/>
                <w:kern w:val="0"/>
                <w:sz w:val="18"/>
                <w:szCs w:val="18"/>
              </w:rPr>
              <w:t>0.157</w:t>
            </w:r>
          </w:p>
        </w:tc>
        <w:tc>
          <w:tcPr>
            <w:tcW w:w="779" w:type="dxa"/>
            <w:vAlign w:val="center"/>
          </w:tcPr>
          <w:p w14:paraId="202ACC56" w14:textId="77777777" w:rsidR="00AF1BF8" w:rsidRDefault="00000000">
            <w:pPr>
              <w:pStyle w:val="af7"/>
              <w:jc w:val="center"/>
              <w:rPr>
                <w:kern w:val="0"/>
                <w:sz w:val="18"/>
                <w:szCs w:val="18"/>
              </w:rPr>
            </w:pPr>
            <w:r>
              <w:rPr>
                <w:rFonts w:hint="eastAsia"/>
                <w:kern w:val="0"/>
                <w:sz w:val="18"/>
                <w:szCs w:val="18"/>
              </w:rPr>
              <w:t>0.155</w:t>
            </w:r>
          </w:p>
        </w:tc>
      </w:tr>
      <w:tr w:rsidR="00AF1BF8" w14:paraId="6B44ACC5" w14:textId="77777777">
        <w:tc>
          <w:tcPr>
            <w:tcW w:w="748" w:type="dxa"/>
            <w:vAlign w:val="center"/>
          </w:tcPr>
          <w:p w14:paraId="4EC884B0" w14:textId="77777777" w:rsidR="00AF1BF8" w:rsidRDefault="00000000">
            <w:pPr>
              <w:pStyle w:val="af7"/>
              <w:jc w:val="center"/>
              <w:rPr>
                <w:kern w:val="0"/>
                <w:sz w:val="18"/>
                <w:szCs w:val="18"/>
              </w:rPr>
            </w:pPr>
            <w:r>
              <w:rPr>
                <w:rFonts w:hint="eastAsia"/>
                <w:kern w:val="0"/>
                <w:sz w:val="18"/>
                <w:szCs w:val="18"/>
              </w:rPr>
              <w:t>Sep</w:t>
            </w:r>
          </w:p>
        </w:tc>
        <w:tc>
          <w:tcPr>
            <w:tcW w:w="978" w:type="dxa"/>
            <w:vAlign w:val="center"/>
          </w:tcPr>
          <w:p w14:paraId="7D972708" w14:textId="77777777" w:rsidR="00AF1BF8" w:rsidRDefault="00000000">
            <w:pPr>
              <w:pStyle w:val="af7"/>
              <w:jc w:val="center"/>
              <w:rPr>
                <w:kern w:val="0"/>
                <w:sz w:val="18"/>
                <w:szCs w:val="18"/>
              </w:rPr>
            </w:pPr>
            <w:r>
              <w:rPr>
                <w:rFonts w:hint="eastAsia"/>
                <w:kern w:val="0"/>
                <w:sz w:val="18"/>
                <w:szCs w:val="18"/>
              </w:rPr>
              <w:t>24.377</w:t>
            </w:r>
          </w:p>
        </w:tc>
        <w:tc>
          <w:tcPr>
            <w:tcW w:w="1022" w:type="dxa"/>
            <w:vAlign w:val="center"/>
          </w:tcPr>
          <w:p w14:paraId="2AC1489B" w14:textId="77777777" w:rsidR="00AF1BF8" w:rsidRDefault="00000000">
            <w:pPr>
              <w:pStyle w:val="af7"/>
              <w:jc w:val="center"/>
              <w:rPr>
                <w:kern w:val="0"/>
                <w:sz w:val="18"/>
                <w:szCs w:val="18"/>
              </w:rPr>
            </w:pPr>
            <w:r>
              <w:rPr>
                <w:rFonts w:hint="eastAsia"/>
                <w:kern w:val="0"/>
                <w:sz w:val="18"/>
                <w:szCs w:val="18"/>
              </w:rPr>
              <w:t>24.394</w:t>
            </w:r>
          </w:p>
        </w:tc>
        <w:tc>
          <w:tcPr>
            <w:tcW w:w="978" w:type="dxa"/>
            <w:vAlign w:val="center"/>
          </w:tcPr>
          <w:p w14:paraId="540B2EF6" w14:textId="77777777" w:rsidR="00AF1BF8" w:rsidRDefault="00000000">
            <w:pPr>
              <w:pStyle w:val="af7"/>
              <w:jc w:val="center"/>
              <w:rPr>
                <w:kern w:val="0"/>
                <w:sz w:val="18"/>
                <w:szCs w:val="18"/>
              </w:rPr>
            </w:pPr>
            <w:r>
              <w:rPr>
                <w:rFonts w:hint="eastAsia"/>
                <w:kern w:val="0"/>
                <w:sz w:val="18"/>
                <w:szCs w:val="18"/>
              </w:rPr>
              <w:t>12.586</w:t>
            </w:r>
          </w:p>
        </w:tc>
        <w:tc>
          <w:tcPr>
            <w:tcW w:w="1022" w:type="dxa"/>
            <w:vAlign w:val="center"/>
          </w:tcPr>
          <w:p w14:paraId="4C15663D" w14:textId="77777777" w:rsidR="00AF1BF8" w:rsidRDefault="00000000">
            <w:pPr>
              <w:pStyle w:val="af7"/>
              <w:jc w:val="center"/>
              <w:rPr>
                <w:kern w:val="0"/>
                <w:sz w:val="18"/>
                <w:szCs w:val="18"/>
              </w:rPr>
            </w:pPr>
            <w:r>
              <w:rPr>
                <w:rFonts w:hint="eastAsia"/>
                <w:kern w:val="0"/>
                <w:sz w:val="18"/>
                <w:szCs w:val="18"/>
              </w:rPr>
              <w:t>12.580</w:t>
            </w:r>
          </w:p>
        </w:tc>
        <w:tc>
          <w:tcPr>
            <w:tcW w:w="978" w:type="dxa"/>
            <w:vAlign w:val="center"/>
          </w:tcPr>
          <w:p w14:paraId="6C0007F3" w14:textId="77777777" w:rsidR="00AF1BF8" w:rsidRDefault="00000000">
            <w:pPr>
              <w:pStyle w:val="af7"/>
              <w:jc w:val="center"/>
              <w:rPr>
                <w:kern w:val="0"/>
                <w:sz w:val="18"/>
                <w:szCs w:val="18"/>
              </w:rPr>
            </w:pPr>
            <w:r>
              <w:rPr>
                <w:rFonts w:hint="eastAsia"/>
                <w:kern w:val="0"/>
                <w:sz w:val="18"/>
                <w:szCs w:val="18"/>
              </w:rPr>
              <w:t>0.711</w:t>
            </w:r>
          </w:p>
        </w:tc>
        <w:tc>
          <w:tcPr>
            <w:tcW w:w="1022" w:type="dxa"/>
            <w:vAlign w:val="center"/>
          </w:tcPr>
          <w:p w14:paraId="583DF4A7" w14:textId="77777777" w:rsidR="00AF1BF8" w:rsidRDefault="00000000">
            <w:pPr>
              <w:pStyle w:val="af7"/>
              <w:jc w:val="center"/>
              <w:rPr>
                <w:kern w:val="0"/>
                <w:sz w:val="18"/>
                <w:szCs w:val="18"/>
              </w:rPr>
            </w:pPr>
            <w:r>
              <w:rPr>
                <w:rFonts w:hint="eastAsia"/>
                <w:kern w:val="0"/>
                <w:sz w:val="18"/>
                <w:szCs w:val="18"/>
              </w:rPr>
              <w:t>0.701</w:t>
            </w:r>
          </w:p>
        </w:tc>
        <w:tc>
          <w:tcPr>
            <w:tcW w:w="779" w:type="dxa"/>
            <w:vAlign w:val="center"/>
          </w:tcPr>
          <w:p w14:paraId="5BDFA2C7" w14:textId="77777777" w:rsidR="00AF1BF8" w:rsidRDefault="00000000">
            <w:pPr>
              <w:pStyle w:val="af7"/>
              <w:jc w:val="center"/>
              <w:rPr>
                <w:kern w:val="0"/>
                <w:sz w:val="18"/>
                <w:szCs w:val="18"/>
              </w:rPr>
            </w:pPr>
            <w:r>
              <w:rPr>
                <w:rFonts w:hint="eastAsia"/>
                <w:kern w:val="0"/>
                <w:sz w:val="18"/>
                <w:szCs w:val="18"/>
              </w:rPr>
              <w:t>0.183</w:t>
            </w:r>
          </w:p>
        </w:tc>
        <w:tc>
          <w:tcPr>
            <w:tcW w:w="779" w:type="dxa"/>
            <w:vAlign w:val="center"/>
          </w:tcPr>
          <w:p w14:paraId="2D748CA7" w14:textId="77777777" w:rsidR="00AF1BF8" w:rsidRDefault="00000000">
            <w:pPr>
              <w:pStyle w:val="af7"/>
              <w:jc w:val="center"/>
              <w:rPr>
                <w:kern w:val="0"/>
                <w:sz w:val="18"/>
                <w:szCs w:val="18"/>
              </w:rPr>
            </w:pPr>
            <w:r>
              <w:rPr>
                <w:rFonts w:hint="eastAsia"/>
                <w:kern w:val="0"/>
                <w:sz w:val="18"/>
                <w:szCs w:val="18"/>
              </w:rPr>
              <w:t>0.178</w:t>
            </w:r>
          </w:p>
        </w:tc>
      </w:tr>
    </w:tbl>
    <w:p w14:paraId="44A4F40F" w14:textId="77777777" w:rsidR="00AF1BF8" w:rsidRDefault="00000000">
      <w:pPr>
        <w:keepNext/>
        <w:keepLines/>
        <w:outlineLvl w:val="0"/>
        <w:rPr>
          <w:rFonts w:eastAsiaTheme="majorEastAsia" w:cs="Times New Roman"/>
          <w:color w:val="4472C4" w:themeColor="accent1"/>
          <w:sz w:val="28"/>
          <w:szCs w:val="28"/>
        </w:rPr>
      </w:pPr>
      <w:bookmarkStart w:id="6" w:name="OLE_LINK1"/>
      <w:r>
        <w:rPr>
          <w:rFonts w:eastAsiaTheme="majorEastAsia" w:cs="Times New Roman"/>
          <w:color w:val="4472C4" w:themeColor="accent1"/>
          <w:sz w:val="28"/>
          <w:szCs w:val="28"/>
        </w:rPr>
        <w:t xml:space="preserve">Text </w:t>
      </w:r>
      <w:proofErr w:type="spellStart"/>
      <w:r>
        <w:rPr>
          <w:rFonts w:eastAsiaTheme="majorEastAsia" w:cs="Times New Roman" w:hint="eastAsia"/>
          <w:color w:val="4472C4" w:themeColor="accent1"/>
          <w:sz w:val="28"/>
          <w:szCs w:val="28"/>
        </w:rPr>
        <w:t>A.4</w:t>
      </w:r>
      <w:proofErr w:type="spellEnd"/>
      <w:r>
        <w:rPr>
          <w:rFonts w:eastAsiaTheme="majorEastAsia" w:cs="Times New Roman" w:hint="eastAsia"/>
          <w:color w:val="4472C4" w:themeColor="accent1"/>
          <w:sz w:val="28"/>
          <w:szCs w:val="28"/>
        </w:rPr>
        <w:t xml:space="preserve"> </w:t>
      </w:r>
      <w:r>
        <w:rPr>
          <w:rFonts w:eastAsiaTheme="majorEastAsia" w:cs="Times New Roman"/>
          <w:color w:val="4472C4" w:themeColor="accent1"/>
          <w:sz w:val="28"/>
          <w:szCs w:val="28"/>
        </w:rPr>
        <w:t>Scenario-based performance evaluation</w:t>
      </w:r>
    </w:p>
    <w:p w14:paraId="0733ABE9" w14:textId="43D8D002" w:rsidR="00AF1BF8" w:rsidRDefault="00000000">
      <w:pPr>
        <w:pStyle w:val="2"/>
        <w:spacing w:before="10" w:after="10"/>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Text </w:t>
      </w:r>
      <w:proofErr w:type="spellStart"/>
      <w:r>
        <w:rPr>
          <w:rFonts w:ascii="Times New Roman" w:hAnsi="Times New Roman" w:cs="Times New Roman"/>
          <w:color w:val="4472C4" w:themeColor="accent1"/>
          <w:sz w:val="24"/>
          <w:szCs w:val="24"/>
        </w:rPr>
        <w:t>A.</w:t>
      </w:r>
      <w:r>
        <w:rPr>
          <w:rFonts w:ascii="Times New Roman" w:hAnsi="Times New Roman" w:cs="Times New Roman" w:hint="eastAsia"/>
          <w:color w:val="4472C4" w:themeColor="accent1"/>
          <w:sz w:val="24"/>
          <w:szCs w:val="24"/>
        </w:rPr>
        <w:t>4</w:t>
      </w:r>
      <w:r>
        <w:rPr>
          <w:rFonts w:ascii="Times New Roman" w:hAnsi="Times New Roman" w:cs="Times New Roman"/>
          <w:color w:val="4472C4" w:themeColor="accent1"/>
          <w:sz w:val="24"/>
          <w:szCs w:val="24"/>
        </w:rPr>
        <w:t>.1</w:t>
      </w:r>
      <w:proofErr w:type="spellEnd"/>
      <w:r>
        <w:rPr>
          <w:rFonts w:ascii="Times New Roman" w:hAnsi="Times New Roman" w:cs="Times New Roman" w:hint="eastAsia"/>
          <w:color w:val="4472C4" w:themeColor="accent1"/>
          <w:sz w:val="24"/>
          <w:szCs w:val="24"/>
        </w:rPr>
        <w:t xml:space="preserve"> GHG emission</w:t>
      </w:r>
    </w:p>
    <w:p w14:paraId="6456AF8E" w14:textId="57489313" w:rsidR="00AF1BF8" w:rsidRDefault="00000000">
      <w:pPr>
        <w:ind w:firstLineChars="200" w:firstLine="420"/>
        <w:rPr>
          <w:rFonts w:eastAsiaTheme="minorEastAsia"/>
        </w:rPr>
      </w:pPr>
      <w:r>
        <w:rPr>
          <w:rFonts w:cs="Times New Roman"/>
          <w:color w:val="000000" w:themeColor="text1"/>
          <w:szCs w:val="21"/>
        </w:rPr>
        <w:t>Our study exclusively evaluated GHG emissions during the operational stage of wastewater treatment and in-plant sludge treatment, as the operational stage contributed to the vast majority of life-cycle emissions</w:t>
      </w:r>
      <w:r>
        <w:rPr>
          <w:rFonts w:cs="Times New Roman"/>
          <w:color w:val="000000" w:themeColor="text1"/>
          <w:szCs w:val="21"/>
        </w:rPr>
        <w:fldChar w:fldCharType="begin"/>
      </w:r>
      <w:r>
        <w:rPr>
          <w:rFonts w:cs="Times New Roman"/>
          <w:color w:val="000000" w:themeColor="text1"/>
          <w:szCs w:val="21"/>
        </w:rPr>
        <w:instrText xml:space="preserve"> ADDIN EN.CITE &lt;EndNote&gt;&lt;Cite&gt;&lt;Author&gt;Xi&lt;/Author&gt;&lt;Year&gt;2023&lt;/Year&gt;&lt;RecNum&gt;464&lt;/RecNum&gt;&lt;DisplayText&gt;&lt;style face="superscript"&gt;[1]&lt;/style&gt;&lt;/DisplayText&gt;&lt;record&gt;&lt;rec-number&gt;464&lt;/rec-number&gt;&lt;foreign-keys&gt;&lt;key app="EN" db-id="ts2xvw5werepv7effpq5df9bp5apar0epsw5" timestamp="1693808550"&gt;464&lt;/key&gt;&lt;/foreign-keys&gt;&lt;ref-type name="Journal Article"&gt;17&lt;/ref-type&gt;&lt;contributors&gt;&lt;authors&gt;&lt;author&gt;Xi, Jiarui&lt;/author&gt;&lt;author&gt;Gong, Hui&lt;/author&gt;&lt;author&gt;Guo, Ru&lt;/author&gt;&lt;author&gt;Chen, Ling&lt;/author&gt;&lt;author&gt;Dai, Xiaohu&lt;/author&gt;&lt;/authors&gt;&lt;/contributors&gt;&lt;titles&gt;&lt;title&gt;Characteristics of greenhouse gases emission from wastewater treatment plants operation in China (2009–2016): A case study using operational data integrated method (ODIM)&lt;/title&gt;&lt;secondary-title&gt;Journal of Cleaner Production&lt;/secondary-title&gt;&lt;/titles&gt;&lt;periodical&gt;&lt;full-title&gt;Journal of Cleaner Production&lt;/full-title&gt;&lt;/periodical&gt;&lt;pages&gt;136829&lt;/pages&gt;&lt;volume&gt;402&lt;/volume&gt;&lt;dates&gt;&lt;year&gt;2023&lt;/year&gt;&lt;/dates&gt;&lt;isbn&gt;0959-6526&lt;/isbn&gt;&lt;urls&gt;&lt;/urls&gt;&lt;/record&gt;&lt;/Cite&gt;&lt;/EndNote&gt;</w:instrText>
      </w:r>
      <w:r>
        <w:rPr>
          <w:rFonts w:cs="Times New Roman"/>
          <w:color w:val="000000" w:themeColor="text1"/>
          <w:szCs w:val="21"/>
        </w:rPr>
        <w:fldChar w:fldCharType="separate"/>
      </w:r>
      <w:r>
        <w:rPr>
          <w:rFonts w:cs="Times New Roman"/>
          <w:color w:val="000000" w:themeColor="text1"/>
          <w:szCs w:val="21"/>
          <w:vertAlign w:val="superscript"/>
        </w:rPr>
        <w:t>[</w:t>
      </w:r>
      <w:r w:rsidRPr="00E05736">
        <w:rPr>
          <w:rFonts w:cs="Times New Roman"/>
          <w:color w:val="4472C4" w:themeColor="accent1"/>
          <w:szCs w:val="21"/>
          <w:vertAlign w:val="superscript"/>
        </w:rPr>
        <w:t>1</w:t>
      </w:r>
      <w:r>
        <w:rPr>
          <w:rFonts w:cs="Times New Roman"/>
          <w:color w:val="000000" w:themeColor="text1"/>
          <w:szCs w:val="21"/>
          <w:vertAlign w:val="superscript"/>
        </w:rPr>
        <w:t>]</w:t>
      </w:r>
      <w:r>
        <w:rPr>
          <w:rFonts w:cs="Times New Roman"/>
          <w:color w:val="000000" w:themeColor="text1"/>
          <w:szCs w:val="21"/>
        </w:rPr>
        <w:fldChar w:fldCharType="end"/>
      </w:r>
      <w:r>
        <w:rPr>
          <w:rFonts w:cs="Times New Roman" w:hint="eastAsia"/>
          <w:color w:val="000000" w:themeColor="text1"/>
          <w:szCs w:val="21"/>
        </w:rPr>
        <w:t>.</w:t>
      </w:r>
      <w:r>
        <w:rPr>
          <w:rFonts w:cs="Times New Roman"/>
          <w:color w:val="000000" w:themeColor="text1"/>
          <w:szCs w:val="21"/>
        </w:rPr>
        <w:t xml:space="preserve"> This included direct emissions and indirect emissions from energy and chemical consumption</w:t>
      </w:r>
      <w:r>
        <w:rPr>
          <w:rFonts w:cs="Times New Roman" w:hint="eastAsia"/>
          <w:color w:val="000000" w:themeColor="text1"/>
          <w:szCs w:val="21"/>
        </w:rPr>
        <w:t>.</w:t>
      </w:r>
    </w:p>
    <w:p w14:paraId="6C99D757" w14:textId="0A69FAE8" w:rsidR="00AF1BF8" w:rsidRDefault="00000000">
      <w:pPr>
        <w:ind w:firstLineChars="200" w:firstLine="420"/>
        <w:rPr>
          <w:rFonts w:eastAsiaTheme="minorEastAsia"/>
        </w:rPr>
      </w:pPr>
      <w:r>
        <w:rPr>
          <w:rFonts w:eastAsiaTheme="minorEastAsia" w:hint="eastAsia"/>
          <w:b/>
          <w:bCs/>
          <w:color w:val="4472C4" w:themeColor="accent1"/>
        </w:rPr>
        <w:t>Direct emission:</w:t>
      </w:r>
      <w:r>
        <w:rPr>
          <w:rFonts w:eastAsiaTheme="minorEastAsia" w:hint="eastAsia"/>
        </w:rPr>
        <w:t xml:space="preserve"> </w:t>
      </w:r>
      <w:r>
        <w:rPr>
          <w:rFonts w:eastAsiaTheme="minorEastAsia"/>
        </w:rPr>
        <w:t>The SUMO‑</w:t>
      </w:r>
      <w:proofErr w:type="spellStart"/>
      <w:r>
        <w:rPr>
          <w:rFonts w:eastAsiaTheme="minorEastAsia"/>
        </w:rPr>
        <w:t>4N</w:t>
      </w:r>
      <w:proofErr w:type="spellEnd"/>
      <w:r>
        <w:rPr>
          <w:rFonts w:eastAsiaTheme="minorEastAsia"/>
        </w:rPr>
        <w:t xml:space="preserve"> model implemented in the </w:t>
      </w:r>
      <w:proofErr w:type="spellStart"/>
      <w:r>
        <w:rPr>
          <w:rFonts w:eastAsiaTheme="minorEastAsia"/>
        </w:rPr>
        <w:t>Dynamita</w:t>
      </w:r>
      <w:proofErr w:type="spellEnd"/>
      <w:r>
        <w:rPr>
          <w:rFonts w:eastAsiaTheme="minorEastAsia"/>
        </w:rPr>
        <w:t xml:space="preserve"> SUMO platform was used to simulate direct GHG emissions during the operation of the WWTP. The model describes the metabolic pathways of key microbial groups in biological wastewater treatment and simulates the production and release of CH</w:t>
      </w:r>
      <w:r>
        <w:rPr>
          <w:rFonts w:eastAsiaTheme="minorEastAsia" w:hint="eastAsia"/>
          <w:vertAlign w:val="subscript"/>
        </w:rPr>
        <w:t>4</w:t>
      </w:r>
      <w:r w:rsidR="00E05736">
        <w:rPr>
          <w:rFonts w:eastAsiaTheme="minorEastAsia" w:hint="eastAsia"/>
        </w:rPr>
        <w:t>,</w:t>
      </w:r>
      <w:r>
        <w:rPr>
          <w:rFonts w:eastAsiaTheme="minorEastAsia"/>
        </w:rPr>
        <w:t xml:space="preserve"> N</w:t>
      </w:r>
      <w:r>
        <w:rPr>
          <w:rFonts w:eastAsiaTheme="minorEastAsia" w:hint="eastAsia"/>
          <w:vertAlign w:val="subscript"/>
        </w:rPr>
        <w:t>2</w:t>
      </w:r>
      <w:r>
        <w:rPr>
          <w:rFonts w:eastAsiaTheme="minorEastAsia"/>
        </w:rPr>
        <w:t xml:space="preserve">O </w:t>
      </w:r>
      <w:r w:rsidR="00E05736">
        <w:rPr>
          <w:rFonts w:eastAsiaTheme="minorEastAsia" w:hint="eastAsia"/>
        </w:rPr>
        <w:t>and CO</w:t>
      </w:r>
      <w:r w:rsidR="00E05736" w:rsidRPr="00E05736">
        <w:rPr>
          <w:rFonts w:eastAsiaTheme="minorEastAsia" w:hint="eastAsia"/>
          <w:vertAlign w:val="subscript"/>
        </w:rPr>
        <w:t>2</w:t>
      </w:r>
      <w:r w:rsidR="00E05736">
        <w:rPr>
          <w:rFonts w:eastAsiaTheme="minorEastAsia" w:hint="eastAsia"/>
        </w:rPr>
        <w:t xml:space="preserve"> </w:t>
      </w:r>
      <w:r>
        <w:rPr>
          <w:rFonts w:eastAsiaTheme="minorEastAsia"/>
        </w:rPr>
        <w:t>in each treatment unit.</w:t>
      </w:r>
      <w:r>
        <w:rPr>
          <w:rFonts w:eastAsiaTheme="minorEastAsia" w:hint="eastAsia"/>
        </w:rPr>
        <w:t xml:space="preserve"> </w:t>
      </w:r>
    </w:p>
    <w:p w14:paraId="64E70F00" w14:textId="77777777" w:rsidR="00AF1BF8" w:rsidRDefault="00000000">
      <w:pPr>
        <w:ind w:firstLineChars="200" w:firstLine="420"/>
        <w:rPr>
          <w:rFonts w:eastAsiaTheme="minorEastAsia"/>
        </w:rPr>
      </w:pPr>
      <w:r>
        <w:rPr>
          <w:rFonts w:eastAsiaTheme="minorEastAsia"/>
        </w:rPr>
        <w:t>CH</w:t>
      </w:r>
      <w:r>
        <w:rPr>
          <w:rFonts w:eastAsiaTheme="minorEastAsia" w:hint="eastAsia"/>
          <w:vertAlign w:val="subscript"/>
        </w:rPr>
        <w:t>4</w:t>
      </w:r>
      <w:r>
        <w:rPr>
          <w:rFonts w:eastAsiaTheme="minorEastAsia"/>
        </w:rPr>
        <w:t xml:space="preserve"> production is mainly associated with the degradation of organic matter under anaerobic conditions and is influenced by dissolved oxygen, nitrate, ammonium, and volatile fatty acids</w:t>
      </w:r>
      <w:r>
        <w:rPr>
          <w:rFonts w:eastAsiaTheme="minorEastAsia"/>
        </w:rPr>
        <w:fldChar w:fldCharType="begin"/>
      </w:r>
      <w:r>
        <w:rPr>
          <w:rFonts w:eastAsiaTheme="minorEastAsia"/>
        </w:rPr>
        <w:instrText xml:space="preserve"> ADDIN EN.CITE &lt;EndNote&gt;&lt;Cite&gt;&lt;Author&gt;Daelman&lt;/Author&gt;&lt;Year&gt;2012&lt;/Year&gt;&lt;RecNum&gt;126&lt;/RecNum&gt;&lt;DisplayText&gt;&lt;style face="superscript"&gt;[2]&lt;/style&gt;&lt;/DisplayText&gt;&lt;record&gt;&lt;rec-number&gt;126&lt;/rec-number&gt;&lt;foreign-keys&gt;&lt;key app="EN" db-id="ts2xvw5werepv7effpq5df9bp5apar0epsw5" timestamp="1654579077"&gt;126&lt;/key&gt;&lt;/foreign-keys&gt;&lt;ref-type name="Journal Article"&gt;17&lt;/ref-type&gt;&lt;contributors&gt;&lt;authors&gt;&lt;author&gt;Daelman, Matthijs RJ&lt;/author&gt;&lt;author&gt;van Voorthuizen, Ellen M&lt;/author&gt;&lt;author&gt;van Dongen, Udo GJM&lt;/author&gt;&lt;author&gt;Volcke, Eveline IP&lt;/author&gt;&lt;author&gt;van Loosdrecht, Mark CM&lt;/author&gt;&lt;/authors&gt;&lt;/contributors&gt;&lt;titles&gt;&lt;title&gt;Methane emission during municipal wastewater treatment&lt;/title&gt;&lt;secondary-title&gt;Water research&lt;/secondary-title&gt;&lt;/titles&gt;&lt;periodical&gt;&lt;full-title&gt;Water research&lt;/full-title&gt;&lt;/periodical&gt;&lt;pages&gt;3657-3670&lt;/pages&gt;&lt;volume&gt;46&lt;/volume&gt;&lt;number&gt;11&lt;/number&gt;&lt;dates&gt;&lt;year&gt;2012&lt;/year&gt;&lt;/dates&gt;&lt;isbn&gt;0043-1354&lt;/isbn&gt;&lt;urls&gt;&lt;/urls&gt;&lt;/record&gt;&lt;/Cite&gt;&lt;/EndNote&gt;</w:instrText>
      </w:r>
      <w:r>
        <w:rPr>
          <w:rFonts w:eastAsiaTheme="minorEastAsia"/>
        </w:rPr>
        <w:fldChar w:fldCharType="separate"/>
      </w:r>
      <w:r>
        <w:rPr>
          <w:rFonts w:eastAsiaTheme="minorEastAsia"/>
          <w:vertAlign w:val="superscript"/>
        </w:rPr>
        <w:t>[</w:t>
      </w:r>
      <w:r w:rsidRPr="00E05736">
        <w:rPr>
          <w:rFonts w:eastAsiaTheme="minorEastAsia"/>
          <w:color w:val="4472C4" w:themeColor="accent1"/>
          <w:vertAlign w:val="superscript"/>
        </w:rPr>
        <w:t>2</w:t>
      </w:r>
      <w:r>
        <w:rPr>
          <w:rFonts w:eastAsiaTheme="minorEastAsia"/>
          <w:vertAlign w:val="superscript"/>
        </w:rPr>
        <w:t>]</w:t>
      </w:r>
      <w:r>
        <w:rPr>
          <w:rFonts w:eastAsiaTheme="minorEastAsia"/>
        </w:rPr>
        <w:fldChar w:fldCharType="end"/>
      </w:r>
      <w:r>
        <w:rPr>
          <w:rFonts w:eastAsiaTheme="minorEastAsia"/>
        </w:rPr>
        <w:t>.</w:t>
      </w:r>
      <w:r>
        <w:t xml:space="preserve"> </w:t>
      </w:r>
      <w:r>
        <w:rPr>
          <w:rFonts w:eastAsiaTheme="minorEastAsia"/>
        </w:rPr>
        <w:t>In the SUMO‑</w:t>
      </w:r>
      <w:proofErr w:type="spellStart"/>
      <w:r>
        <w:rPr>
          <w:rFonts w:eastAsiaTheme="minorEastAsia"/>
        </w:rPr>
        <w:t>4N</w:t>
      </w:r>
      <w:proofErr w:type="spellEnd"/>
      <w:r>
        <w:rPr>
          <w:rFonts w:eastAsiaTheme="minorEastAsia"/>
        </w:rPr>
        <w:t xml:space="preserve"> model, CH</w:t>
      </w:r>
      <w:r>
        <w:rPr>
          <w:rFonts w:eastAsiaTheme="minorEastAsia" w:hint="eastAsia"/>
          <w:vertAlign w:val="subscript"/>
        </w:rPr>
        <w:t>4</w:t>
      </w:r>
      <w:r>
        <w:rPr>
          <w:rFonts w:eastAsiaTheme="minorEastAsia"/>
        </w:rPr>
        <w:t xml:space="preserve"> primarily originates from the conversion of organic substrates by methanogens in anaerobic tanks. Part of the dissolved</w:t>
      </w:r>
      <w:r>
        <w:rPr>
          <w:rFonts w:eastAsiaTheme="minorEastAsia" w:hint="eastAsia"/>
        </w:rPr>
        <w:t xml:space="preserve"> </w:t>
      </w:r>
      <w:r>
        <w:rPr>
          <w:rFonts w:eastAsiaTheme="minorEastAsia"/>
        </w:rPr>
        <w:t>CH</w:t>
      </w:r>
      <w:r>
        <w:rPr>
          <w:rFonts w:eastAsiaTheme="minorEastAsia" w:hint="eastAsia"/>
          <w:vertAlign w:val="subscript"/>
        </w:rPr>
        <w:t>4</w:t>
      </w:r>
      <w:r>
        <w:rPr>
          <w:rFonts w:eastAsiaTheme="minorEastAsia" w:hint="eastAsia"/>
        </w:rPr>
        <w:t xml:space="preserve"> </w:t>
      </w:r>
      <w:r>
        <w:rPr>
          <w:rFonts w:eastAsiaTheme="minorEastAsia"/>
        </w:rPr>
        <w:t xml:space="preserve">can be transported into subsequent </w:t>
      </w:r>
      <w:r>
        <w:rPr>
          <w:rFonts w:eastAsiaTheme="minorEastAsia"/>
        </w:rPr>
        <w:lastRenderedPageBreak/>
        <w:t>anoxic or aerobic tanks via internal recirculation and hydraulic conveyance, and is then stripped from the liquid phase to the gas phase under aeration disturbance and surface diffusion.</w:t>
      </w:r>
    </w:p>
    <w:p w14:paraId="0F377082" w14:textId="77777777" w:rsidR="00AF1BF8" w:rsidRDefault="00000000">
      <w:pPr>
        <w:ind w:firstLineChars="200" w:firstLine="420"/>
        <w:rPr>
          <w:rFonts w:eastAsiaTheme="minorEastAsia"/>
        </w:rPr>
      </w:pPr>
      <w:r>
        <w:rPr>
          <w:rFonts w:eastAsiaTheme="minorEastAsia"/>
        </w:rPr>
        <w:t>Direct N</w:t>
      </w:r>
      <w:r>
        <w:rPr>
          <w:rFonts w:eastAsiaTheme="minorEastAsia" w:hint="eastAsia"/>
          <w:vertAlign w:val="subscript"/>
        </w:rPr>
        <w:t>2</w:t>
      </w:r>
      <w:r>
        <w:rPr>
          <w:rFonts w:eastAsiaTheme="minorEastAsia"/>
        </w:rPr>
        <w:t>O emissions are mainly related to the metabolism of ammonia‑oxidizing bacteria (AOB)</w:t>
      </w:r>
      <w:r>
        <w:rPr>
          <w:rFonts w:eastAsiaTheme="minorEastAsia"/>
        </w:rPr>
        <w:fldChar w:fldCharType="begin"/>
      </w:r>
      <w:r>
        <w:rPr>
          <w:rFonts w:eastAsiaTheme="minorEastAsia"/>
        </w:rPr>
        <w:instrText xml:space="preserve"> ADDIN EN.CITE &lt;EndNote&gt;&lt;Cite&gt;&lt;Author&gt;Pocquet&lt;/Author&gt;&lt;Year&gt;2016&lt;/Year&gt;&lt;RecNum&gt;13&lt;/RecNum&gt;&lt;DisplayText&gt;&lt;style face="superscript"&gt;[3]&lt;/style&gt;&lt;/DisplayText&gt;&lt;record&gt;&lt;rec-number&gt;13&lt;/rec-number&gt;&lt;foreign-keys&gt;&lt;key app="EN" db-id="ts2xvw5werepv7effpq5df9bp5apar0epsw5" timestamp="1638167562"&gt;13&lt;/key&gt;&lt;/foreign-keys&gt;&lt;ref-type name="Journal Article"&gt;17&lt;/ref-type&gt;&lt;contributors&gt;&lt;authors&gt;&lt;author&gt;Pocquet, Mathieu&lt;/author&gt;&lt;author&gt;Wu, Z&lt;/author&gt;&lt;author&gt;Queinnec, Isabelle&lt;/author&gt;&lt;author&gt;Spérandio, M&lt;/author&gt;&lt;/authors&gt;&lt;/contributors&gt;&lt;titles&gt;&lt;title&gt;A two pathway model for N2O emissions by ammonium oxidizing bacteria supported by the NO/N2O variation&lt;/title&gt;&lt;secondary-title&gt;Water research&lt;/secondary-title&gt;&lt;/titles&gt;&lt;periodical&gt;&lt;full-title&gt;Water research&lt;/full-title&gt;&lt;/periodical&gt;&lt;pages&gt;948-959&lt;/pages&gt;&lt;volume&gt;88&lt;/volume&gt;&lt;dates&gt;&lt;year&gt;2016&lt;/year&gt;&lt;/dates&gt;&lt;isbn&gt;0043-1354&lt;/isbn&gt;&lt;urls&gt;&lt;/urls&gt;&lt;/record&gt;&lt;/Cite&gt;&lt;/EndNote&gt;</w:instrText>
      </w:r>
      <w:r>
        <w:rPr>
          <w:rFonts w:eastAsiaTheme="minorEastAsia"/>
        </w:rPr>
        <w:fldChar w:fldCharType="separate"/>
      </w:r>
      <w:r>
        <w:rPr>
          <w:rFonts w:eastAsiaTheme="minorEastAsia"/>
          <w:vertAlign w:val="superscript"/>
        </w:rPr>
        <w:t>[</w:t>
      </w:r>
      <w:r w:rsidRPr="00E05736">
        <w:rPr>
          <w:rFonts w:eastAsiaTheme="minorEastAsia"/>
          <w:color w:val="4472C4" w:themeColor="accent1"/>
          <w:vertAlign w:val="superscript"/>
        </w:rPr>
        <w:t>3</w:t>
      </w:r>
      <w:r>
        <w:rPr>
          <w:rFonts w:eastAsiaTheme="minorEastAsia"/>
          <w:vertAlign w:val="superscript"/>
        </w:rPr>
        <w:t>]</w:t>
      </w:r>
      <w:r>
        <w:rPr>
          <w:rFonts w:eastAsiaTheme="minorEastAsia"/>
        </w:rPr>
        <w:fldChar w:fldCharType="end"/>
      </w:r>
      <w:r>
        <w:rPr>
          <w:rFonts w:eastAsiaTheme="minorEastAsia"/>
        </w:rPr>
        <w:t>. The SUMO‑</w:t>
      </w:r>
      <w:proofErr w:type="spellStart"/>
      <w:r>
        <w:rPr>
          <w:rFonts w:eastAsiaTheme="minorEastAsia"/>
        </w:rPr>
        <w:t>4N</w:t>
      </w:r>
      <w:proofErr w:type="spellEnd"/>
      <w:r>
        <w:rPr>
          <w:rFonts w:eastAsiaTheme="minorEastAsia"/>
        </w:rPr>
        <w:t xml:space="preserve"> model considers two main N</w:t>
      </w:r>
      <w:r>
        <w:rPr>
          <w:rFonts w:eastAsiaTheme="minorEastAsia" w:hint="eastAsia"/>
          <w:vertAlign w:val="subscript"/>
        </w:rPr>
        <w:t>2</w:t>
      </w:r>
      <w:r>
        <w:rPr>
          <w:rFonts w:eastAsiaTheme="minorEastAsia"/>
        </w:rPr>
        <w:t>O generation pathways: (i) N</w:t>
      </w:r>
      <w:r>
        <w:rPr>
          <w:rFonts w:eastAsiaTheme="minorEastAsia" w:hint="eastAsia"/>
          <w:vertAlign w:val="subscript"/>
        </w:rPr>
        <w:t>2</w:t>
      </w:r>
      <w:r>
        <w:rPr>
          <w:rFonts w:eastAsiaTheme="minorEastAsia"/>
        </w:rPr>
        <w:t>O formation through the oxidation of hydroxylamine (NH</w:t>
      </w:r>
      <w:r>
        <w:rPr>
          <w:rFonts w:eastAsiaTheme="minorEastAsia" w:hint="eastAsia"/>
          <w:vertAlign w:val="subscript"/>
        </w:rPr>
        <w:t>2</w:t>
      </w:r>
      <w:r>
        <w:rPr>
          <w:rFonts w:eastAsiaTheme="minorEastAsia"/>
        </w:rPr>
        <w:t>OH) during nitrification, and (ii) N</w:t>
      </w:r>
      <w:r>
        <w:rPr>
          <w:rFonts w:eastAsiaTheme="minorEastAsia" w:hint="eastAsia"/>
          <w:vertAlign w:val="subscript"/>
        </w:rPr>
        <w:t>2</w:t>
      </w:r>
      <w:r>
        <w:rPr>
          <w:rFonts w:eastAsiaTheme="minorEastAsia"/>
        </w:rPr>
        <w:t>O generation via AOB denitrification under conditions of insufficient dissolved oxygen and nitrite accumulation.</w:t>
      </w:r>
    </w:p>
    <w:p w14:paraId="5CE3E837" w14:textId="77777777" w:rsidR="00AF1BF8" w:rsidRDefault="00000000">
      <w:pPr>
        <w:ind w:firstLineChars="200" w:firstLine="420"/>
        <w:rPr>
          <w:color w:val="000000" w:themeColor="text1"/>
          <w:szCs w:val="21"/>
        </w:rPr>
      </w:pPr>
      <w:r>
        <w:rPr>
          <w:rFonts w:eastAsiaTheme="minorEastAsia"/>
        </w:rPr>
        <w:t>Direct CO</w:t>
      </w:r>
      <w:r>
        <w:rPr>
          <w:rFonts w:eastAsiaTheme="minorEastAsia" w:hint="eastAsia"/>
          <w:vertAlign w:val="subscript"/>
        </w:rPr>
        <w:t>2</w:t>
      </w:r>
      <w:r>
        <w:t xml:space="preserve"> </w:t>
      </w:r>
      <w:r>
        <w:rPr>
          <w:rFonts w:eastAsiaTheme="minorEastAsia"/>
        </w:rPr>
        <w:t>emissions in the SUMO‑</w:t>
      </w:r>
      <w:proofErr w:type="spellStart"/>
      <w:r>
        <w:rPr>
          <w:rFonts w:eastAsiaTheme="minorEastAsia"/>
        </w:rPr>
        <w:t>4N</w:t>
      </w:r>
      <w:proofErr w:type="spellEnd"/>
      <w:r>
        <w:rPr>
          <w:rFonts w:eastAsiaTheme="minorEastAsia"/>
        </w:rPr>
        <w:t xml:space="preserve"> model consider CO</w:t>
      </w:r>
      <w:r>
        <w:rPr>
          <w:rFonts w:eastAsiaTheme="minorEastAsia" w:hint="eastAsia"/>
          <w:vertAlign w:val="subscript"/>
        </w:rPr>
        <w:t>2</w:t>
      </w:r>
      <w:r>
        <w:rPr>
          <w:rFonts w:eastAsiaTheme="minorEastAsia"/>
        </w:rPr>
        <w:t xml:space="preserve"> generated from the oxidation of fossil carbon in the influent. The fossil carbon fraction in influent total organic carbon was set to the default value of 10% to estimate CO</w:t>
      </w:r>
      <w:r>
        <w:rPr>
          <w:rFonts w:eastAsiaTheme="minorEastAsia" w:hint="eastAsia"/>
          <w:vertAlign w:val="subscript"/>
        </w:rPr>
        <w:t>2</w:t>
      </w:r>
      <w:r>
        <w:rPr>
          <w:rFonts w:eastAsiaTheme="minorEastAsia"/>
        </w:rPr>
        <w:t xml:space="preserve"> emissions from fossil carbon oxidation</w:t>
      </w:r>
      <w:r>
        <w:rPr>
          <w:rFonts w:eastAsiaTheme="minorEastAsia"/>
        </w:rPr>
        <w:fldChar w:fldCharType="begin"/>
      </w:r>
      <w:r>
        <w:rPr>
          <w:rFonts w:eastAsiaTheme="minorEastAsia"/>
        </w:rPr>
        <w:instrText xml:space="preserve"> ADDIN EN.CITE &lt;EndNote&gt;&lt;Cite&gt;&lt;Author&gt;Li&lt;/Author&gt;&lt;Year&gt;2022&lt;/Year&gt;&lt;RecNum&gt;136&lt;/RecNum&gt;&lt;DisplayText&gt;&lt;style face="superscript"&gt;[4]&lt;/style&gt;&lt;/DisplayText&gt;&lt;record&gt;&lt;rec-number&gt;136&lt;/rec-number&gt;&lt;foreign-keys&gt;&lt;key app="EN" db-id="ts2xvw5werepv7effpq5df9bp5apar0epsw5" timestamp="1654590321"&gt;136&lt;/key&gt;&lt;/foreign-keys&gt;&lt;ref-type name="Journal Article"&gt;17&lt;/ref-type&gt;&lt;contributors&gt;&lt;authors&gt;&lt;author&gt;Li, Lanqing&lt;/author&gt;&lt;author&gt;Wang, Xiuheng&lt;/author&gt;&lt;author&gt;Miao, Jingyu&lt;/author&gt;&lt;author&gt;Abulimiti, Aliya&lt;/author&gt;&lt;author&gt;Jing, Xinsheng&lt;/author&gt;&lt;author&gt;Ren, Nanqi&lt;/author&gt;&lt;/authors&gt;&lt;/contributors&gt;&lt;auth-address&gt;State Key Laboratory of Urban Water Resource and Environment, School of Environment, Harbin Institute of Technology, Harbin, 150090, PR China.&amp;#xD;School of Civil and Environmental Engineering, Harbin Institute of Technology (Shenzhen), Shenzhen, 518055, China.&lt;/auth-address&gt;&lt;titles&gt;&lt;title&gt;Carbon neutrality of wastewater treatment-A systematic concept beyond the plant boundary&lt;/title&gt;&lt;secondary-title&gt;Environmental Science and Ecotechnology&lt;/secondary-title&gt;&lt;/titles&gt;&lt;periodical&gt;&lt;full-title&gt;Environmental Science and Ecotechnology&lt;/full-title&gt;&lt;/periodical&gt;&lt;pages&gt;100180&lt;/pages&gt;&lt;volume&gt;11&lt;/volume&gt;&lt;edition&gt;2022/09/27&lt;/edition&gt;&lt;keywords&gt;&lt;keyword&gt;Carbon neutrality&lt;/keyword&gt;&lt;keyword&gt;Fossil CO2 emissions&lt;/keyword&gt;&lt;keyword&gt;System boundaries&lt;/keyword&gt;&lt;keyword&gt;Systematic thinking&lt;/keyword&gt;&lt;keyword&gt;Wastewater treatment&lt;/keyword&gt;&lt;keyword&gt;personal relationships that could have appeared to influence the work reported in&lt;/keyword&gt;&lt;keyword&gt;this paper.&lt;/keyword&gt;&lt;/keywords&gt;&lt;dates&gt;&lt;year&gt;2022&lt;/year&gt;&lt;pub-dates&gt;&lt;date&gt;Jul&lt;/date&gt;&lt;/pub-dates&gt;&lt;/dates&gt;&lt;isbn&gt;2666-4984&lt;/isbn&gt;&lt;accession-num&gt;36158752&lt;/accession-num&gt;&lt;urls&gt;&lt;related-urls&gt;&lt;url&gt;https://www.ncbi.nlm.nih.gov/pubmed/36158752&lt;/url&gt;&lt;/related-urls&gt;&lt;/urls&gt;&lt;custom2&gt;PMC9488052&lt;/custom2&gt;&lt;electronic-resource-num&gt;10.1016/j.ese.2022.100180&lt;/electronic-resource-num&gt;&lt;/record&gt;&lt;/Cite&gt;&lt;/EndNote&gt;</w:instrText>
      </w:r>
      <w:r>
        <w:rPr>
          <w:rFonts w:eastAsiaTheme="minorEastAsia"/>
        </w:rPr>
        <w:fldChar w:fldCharType="separate"/>
      </w:r>
      <w:r>
        <w:rPr>
          <w:rFonts w:eastAsiaTheme="minorEastAsia"/>
          <w:vertAlign w:val="superscript"/>
        </w:rPr>
        <w:t>[</w:t>
      </w:r>
      <w:r w:rsidRPr="00E05736">
        <w:rPr>
          <w:rFonts w:eastAsiaTheme="minorEastAsia"/>
          <w:color w:val="4472C4" w:themeColor="accent1"/>
          <w:vertAlign w:val="superscript"/>
        </w:rPr>
        <w:t>4</w:t>
      </w:r>
      <w:r>
        <w:rPr>
          <w:rFonts w:eastAsiaTheme="minorEastAsia"/>
          <w:vertAlign w:val="superscript"/>
        </w:rPr>
        <w:t>]</w:t>
      </w:r>
      <w:r>
        <w:rPr>
          <w:rFonts w:eastAsiaTheme="minorEastAsia"/>
        </w:rPr>
        <w:fldChar w:fldCharType="end"/>
      </w:r>
      <w:r>
        <w:rPr>
          <w:rFonts w:eastAsiaTheme="minorEastAsia"/>
        </w:rPr>
        <w:t>.</w:t>
      </w:r>
      <w:r>
        <w:rPr>
          <w:rFonts w:eastAsiaTheme="minorEastAsia" w:hint="eastAsia"/>
        </w:rPr>
        <w:t xml:space="preserve"> </w:t>
      </w:r>
      <w:r>
        <w:rPr>
          <w:color w:val="000000" w:themeColor="text1"/>
          <w:szCs w:val="21"/>
        </w:rPr>
        <w:t xml:space="preserve">In addition, the transformation of the external carbon sources by biological processes, although relatively complex, largely follows the assumption that two-thirds of the carbon source is used for catabolism and one-third for anabolism. In this study, methanol was assumed to be the carbon source. Therefore, the </w:t>
      </w:r>
      <w:r>
        <w:rPr>
          <w:rFonts w:eastAsiaTheme="minorEastAsia"/>
        </w:rPr>
        <w:t>CO</w:t>
      </w:r>
      <w:r>
        <w:rPr>
          <w:rFonts w:eastAsiaTheme="minorEastAsia" w:hint="eastAsia"/>
          <w:vertAlign w:val="subscript"/>
        </w:rPr>
        <w:t>2</w:t>
      </w:r>
      <w:r>
        <w:rPr>
          <w:color w:val="000000" w:themeColor="text1"/>
          <w:szCs w:val="21"/>
        </w:rPr>
        <w:t xml:space="preserve"> emission from carbon source conversion can be estimated using a conversion coefficient of 0.92 kg CO</w:t>
      </w:r>
      <w:r>
        <w:rPr>
          <w:color w:val="000000" w:themeColor="text1"/>
          <w:szCs w:val="21"/>
          <w:vertAlign w:val="subscript"/>
        </w:rPr>
        <w:t>2</w:t>
      </w:r>
      <w:r>
        <w:rPr>
          <w:color w:val="000000" w:themeColor="text1"/>
          <w:szCs w:val="21"/>
        </w:rPr>
        <w:t xml:space="preserve">-eq/kg </w:t>
      </w:r>
      <w:proofErr w:type="spellStart"/>
      <w:r>
        <w:rPr>
          <w:color w:val="000000" w:themeColor="text1"/>
          <w:szCs w:val="21"/>
        </w:rPr>
        <w:t>CH</w:t>
      </w:r>
      <w:r>
        <w:rPr>
          <w:color w:val="000000" w:themeColor="text1"/>
          <w:szCs w:val="21"/>
          <w:vertAlign w:val="subscript"/>
        </w:rPr>
        <w:t>3</w:t>
      </w:r>
      <w:r>
        <w:rPr>
          <w:color w:val="000000" w:themeColor="text1"/>
          <w:szCs w:val="21"/>
        </w:rPr>
        <w:t>OH</w:t>
      </w:r>
      <w:proofErr w:type="spellEnd"/>
      <w:r>
        <w:rPr>
          <w:color w:val="000000" w:themeColor="text1"/>
          <w:szCs w:val="21"/>
        </w:rPr>
        <w:fldChar w:fldCharType="begin"/>
      </w:r>
      <w:r>
        <w:rPr>
          <w:color w:val="000000" w:themeColor="text1"/>
          <w:szCs w:val="21"/>
        </w:rPr>
        <w:instrText xml:space="preserve"> ADDIN EN.CITE &lt;EndNote&gt;&lt;Cite&gt;&lt;Author&gt;Abulimiti&lt;/Author&gt;&lt;Year&gt;2025&lt;/Year&gt;&lt;RecNum&gt;764&lt;/RecNum&gt;&lt;DisplayText&gt;&lt;style face="superscript"&gt;[5]&lt;/style&gt;&lt;/DisplayText&gt;&lt;record&gt;&lt;rec-number&gt;764&lt;/rec-number&gt;&lt;foreign-keys&gt;&lt;key app="EN" db-id="ts2xvw5werepv7effpq5df9bp5apar0epsw5" timestamp="1755567889"&gt;764&lt;/key&gt;&lt;/foreign-keys&gt;&lt;ref-type name="Journal Article"&gt;17&lt;/ref-type&gt;&lt;contributors&gt;&lt;authors&gt;&lt;author&gt;Abulimiti, Aliya&lt;/author&gt;&lt;author&gt;Wang, Xiuheng&lt;/author&gt;&lt;author&gt;Ren, Nanqi&lt;/author&gt;&lt;/authors&gt;&lt;/contributors&gt;&lt;titles&gt;&lt;title&gt;Exploring the pathway for the energy-environment synergistic WWTPs through comprehensive efficiency assessment&lt;/title&gt;&lt;secondary-title&gt;Journal of Water Process Engineering&lt;/secondary-title&gt;&lt;/titles&gt;&lt;periodical&gt;&lt;full-title&gt;Journal of Water Process Engineering&lt;/full-title&gt;&lt;/periodical&gt;&lt;pages&gt;108269&lt;/pages&gt;&lt;volume&gt;76&lt;/volume&gt;&lt;keywords&gt;&lt;keyword&gt;Comprehensive efficiency evaluation&lt;/keyword&gt;&lt;keyword&gt;Energy recovery&lt;/keyword&gt;&lt;keyword&gt;Wastewater treatment plant&lt;/keyword&gt;&lt;keyword&gt;Loading rate&lt;/keyword&gt;&lt;keyword&gt;Greenhouse gas emission&lt;/keyword&gt;&lt;/keywords&gt;&lt;dates&gt;&lt;year&gt;2025&lt;/year&gt;&lt;pub-dates&gt;&lt;date&gt;2025/08/01/&lt;/date&gt;&lt;/pub-dates&gt;&lt;/dates&gt;&lt;isbn&gt;2214-7144&lt;/isbn&gt;&lt;urls&gt;&lt;related-urls&gt;&lt;url&gt;https://www.sciencedirect.com/science/article/pii/S2214714425013418&lt;/url&gt;&lt;/related-urls&gt;&lt;/urls&gt;&lt;electronic-resource-num&gt;https://doi.org/10.1016/j.jwpe.2025.108269&lt;/electronic-resource-num&gt;&lt;/record&gt;&lt;/Cite&gt;&lt;/EndNote&gt;</w:instrText>
      </w:r>
      <w:r>
        <w:rPr>
          <w:color w:val="000000" w:themeColor="text1"/>
          <w:szCs w:val="21"/>
        </w:rPr>
        <w:fldChar w:fldCharType="separate"/>
      </w:r>
      <w:r>
        <w:rPr>
          <w:color w:val="000000" w:themeColor="text1"/>
          <w:szCs w:val="21"/>
          <w:vertAlign w:val="superscript"/>
        </w:rPr>
        <w:t>[</w:t>
      </w:r>
      <w:r w:rsidRPr="00E05736">
        <w:rPr>
          <w:color w:val="4472C4" w:themeColor="accent1"/>
          <w:szCs w:val="21"/>
          <w:vertAlign w:val="superscript"/>
        </w:rPr>
        <w:t>5</w:t>
      </w:r>
      <w:r>
        <w:rPr>
          <w:color w:val="000000" w:themeColor="text1"/>
          <w:szCs w:val="21"/>
          <w:vertAlign w:val="superscript"/>
        </w:rPr>
        <w:t>]</w:t>
      </w:r>
      <w:r>
        <w:rPr>
          <w:color w:val="000000" w:themeColor="text1"/>
          <w:szCs w:val="21"/>
        </w:rPr>
        <w:fldChar w:fldCharType="end"/>
      </w:r>
      <w:r>
        <w:rPr>
          <w:color w:val="000000" w:themeColor="text1"/>
          <w:szCs w:val="21"/>
        </w:rPr>
        <w:t>.</w:t>
      </w:r>
    </w:p>
    <w:p w14:paraId="2E5080A4" w14:textId="77777777" w:rsidR="00AF1BF8" w:rsidRDefault="00000000">
      <w:pPr>
        <w:ind w:firstLineChars="200" w:firstLine="420"/>
        <w:rPr>
          <w:rFonts w:cs="Times New Roman"/>
          <w:color w:val="000000" w:themeColor="text1"/>
          <w:szCs w:val="21"/>
        </w:rPr>
      </w:pPr>
      <w:r>
        <w:rPr>
          <w:rFonts w:cs="Times New Roman"/>
          <w:color w:val="000000" w:themeColor="text1"/>
          <w:szCs w:val="21"/>
        </w:rPr>
        <w:t>To deal with the different nature of the generated GHG emissions (CO</w:t>
      </w:r>
      <w:r>
        <w:rPr>
          <w:rFonts w:cs="Times New Roman"/>
          <w:color w:val="000000" w:themeColor="text1"/>
          <w:szCs w:val="21"/>
          <w:vertAlign w:val="subscript"/>
        </w:rPr>
        <w:t>2</w:t>
      </w:r>
      <w:r>
        <w:rPr>
          <w:rFonts w:cs="Times New Roman"/>
          <w:color w:val="000000" w:themeColor="text1"/>
          <w:szCs w:val="21"/>
        </w:rPr>
        <w:t>, CH</w:t>
      </w:r>
      <w:r>
        <w:rPr>
          <w:rFonts w:cs="Times New Roman"/>
          <w:color w:val="000000" w:themeColor="text1"/>
          <w:szCs w:val="21"/>
          <w:vertAlign w:val="subscript"/>
        </w:rPr>
        <w:t>4</w:t>
      </w:r>
      <w:r>
        <w:rPr>
          <w:rFonts w:cs="Times New Roman" w:hint="eastAsia"/>
          <w:color w:val="000000" w:themeColor="text1"/>
          <w:szCs w:val="21"/>
        </w:rPr>
        <w:t>,</w:t>
      </w:r>
      <w:r>
        <w:rPr>
          <w:rFonts w:cs="Times New Roman"/>
          <w:color w:val="000000" w:themeColor="text1"/>
          <w:szCs w:val="21"/>
        </w:rPr>
        <w:t xml:space="preserve"> and N</w:t>
      </w:r>
      <w:r>
        <w:rPr>
          <w:rFonts w:cs="Times New Roman"/>
          <w:color w:val="000000" w:themeColor="text1"/>
          <w:szCs w:val="21"/>
          <w:vertAlign w:val="subscript"/>
        </w:rPr>
        <w:t>2</w:t>
      </w:r>
      <w:r>
        <w:rPr>
          <w:rFonts w:cs="Times New Roman"/>
          <w:color w:val="000000" w:themeColor="text1"/>
          <w:szCs w:val="21"/>
        </w:rPr>
        <w:t>O) on Global Warming potential (GWP), they are converted into units of CO</w:t>
      </w:r>
      <w:r>
        <w:rPr>
          <w:rFonts w:cs="Times New Roman"/>
          <w:color w:val="000000" w:themeColor="text1"/>
          <w:szCs w:val="21"/>
          <w:vertAlign w:val="subscript"/>
        </w:rPr>
        <w:t xml:space="preserve">2 </w:t>
      </w:r>
      <w:r>
        <w:rPr>
          <w:rFonts w:cs="Times New Roman"/>
          <w:color w:val="000000" w:themeColor="text1"/>
          <w:szCs w:val="21"/>
        </w:rPr>
        <w:t>equivalents (CO</w:t>
      </w:r>
      <w:r>
        <w:rPr>
          <w:rFonts w:cs="Times New Roman"/>
          <w:color w:val="000000" w:themeColor="text1"/>
          <w:szCs w:val="21"/>
          <w:vertAlign w:val="subscript"/>
        </w:rPr>
        <w:t>2</w:t>
      </w:r>
      <w:r>
        <w:rPr>
          <w:rFonts w:cs="Times New Roman"/>
          <w:color w:val="000000" w:themeColor="text1"/>
          <w:szCs w:val="21"/>
        </w:rPr>
        <w:t>-eq).</w:t>
      </w:r>
    </w:p>
    <w:p w14:paraId="6163D451" w14:textId="77777777" w:rsidR="00AF1BF8" w:rsidRDefault="00000000">
      <w:pPr>
        <w:ind w:firstLineChars="900" w:firstLine="1890"/>
        <w:jc w:val="center"/>
        <w:rPr>
          <w:rFonts w:cs="Times New Roman"/>
          <w:szCs w:val="21"/>
        </w:rPr>
      </w:pPr>
      <m:oMathPara>
        <m:oMath>
          <m:eqArr>
            <m:eqArrPr>
              <m:maxDist m:val="1"/>
              <m:ctrlPr>
                <w:rPr>
                  <w:rFonts w:ascii="Cambria Math" w:hAnsi="Cambria Math"/>
                  <w:i/>
                  <w:szCs w:val="21"/>
                </w:rPr>
              </m:ctrlPr>
            </m:eqArrPr>
            <m:e>
              <m:sSub>
                <m:sSubPr>
                  <m:ctrlPr>
                    <w:rPr>
                      <w:rFonts w:ascii="Cambria Math" w:hAnsi="Cambria Math" w:cs="Times New Roman"/>
                      <w:i/>
                      <w:szCs w:val="21"/>
                    </w:rPr>
                  </m:ctrlPr>
                </m:sSubPr>
                <m:e>
                  <m:r>
                    <w:rPr>
                      <w:rFonts w:ascii="Cambria Math" w:hAnsi="Cambria Math" w:cs="Times New Roman"/>
                      <w:szCs w:val="21"/>
                    </w:rPr>
                    <m:t>E</m:t>
                  </m:r>
                </m:e>
                <m:sub>
                  <m:r>
                    <w:rPr>
                      <w:rFonts w:ascii="Cambria Math" w:hAnsi="Cambria Math" w:cs="Times New Roman"/>
                      <w:szCs w:val="21"/>
                    </w:rPr>
                    <m:t>f-</m:t>
                  </m:r>
                  <m:r>
                    <w:rPr>
                      <w:rFonts w:ascii="Cambria Math" w:hAnsi="Cambria Math" w:cs="Times New Roman" w:hint="eastAsia"/>
                      <w:szCs w:val="21"/>
                    </w:rPr>
                    <m:t>e</m:t>
                  </m:r>
                  <m:r>
                    <w:rPr>
                      <w:rFonts w:ascii="Cambria Math" w:hAnsi="Cambria Math" w:cs="Times New Roman"/>
                      <w:szCs w:val="21"/>
                    </w:rPr>
                    <m:t>c</m:t>
                  </m:r>
                </m:sub>
              </m:sSub>
              <m:r>
                <w:rPr>
                  <w:rFonts w:ascii="Cambria Math" w:hAnsi="Cambria Math" w:cs="Times New Roman"/>
                  <w:szCs w:val="21"/>
                </w:rPr>
                <m:t>=0.92</m:t>
              </m:r>
              <m:r>
                <w:rPr>
                  <w:rFonts w:ascii="Cambria Math" w:hAnsi="Cambria Math"/>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W</m:t>
                  </m:r>
                </m:e>
                <m:sub>
                  <m:r>
                    <w:rPr>
                      <w:rFonts w:ascii="Cambria Math" w:hAnsi="Cambria Math" w:hint="eastAsia"/>
                      <w:color w:val="000000" w:themeColor="text1"/>
                      <w:szCs w:val="21"/>
                    </w:rPr>
                    <m:t>m</m:t>
                  </m:r>
                </m:sub>
              </m:sSub>
              <m:r>
                <w:rPr>
                  <w:rFonts w:ascii="Cambria Math" w:hAnsi="Cambria Math" w:cs="Times New Roman"/>
                  <w:szCs w:val="21"/>
                </w:rPr>
                <m:t>#</m:t>
              </m:r>
              <m:d>
                <m:dPr>
                  <m:ctrlPr>
                    <w:rPr>
                      <w:rFonts w:ascii="Cambria Math" w:hAnsi="Cambria Math"/>
                      <w:i/>
                      <w:szCs w:val="21"/>
                    </w:rPr>
                  </m:ctrlPr>
                </m:dPr>
                <m:e>
                  <m:r>
                    <w:rPr>
                      <w:rFonts w:ascii="Cambria Math" w:hAnsi="Cambria Math"/>
                      <w:szCs w:val="21"/>
                    </w:rPr>
                    <m:t>4</m:t>
                  </m:r>
                </m:e>
              </m:d>
              <m:ctrlPr>
                <w:rPr>
                  <w:rFonts w:ascii="Cambria Math" w:hAnsi="Cambria Math" w:cs="Times New Roman"/>
                  <w:i/>
                  <w:szCs w:val="21"/>
                </w:rPr>
              </m:ctrlPr>
            </m:e>
          </m:eqArr>
        </m:oMath>
      </m:oMathPara>
    </w:p>
    <w:p w14:paraId="4DD4FEDE" w14:textId="77777777" w:rsidR="00AF1BF8" w:rsidRDefault="00000000">
      <w:pPr>
        <w:ind w:firstLineChars="700" w:firstLine="1470"/>
        <w:rPr>
          <w:rFonts w:cs="Times New Roman"/>
          <w:color w:val="000000" w:themeColor="text1"/>
          <w:szCs w:val="21"/>
        </w:rPr>
      </w:pPr>
      <m:oMathPara>
        <m:oMath>
          <m:eqArr>
            <m:eqArrPr>
              <m:maxDist m:val="1"/>
              <m:ctrlPr>
                <w:rPr>
                  <w:rFonts w:ascii="Cambria Math" w:hAnsi="Cambria Math"/>
                  <w:i/>
                  <w:color w:val="000000" w:themeColor="text1"/>
                  <w:szCs w:val="21"/>
                </w:rPr>
              </m:ctrlPr>
            </m:eqArrPr>
            <m:e>
              <m:sSub>
                <m:sSubPr>
                  <m:ctrlPr>
                    <w:rPr>
                      <w:rFonts w:ascii="Cambria Math" w:hAnsi="Cambria Math"/>
                      <w:color w:val="000000" w:themeColor="text1"/>
                      <w:szCs w:val="21"/>
                    </w:rPr>
                  </m:ctrlPr>
                </m:sSubPr>
                <m:e>
                  <m:r>
                    <w:rPr>
                      <w:rFonts w:ascii="Cambria Math" w:hAnsi="Cambria Math"/>
                      <w:color w:val="000000" w:themeColor="text1"/>
                      <w:szCs w:val="21"/>
                    </w:rPr>
                    <m:t>E</m:t>
                  </m:r>
                </m:e>
                <m:sub>
                  <m:r>
                    <w:rPr>
                      <w:rFonts w:ascii="Cambria Math" w:hAnsi="Cambria Math"/>
                      <w:color w:val="000000" w:themeColor="text1"/>
                      <w:szCs w:val="21"/>
                    </w:rPr>
                    <m:t>direct</m:t>
                  </m:r>
                </m:sub>
              </m:sSub>
              <m:r>
                <m:rPr>
                  <m:sty m:val="p"/>
                </m:rPr>
                <w:rPr>
                  <w:rFonts w:ascii="Cambria Math" w:hAnsi="Cambria Math"/>
                  <w:color w:val="000000" w:themeColor="text1"/>
                  <w:szCs w:val="21"/>
                </w:rPr>
                <m:t>=28</m:t>
              </m:r>
              <m: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E</m:t>
                  </m:r>
                </m:e>
                <m:sub>
                  <m:sSub>
                    <m:sSubPr>
                      <m:ctrlPr>
                        <w:rPr>
                          <w:rFonts w:ascii="Cambria Math" w:hAnsi="Cambria Math"/>
                          <w:color w:val="000000" w:themeColor="text1"/>
                          <w:szCs w:val="21"/>
                        </w:rPr>
                      </m:ctrlPr>
                    </m:sSubPr>
                    <m:e>
                      <m:r>
                        <w:rPr>
                          <w:rFonts w:ascii="Cambria Math" w:hAnsi="Cambria Math"/>
                          <w:color w:val="000000" w:themeColor="text1"/>
                          <w:szCs w:val="21"/>
                        </w:rPr>
                        <m:t>CH</m:t>
                      </m:r>
                    </m:e>
                    <m:sub>
                      <m:r>
                        <m:rPr>
                          <m:sty m:val="p"/>
                        </m:rPr>
                        <w:rPr>
                          <w:rFonts w:ascii="Cambria Math" w:hAnsi="Cambria Math"/>
                          <w:color w:val="000000" w:themeColor="text1"/>
                          <w:szCs w:val="21"/>
                        </w:rPr>
                        <m:t>4</m:t>
                      </m:r>
                    </m:sub>
                  </m:sSub>
                </m:sub>
              </m:sSub>
              <m:r>
                <m:rPr>
                  <m:sty m:val="p"/>
                </m:rPr>
                <w:rPr>
                  <w:rFonts w:ascii="Cambria Math" w:hAnsi="Cambria Math"/>
                  <w:color w:val="000000" w:themeColor="text1"/>
                  <w:szCs w:val="21"/>
                </w:rPr>
                <m:t>+265</m:t>
              </m:r>
              <m: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E</m:t>
                  </m:r>
                </m:e>
                <m:sub>
                  <m:sSub>
                    <m:sSubPr>
                      <m:ctrlPr>
                        <w:rPr>
                          <w:rFonts w:ascii="Cambria Math" w:hAnsi="Cambria Math"/>
                          <w:color w:val="000000" w:themeColor="text1"/>
                          <w:szCs w:val="21"/>
                        </w:rPr>
                      </m:ctrlPr>
                    </m:sSubPr>
                    <m:e>
                      <m:r>
                        <w:rPr>
                          <w:rFonts w:ascii="Cambria Math" w:hAnsi="Cambria Math"/>
                          <w:color w:val="000000" w:themeColor="text1"/>
                          <w:szCs w:val="21"/>
                        </w:rPr>
                        <m:t>N</m:t>
                      </m:r>
                    </m:e>
                    <m:sub>
                      <m:r>
                        <m:rPr>
                          <m:sty m:val="p"/>
                        </m:rPr>
                        <w:rPr>
                          <w:rFonts w:ascii="Cambria Math" w:hAnsi="Cambria Math"/>
                          <w:color w:val="000000" w:themeColor="text1"/>
                          <w:szCs w:val="21"/>
                        </w:rPr>
                        <m:t>2</m:t>
                      </m:r>
                    </m:sub>
                  </m:sSub>
                  <m:r>
                    <w:rPr>
                      <w:rFonts w:ascii="Cambria Math" w:hAnsi="Cambria Math"/>
                      <w:color w:val="000000" w:themeColor="text1"/>
                      <w:szCs w:val="21"/>
                    </w:rPr>
                    <m:t>O</m:t>
                  </m:r>
                </m:sub>
              </m:sSub>
              <m: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E</m:t>
                  </m:r>
                </m:e>
                <m:sub>
                  <m:sSub>
                    <m:sSubPr>
                      <m:ctrlPr>
                        <w:rPr>
                          <w:rFonts w:ascii="Cambria Math" w:hAnsi="Cambria Math"/>
                          <w:color w:val="000000" w:themeColor="text1"/>
                          <w:szCs w:val="21"/>
                        </w:rPr>
                      </m:ctrlPr>
                    </m:sSubPr>
                    <m:e>
                      <m:r>
                        <w:rPr>
                          <w:rFonts w:ascii="Cambria Math" w:hAnsi="Cambria Math"/>
                          <w:color w:val="000000" w:themeColor="text1"/>
                          <w:szCs w:val="21"/>
                        </w:rPr>
                        <m:t>f-CO</m:t>
                      </m:r>
                    </m:e>
                    <m:sub>
                      <m:r>
                        <m:rPr>
                          <m:sty m:val="p"/>
                        </m:rPr>
                        <w:rPr>
                          <w:rFonts w:ascii="Cambria Math" w:hAnsi="Cambria Math"/>
                          <w:color w:val="000000" w:themeColor="text1"/>
                          <w:szCs w:val="21"/>
                        </w:rPr>
                        <m:t>2</m:t>
                      </m:r>
                    </m:sub>
                  </m:sSub>
                </m:sub>
              </m:sSub>
              <m:r>
                <w:rPr>
                  <w:rFonts w:ascii="Cambria Math" w:hAnsi="Cambria Math"/>
                  <w:color w:val="000000" w:themeColor="text1"/>
                  <w:szCs w:val="21"/>
                </w:rPr>
                <m:t>+</m:t>
              </m:r>
              <m:sSub>
                <m:sSubPr>
                  <m:ctrlPr>
                    <w:rPr>
                      <w:rFonts w:ascii="Cambria Math" w:hAnsi="Cambria Math" w:cs="Times New Roman"/>
                      <w:i/>
                      <w:szCs w:val="21"/>
                    </w:rPr>
                  </m:ctrlPr>
                </m:sSubPr>
                <m:e>
                  <m:r>
                    <w:rPr>
                      <w:rFonts w:ascii="Cambria Math" w:hAnsi="Cambria Math" w:cs="Times New Roman"/>
                      <w:szCs w:val="21"/>
                    </w:rPr>
                    <m:t>E</m:t>
                  </m:r>
                </m:e>
                <m:sub>
                  <m:r>
                    <w:rPr>
                      <w:rFonts w:ascii="Cambria Math" w:hAnsi="Cambria Math" w:cs="Times New Roman"/>
                      <w:szCs w:val="21"/>
                    </w:rPr>
                    <m:t>f-</m:t>
                  </m:r>
                  <m:r>
                    <w:rPr>
                      <w:rFonts w:ascii="Cambria Math" w:hAnsi="Cambria Math" w:cs="Times New Roman" w:hint="eastAsia"/>
                      <w:szCs w:val="21"/>
                    </w:rPr>
                    <m:t>e</m:t>
                  </m:r>
                  <m:r>
                    <w:rPr>
                      <w:rFonts w:ascii="Cambria Math" w:hAnsi="Cambria Math" w:cs="Times New Roman"/>
                      <w:szCs w:val="21"/>
                    </w:rPr>
                    <m:t>c</m:t>
                  </m:r>
                </m:sub>
              </m:sSub>
              <m:r>
                <w:rPr>
                  <w:rFonts w:ascii="Cambria Math" w:hAnsi="Cambria Math"/>
                  <w:color w:val="000000" w:themeColor="text1"/>
                  <w:szCs w:val="21"/>
                </w:rPr>
                <m:t>#</m:t>
              </m:r>
              <m:d>
                <m:dPr>
                  <m:ctrlPr>
                    <w:rPr>
                      <w:rFonts w:ascii="Cambria Math" w:hAnsi="Cambria Math"/>
                      <w:i/>
                      <w:color w:val="000000" w:themeColor="text1"/>
                      <w:szCs w:val="21"/>
                    </w:rPr>
                  </m:ctrlPr>
                </m:dPr>
                <m:e>
                  <m:r>
                    <w:rPr>
                      <w:rFonts w:ascii="Cambria Math" w:hAnsi="Cambria Math"/>
                      <w:color w:val="000000" w:themeColor="text1"/>
                      <w:szCs w:val="21"/>
                    </w:rPr>
                    <m:t>5</m:t>
                  </m:r>
                </m:e>
              </m:d>
            </m:e>
          </m:eqArr>
        </m:oMath>
      </m:oMathPara>
    </w:p>
    <w:p w14:paraId="7F426383" w14:textId="77777777" w:rsidR="00AF1BF8" w:rsidRDefault="00000000">
      <w:pPr>
        <w:ind w:firstLineChars="200" w:firstLine="420"/>
        <w:rPr>
          <w:rFonts w:cs="Times New Roman"/>
          <w:color w:val="000000" w:themeColor="text1"/>
          <w:szCs w:val="21"/>
        </w:rPr>
      </w:pPr>
      <w:r>
        <w:rPr>
          <w:rFonts w:hint="eastAsia"/>
          <w:color w:val="000000" w:themeColor="text1"/>
          <w:szCs w:val="21"/>
        </w:rPr>
        <w:t>w</w:t>
      </w:r>
      <w:r>
        <w:rPr>
          <w:color w:val="000000" w:themeColor="text1"/>
          <w:szCs w:val="21"/>
        </w:rPr>
        <w:t>here</w:t>
      </w:r>
      <w:r>
        <w:rPr>
          <w:color w:val="4472C4" w:themeColor="accent1"/>
          <w:szCs w:val="21"/>
        </w:rPr>
        <w:t xml:space="preserve"> </w:t>
      </w:r>
      <m:oMath>
        <m:sSub>
          <m:sSubPr>
            <m:ctrlPr>
              <w:rPr>
                <w:rFonts w:ascii="Cambria Math" w:hAnsi="Cambria Math"/>
                <w:color w:val="000000" w:themeColor="text1"/>
                <w:szCs w:val="21"/>
              </w:rPr>
            </m:ctrlPr>
          </m:sSubPr>
          <m:e>
            <m:r>
              <w:rPr>
                <w:rFonts w:ascii="Cambria Math" w:hAnsi="Cambria Math"/>
                <w:color w:val="000000" w:themeColor="text1"/>
                <w:szCs w:val="21"/>
              </w:rPr>
              <m:t>E</m:t>
            </m:r>
          </m:e>
          <m:sub>
            <m:r>
              <w:rPr>
                <w:rFonts w:ascii="Cambria Math" w:hAnsi="Cambria Math"/>
                <w:color w:val="000000" w:themeColor="text1"/>
                <w:szCs w:val="21"/>
              </w:rPr>
              <m:t>direct</m:t>
            </m:r>
          </m:sub>
        </m:sSub>
      </m:oMath>
      <w:r>
        <w:rPr>
          <w:rFonts w:hint="eastAsia"/>
          <w:color w:val="000000" w:themeColor="text1"/>
          <w:szCs w:val="21"/>
        </w:rPr>
        <w:t xml:space="preserve"> </w:t>
      </w:r>
      <w:r>
        <w:rPr>
          <w:color w:val="000000" w:themeColor="text1"/>
          <w:szCs w:val="21"/>
        </w:rPr>
        <w:t xml:space="preserve">is the </w:t>
      </w:r>
      <w:r>
        <w:rPr>
          <w:rFonts w:hint="eastAsia"/>
          <w:color w:val="000000" w:themeColor="text1"/>
          <w:szCs w:val="21"/>
        </w:rPr>
        <w:t xml:space="preserve">direct emission from </w:t>
      </w:r>
      <w:r>
        <w:rPr>
          <w:color w:val="000000" w:themeColor="text1"/>
          <w:szCs w:val="21"/>
        </w:rPr>
        <w:t>WWTPs (</w:t>
      </w:r>
      <w:r>
        <w:rPr>
          <w:rFonts w:hint="eastAsia"/>
          <w:color w:val="000000" w:themeColor="text1"/>
          <w:szCs w:val="21"/>
        </w:rPr>
        <w:t>kg</w:t>
      </w:r>
      <w:r>
        <w:rPr>
          <w:rFonts w:cs="Times New Roman"/>
          <w:color w:val="000000" w:themeColor="text1"/>
          <w:szCs w:val="21"/>
        </w:rPr>
        <w:t>/</w:t>
      </w:r>
      <w:r>
        <w:rPr>
          <w:rFonts w:cs="Times New Roman" w:hint="eastAsia"/>
          <w:color w:val="000000" w:themeColor="text1"/>
          <w:szCs w:val="21"/>
        </w:rPr>
        <w:t>h</w:t>
      </w:r>
      <w:r>
        <w:rPr>
          <w:color w:val="000000" w:themeColor="text1"/>
          <w:szCs w:val="21"/>
        </w:rPr>
        <w:t xml:space="preserve">), </w:t>
      </w:r>
      <m:oMath>
        <m:sSub>
          <m:sSubPr>
            <m:ctrlPr>
              <w:rPr>
                <w:rFonts w:ascii="Cambria Math" w:hAnsi="Cambria Math"/>
                <w:color w:val="000000" w:themeColor="text1"/>
                <w:szCs w:val="21"/>
              </w:rPr>
            </m:ctrlPr>
          </m:sSubPr>
          <m:e>
            <m:r>
              <w:rPr>
                <w:rFonts w:ascii="Cambria Math" w:hAnsi="Cambria Math"/>
                <w:color w:val="000000" w:themeColor="text1"/>
                <w:szCs w:val="21"/>
              </w:rPr>
              <m:t>E</m:t>
            </m:r>
          </m:e>
          <m:sub>
            <m:sSub>
              <m:sSubPr>
                <m:ctrlPr>
                  <w:rPr>
                    <w:rFonts w:ascii="Cambria Math" w:hAnsi="Cambria Math"/>
                    <w:color w:val="000000" w:themeColor="text1"/>
                    <w:szCs w:val="21"/>
                  </w:rPr>
                </m:ctrlPr>
              </m:sSubPr>
              <m:e>
                <m:r>
                  <w:rPr>
                    <w:rFonts w:ascii="Cambria Math" w:hAnsi="Cambria Math"/>
                    <w:color w:val="000000" w:themeColor="text1"/>
                    <w:szCs w:val="21"/>
                  </w:rPr>
                  <m:t>CH</m:t>
                </m:r>
              </m:e>
              <m:sub>
                <m:r>
                  <m:rPr>
                    <m:sty m:val="p"/>
                  </m:rPr>
                  <w:rPr>
                    <w:rFonts w:ascii="Cambria Math" w:hAnsi="Cambria Math"/>
                    <w:color w:val="000000" w:themeColor="text1"/>
                    <w:szCs w:val="21"/>
                  </w:rPr>
                  <m:t>4</m:t>
                </m:r>
              </m:sub>
            </m:sSub>
          </m:sub>
        </m:sSub>
      </m:oMath>
      <w:r>
        <w:rPr>
          <w:rFonts w:hint="eastAsia"/>
          <w:color w:val="000000" w:themeColor="text1"/>
          <w:szCs w:val="21"/>
        </w:rPr>
        <w:t xml:space="preserve"> </w:t>
      </w:r>
      <w:r>
        <w:rPr>
          <w:color w:val="000000" w:themeColor="text1"/>
          <w:szCs w:val="21"/>
        </w:rPr>
        <w:t>is the CH</w:t>
      </w:r>
      <w:r>
        <w:rPr>
          <w:rFonts w:hint="eastAsia"/>
          <w:color w:val="000000" w:themeColor="text1"/>
          <w:szCs w:val="21"/>
          <w:vertAlign w:val="subscript"/>
        </w:rPr>
        <w:t>4</w:t>
      </w:r>
      <w:r>
        <w:rPr>
          <w:color w:val="000000" w:themeColor="text1"/>
          <w:szCs w:val="21"/>
        </w:rPr>
        <w:t xml:space="preserve"> emission simulated by SUMO (kg/h),</w:t>
      </w:r>
      <w:r>
        <w:rPr>
          <w:rFonts w:hint="eastAsia"/>
          <w:color w:val="000000" w:themeColor="text1"/>
          <w:szCs w:val="21"/>
        </w:rPr>
        <w:t xml:space="preserve"> </w:t>
      </w:r>
      <m:oMath>
        <m:sSub>
          <m:sSubPr>
            <m:ctrlPr>
              <w:rPr>
                <w:rFonts w:ascii="Cambria Math" w:hAnsi="Cambria Math"/>
                <w:color w:val="000000" w:themeColor="text1"/>
                <w:szCs w:val="21"/>
              </w:rPr>
            </m:ctrlPr>
          </m:sSubPr>
          <m:e>
            <m:r>
              <w:rPr>
                <w:rFonts w:ascii="Cambria Math" w:hAnsi="Cambria Math"/>
                <w:color w:val="000000" w:themeColor="text1"/>
                <w:szCs w:val="21"/>
              </w:rPr>
              <m:t>E</m:t>
            </m:r>
          </m:e>
          <m:sub>
            <m:sSub>
              <m:sSubPr>
                <m:ctrlPr>
                  <w:rPr>
                    <w:rFonts w:ascii="Cambria Math" w:hAnsi="Cambria Math"/>
                    <w:color w:val="000000" w:themeColor="text1"/>
                    <w:szCs w:val="21"/>
                  </w:rPr>
                </m:ctrlPr>
              </m:sSubPr>
              <m:e>
                <m:r>
                  <w:rPr>
                    <w:rFonts w:ascii="Cambria Math" w:hAnsi="Cambria Math"/>
                    <w:color w:val="000000" w:themeColor="text1"/>
                    <w:szCs w:val="21"/>
                  </w:rPr>
                  <m:t>N</m:t>
                </m:r>
              </m:e>
              <m:sub>
                <m:r>
                  <m:rPr>
                    <m:sty m:val="p"/>
                  </m:rPr>
                  <w:rPr>
                    <w:rFonts w:ascii="Cambria Math" w:hAnsi="Cambria Math"/>
                    <w:color w:val="000000" w:themeColor="text1"/>
                    <w:szCs w:val="21"/>
                  </w:rPr>
                  <m:t>2</m:t>
                </m:r>
              </m:sub>
            </m:sSub>
            <m:r>
              <w:rPr>
                <w:rFonts w:ascii="Cambria Math" w:hAnsi="Cambria Math"/>
                <w:color w:val="000000" w:themeColor="text1"/>
                <w:szCs w:val="21"/>
              </w:rPr>
              <m:t>O</m:t>
            </m:r>
          </m:sub>
        </m:sSub>
      </m:oMath>
      <w:r>
        <w:rPr>
          <w:rFonts w:hint="eastAsia"/>
          <w:color w:val="000000" w:themeColor="text1"/>
          <w:szCs w:val="21"/>
        </w:rPr>
        <w:t xml:space="preserve"> </w:t>
      </w:r>
      <w:r>
        <w:rPr>
          <w:color w:val="000000" w:themeColor="text1"/>
          <w:szCs w:val="21"/>
        </w:rPr>
        <w:t>is the N</w:t>
      </w:r>
      <w:r>
        <w:rPr>
          <w:rFonts w:hint="eastAsia"/>
          <w:color w:val="000000" w:themeColor="text1"/>
          <w:szCs w:val="21"/>
          <w:vertAlign w:val="subscript"/>
        </w:rPr>
        <w:t>2</w:t>
      </w:r>
      <w:r>
        <w:rPr>
          <w:color w:val="000000" w:themeColor="text1"/>
          <w:szCs w:val="21"/>
        </w:rPr>
        <w:t>O emission simulated by SUMO (kg/h)</w:t>
      </w:r>
      <w:r>
        <w:rPr>
          <w:rFonts w:hint="eastAsia"/>
          <w:color w:val="000000" w:themeColor="text1"/>
          <w:szCs w:val="21"/>
        </w:rPr>
        <w:t xml:space="preserve">, </w:t>
      </w:r>
      <m:oMath>
        <m:sSub>
          <m:sSubPr>
            <m:ctrlPr>
              <w:rPr>
                <w:rFonts w:ascii="Cambria Math" w:hAnsi="Cambria Math"/>
                <w:color w:val="000000" w:themeColor="text1"/>
                <w:szCs w:val="21"/>
              </w:rPr>
            </m:ctrlPr>
          </m:sSubPr>
          <m:e>
            <m:r>
              <w:rPr>
                <w:rFonts w:ascii="Cambria Math" w:hAnsi="Cambria Math"/>
                <w:color w:val="000000" w:themeColor="text1"/>
                <w:szCs w:val="21"/>
              </w:rPr>
              <m:t>E</m:t>
            </m:r>
          </m:e>
          <m:sub>
            <m:sSub>
              <m:sSubPr>
                <m:ctrlPr>
                  <w:rPr>
                    <w:rFonts w:ascii="Cambria Math" w:hAnsi="Cambria Math"/>
                    <w:color w:val="000000" w:themeColor="text1"/>
                    <w:szCs w:val="21"/>
                  </w:rPr>
                </m:ctrlPr>
              </m:sSubPr>
              <m:e>
                <m:r>
                  <w:rPr>
                    <w:rFonts w:ascii="Cambria Math" w:hAnsi="Cambria Math"/>
                    <w:color w:val="000000" w:themeColor="text1"/>
                    <w:szCs w:val="21"/>
                  </w:rPr>
                  <m:t>f-CO</m:t>
                </m:r>
              </m:e>
              <m:sub>
                <m:r>
                  <m:rPr>
                    <m:sty m:val="p"/>
                  </m:rPr>
                  <w:rPr>
                    <w:rFonts w:ascii="Cambria Math" w:hAnsi="Cambria Math"/>
                    <w:color w:val="000000" w:themeColor="text1"/>
                    <w:szCs w:val="21"/>
                  </w:rPr>
                  <m:t>2</m:t>
                </m:r>
              </m:sub>
            </m:sSub>
          </m:sub>
        </m:sSub>
      </m:oMath>
      <w:r>
        <w:t xml:space="preserve"> </w:t>
      </w:r>
      <w:r>
        <w:rPr>
          <w:color w:val="000000" w:themeColor="text1"/>
          <w:szCs w:val="21"/>
        </w:rPr>
        <w:t>is the fossil‑source CO</w:t>
      </w:r>
      <w:r>
        <w:rPr>
          <w:rFonts w:hint="eastAsia"/>
          <w:color w:val="000000" w:themeColor="text1"/>
          <w:szCs w:val="21"/>
          <w:vertAlign w:val="subscript"/>
        </w:rPr>
        <w:t>2</w:t>
      </w:r>
      <w:r>
        <w:rPr>
          <w:color w:val="000000" w:themeColor="text1"/>
          <w:szCs w:val="21"/>
        </w:rPr>
        <w:t xml:space="preserve"> simulated by SUMO (kg/h), and </w:t>
      </w:r>
      <m:oMath>
        <m:sSub>
          <m:sSubPr>
            <m:ctrlPr>
              <w:rPr>
                <w:rFonts w:ascii="Cambria Math" w:hAnsi="Cambria Math" w:cs="Times New Roman"/>
                <w:i/>
                <w:szCs w:val="21"/>
              </w:rPr>
            </m:ctrlPr>
          </m:sSubPr>
          <m:e>
            <m:r>
              <w:rPr>
                <w:rFonts w:ascii="Cambria Math" w:hAnsi="Cambria Math" w:cs="Times New Roman"/>
                <w:szCs w:val="21"/>
              </w:rPr>
              <m:t>E</m:t>
            </m:r>
          </m:e>
          <m:sub>
            <m:r>
              <w:rPr>
                <w:rFonts w:ascii="Cambria Math" w:hAnsi="Cambria Math" w:cs="Times New Roman"/>
                <w:szCs w:val="21"/>
              </w:rPr>
              <m:t>f-</m:t>
            </m:r>
            <m:r>
              <w:rPr>
                <w:rFonts w:ascii="Cambria Math" w:hAnsi="Cambria Math" w:cs="Times New Roman" w:hint="eastAsia"/>
                <w:szCs w:val="21"/>
              </w:rPr>
              <m:t>e</m:t>
            </m:r>
            <m:r>
              <w:rPr>
                <w:rFonts w:ascii="Cambria Math" w:hAnsi="Cambria Math" w:cs="Times New Roman"/>
                <w:szCs w:val="21"/>
              </w:rPr>
              <m:t>c</m:t>
            </m:r>
          </m:sub>
        </m:sSub>
      </m:oMath>
      <w:r>
        <w:rPr>
          <w:rFonts w:hint="eastAsia"/>
          <w:szCs w:val="21"/>
        </w:rPr>
        <w:t xml:space="preserve"> </w:t>
      </w:r>
      <w:r>
        <w:rPr>
          <w:szCs w:val="21"/>
        </w:rPr>
        <w:t xml:space="preserve">is the fossil‑source </w:t>
      </w:r>
      <w:r>
        <w:rPr>
          <w:color w:val="000000" w:themeColor="text1"/>
          <w:szCs w:val="21"/>
        </w:rPr>
        <w:t>CO</w:t>
      </w:r>
      <w:r>
        <w:rPr>
          <w:rFonts w:hint="eastAsia"/>
          <w:color w:val="000000" w:themeColor="text1"/>
          <w:szCs w:val="21"/>
          <w:vertAlign w:val="subscript"/>
        </w:rPr>
        <w:t>2</w:t>
      </w:r>
      <w:r>
        <w:rPr>
          <w:szCs w:val="21"/>
        </w:rPr>
        <w:t xml:space="preserve"> caused by external carbon source addition (kg/h)</w:t>
      </w:r>
      <w:r>
        <w:rPr>
          <w:rFonts w:hint="eastAsia"/>
          <w:szCs w:val="21"/>
        </w:rPr>
        <w:t>,</w:t>
      </w:r>
      <w:r>
        <w:rPr>
          <w:szCs w:val="21"/>
        </w:rPr>
        <w:t xml:space="preserve"> </w:t>
      </w:r>
      <m:oMath>
        <m:sSub>
          <m:sSubPr>
            <m:ctrlPr>
              <w:rPr>
                <w:rFonts w:ascii="Cambria Math" w:eastAsiaTheme="minorEastAsia" w:hAnsi="Cambria Math" w:cs="Times New Roman"/>
                <w:i/>
                <w:szCs w:val="21"/>
              </w:rPr>
            </m:ctrlPr>
          </m:sSubPr>
          <m:e>
            <m:r>
              <w:rPr>
                <w:rFonts w:ascii="Cambria Math" w:eastAsiaTheme="minorEastAsia" w:hAnsi="Cambria Math" w:cs="Times New Roman"/>
                <w:szCs w:val="21"/>
              </w:rPr>
              <m:t>W</m:t>
            </m:r>
          </m:e>
          <m:sub>
            <m:r>
              <w:rPr>
                <w:rFonts w:ascii="Cambria Math" w:eastAsiaTheme="minorEastAsia" w:hAnsi="Cambria Math" w:cs="Times New Roman"/>
                <w:szCs w:val="21"/>
              </w:rPr>
              <m:t>m</m:t>
            </m:r>
          </m:sub>
        </m:sSub>
      </m:oMath>
      <w:r>
        <w:rPr>
          <w:rFonts w:hint="eastAsia"/>
          <w:szCs w:val="21"/>
        </w:rPr>
        <w:t xml:space="preserve"> is</w:t>
      </w:r>
      <w:r>
        <w:rPr>
          <w:szCs w:val="21"/>
        </w:rPr>
        <w:t xml:space="preserve"> the daily consumptions of methanol (kg/d)</w:t>
      </w:r>
      <w:r>
        <w:rPr>
          <w:rFonts w:hint="eastAsia"/>
          <w:szCs w:val="21"/>
        </w:rPr>
        <w:t xml:space="preserve">. </w:t>
      </w:r>
      <w:r>
        <w:rPr>
          <w:szCs w:val="21"/>
        </w:rPr>
        <w:t>The GWPs of CH</w:t>
      </w:r>
      <w:r>
        <w:rPr>
          <w:rFonts w:hint="eastAsia"/>
          <w:szCs w:val="21"/>
          <w:vertAlign w:val="subscript"/>
        </w:rPr>
        <w:t>4</w:t>
      </w:r>
      <w:r>
        <w:rPr>
          <w:szCs w:val="21"/>
        </w:rPr>
        <w:t xml:space="preserve"> and N</w:t>
      </w:r>
      <w:r>
        <w:rPr>
          <w:rFonts w:hint="eastAsia"/>
          <w:szCs w:val="21"/>
          <w:vertAlign w:val="subscript"/>
        </w:rPr>
        <w:t>2</w:t>
      </w:r>
      <w:r>
        <w:rPr>
          <w:szCs w:val="21"/>
        </w:rPr>
        <w:t xml:space="preserve">O are 28 and 265 kg </w:t>
      </w:r>
      <w:r>
        <w:rPr>
          <w:color w:val="000000" w:themeColor="text1"/>
          <w:szCs w:val="21"/>
        </w:rPr>
        <w:t>CO</w:t>
      </w:r>
      <w:r>
        <w:rPr>
          <w:rFonts w:hint="eastAsia"/>
          <w:color w:val="000000" w:themeColor="text1"/>
          <w:szCs w:val="21"/>
          <w:vertAlign w:val="subscript"/>
        </w:rPr>
        <w:t>2</w:t>
      </w:r>
      <w:r>
        <w:rPr>
          <w:szCs w:val="21"/>
        </w:rPr>
        <w:t>‑eq/kg, respectively (IPCC, 20</w:t>
      </w:r>
      <w:r>
        <w:rPr>
          <w:rFonts w:hint="eastAsia"/>
          <w:szCs w:val="21"/>
        </w:rPr>
        <w:t>19)</w:t>
      </w:r>
      <w:r>
        <w:rPr>
          <w:szCs w:val="21"/>
        </w:rPr>
        <w:fldChar w:fldCharType="begin"/>
      </w:r>
      <w:r>
        <w:rPr>
          <w:szCs w:val="21"/>
        </w:rPr>
        <w:instrText xml:space="preserve"> ADDIN EN.CITE &lt;EndNote&gt;&lt;Cite&gt;&lt;Author&gt;Baasansuren&lt;/Author&gt;&lt;Year&gt;2019&lt;/Year&gt;&lt;RecNum&gt;1041&lt;/RecNum&gt;&lt;DisplayText&gt;&lt;style face="superscript"&gt;[6]&lt;/style&gt;&lt;/DisplayText&gt;&lt;record&gt;&lt;rec-number&gt;1041&lt;/rec-number&gt;&lt;foreign-keys&gt;&lt;key app="EN" db-id="ts2xvw5werepv7effpq5df9bp5apar0epsw5" timestamp="1767535131"&gt;1041&lt;/key&gt;&lt;/foreign-keys&gt;&lt;ref-type name="Generic"&gt;13&lt;/ref-type&gt;&lt;contributors&gt;&lt;authors&gt;&lt;author&gt;Baasansuren, J&lt;/author&gt;&lt;author&gt;Fukuda, M&lt;/author&gt;&lt;author&gt;Ngarize, S&lt;/author&gt;&lt;author&gt;Osako, A&lt;/author&gt;&lt;author&gt;Pyrozhenko, Y&lt;/author&gt;&lt;author&gt;Shermanau, P&lt;/author&gt;&lt;author&gt;Federici, S&lt;/author&gt;&lt;/authors&gt;&lt;/contributors&gt;&lt;titles&gt;&lt;title&gt;2019 refinement to the 2006 IPCC guidelines for national greenhouse gas inventories&lt;/title&gt;&lt;/titles&gt;&lt;dates&gt;&lt;year&gt;2019&lt;/year&gt;&lt;/dates&gt;&lt;publisher&gt;IPCC Switzerland&lt;/publisher&gt;&lt;urls&gt;&lt;/urls&gt;&lt;/record&gt;&lt;/Cite&gt;&lt;/EndNote&gt;</w:instrText>
      </w:r>
      <w:r>
        <w:rPr>
          <w:szCs w:val="21"/>
        </w:rPr>
        <w:fldChar w:fldCharType="separate"/>
      </w:r>
      <w:r>
        <w:rPr>
          <w:szCs w:val="21"/>
          <w:vertAlign w:val="superscript"/>
        </w:rPr>
        <w:t>[</w:t>
      </w:r>
      <w:r w:rsidRPr="00E05736">
        <w:rPr>
          <w:color w:val="4472C4" w:themeColor="accent1"/>
          <w:szCs w:val="21"/>
          <w:vertAlign w:val="superscript"/>
        </w:rPr>
        <w:t>6</w:t>
      </w:r>
      <w:r>
        <w:rPr>
          <w:szCs w:val="21"/>
          <w:vertAlign w:val="superscript"/>
        </w:rPr>
        <w:t>]</w:t>
      </w:r>
      <w:r>
        <w:rPr>
          <w:szCs w:val="21"/>
        </w:rPr>
        <w:fldChar w:fldCharType="end"/>
      </w:r>
      <w:r>
        <w:rPr>
          <w:rFonts w:cs="Times New Roman"/>
          <w:color w:val="000000" w:themeColor="text1"/>
          <w:szCs w:val="21"/>
        </w:rPr>
        <w:t>.</w:t>
      </w:r>
    </w:p>
    <w:p w14:paraId="30F082C4" w14:textId="77777777" w:rsidR="00AF1BF8" w:rsidRDefault="00000000">
      <w:pPr>
        <w:ind w:firstLineChars="200" w:firstLine="422"/>
        <w:rPr>
          <w:b/>
          <w:bCs/>
        </w:rPr>
      </w:pPr>
      <w:bookmarkStart w:id="7" w:name="OLE_LINK29"/>
      <w:r>
        <w:rPr>
          <w:b/>
          <w:bCs/>
          <w:color w:val="4472C4" w:themeColor="accent1"/>
          <w:szCs w:val="21"/>
        </w:rPr>
        <w:t>Indirect GHG emissions</w:t>
      </w:r>
      <w:r>
        <w:rPr>
          <w:rFonts w:hint="eastAsia"/>
          <w:b/>
          <w:bCs/>
          <w:color w:val="4472C4" w:themeColor="accent1"/>
          <w:szCs w:val="21"/>
        </w:rPr>
        <w:t>:</w:t>
      </w:r>
      <w:r>
        <w:t xml:space="preserve"> </w:t>
      </w:r>
      <w:r>
        <w:rPr>
          <w:szCs w:val="21"/>
        </w:rPr>
        <w:t>Indirect GHG emissions mainly include those from electricity and chemical consumption. The indirect emissions of the WWTP</w:t>
      </w:r>
      <w:r>
        <w:rPr>
          <w:color w:val="000000" w:themeColor="text1"/>
          <w:szCs w:val="21"/>
        </w:rPr>
        <w:t xml:space="preserve"> (</w:t>
      </w:r>
      <m:oMath>
        <m:sSub>
          <m:sSubPr>
            <m:ctrlPr>
              <w:rPr>
                <w:rFonts w:ascii="Cambria Math" w:hAnsi="Cambria Math"/>
                <w:color w:val="000000" w:themeColor="text1"/>
                <w:szCs w:val="21"/>
              </w:rPr>
            </m:ctrlPr>
          </m:sSubPr>
          <m:e>
            <m:r>
              <w:rPr>
                <w:rFonts w:ascii="Cambria Math" w:hAnsi="Cambria Math"/>
                <w:color w:val="000000" w:themeColor="text1"/>
                <w:szCs w:val="21"/>
              </w:rPr>
              <m:t>E</m:t>
            </m:r>
          </m:e>
          <m:sub>
            <m:r>
              <w:rPr>
                <w:rFonts w:ascii="Cambria Math" w:hAnsi="Cambria Math"/>
                <w:color w:val="000000" w:themeColor="text1"/>
                <w:szCs w:val="21"/>
              </w:rPr>
              <m:t>indirect</m:t>
            </m:r>
          </m:sub>
        </m:sSub>
      </m:oMath>
      <w:r>
        <w:rPr>
          <w:rFonts w:hint="eastAsia"/>
          <w:color w:val="000000" w:themeColor="text1"/>
          <w:szCs w:val="21"/>
        </w:rPr>
        <w:t>,</w:t>
      </w:r>
      <w:r>
        <w:rPr>
          <w:color w:val="000000" w:themeColor="text1"/>
          <w:szCs w:val="21"/>
        </w:rPr>
        <w:t xml:space="preserve"> </w:t>
      </w:r>
      <w:r>
        <w:rPr>
          <w:rFonts w:cs="Times New Roman"/>
          <w:color w:val="000000" w:themeColor="text1"/>
          <w:szCs w:val="21"/>
        </w:rPr>
        <w:t>kg CO</w:t>
      </w:r>
      <w:r>
        <w:rPr>
          <w:rFonts w:cs="Times New Roman"/>
          <w:color w:val="000000" w:themeColor="text1"/>
          <w:szCs w:val="21"/>
          <w:vertAlign w:val="subscript"/>
        </w:rPr>
        <w:t>2</w:t>
      </w:r>
      <w:r>
        <w:rPr>
          <w:rFonts w:cs="Times New Roman"/>
          <w:color w:val="000000" w:themeColor="text1"/>
          <w:szCs w:val="21"/>
        </w:rPr>
        <w:t>-eq/</w:t>
      </w:r>
      <w:r>
        <w:rPr>
          <w:rFonts w:cs="Times New Roman" w:hint="eastAsia"/>
          <w:color w:val="000000" w:themeColor="text1"/>
          <w:szCs w:val="21"/>
        </w:rPr>
        <w:t>d</w:t>
      </w:r>
      <w:r>
        <w:rPr>
          <w:color w:val="000000" w:themeColor="text1"/>
          <w:szCs w:val="21"/>
        </w:rPr>
        <w:t>) were calculated using Eq. (</w:t>
      </w:r>
      <w:r>
        <w:rPr>
          <w:rFonts w:hint="eastAsia"/>
          <w:color w:val="4472C4" w:themeColor="accent1"/>
          <w:szCs w:val="21"/>
        </w:rPr>
        <w:t>6</w:t>
      </w:r>
      <w:r>
        <w:rPr>
          <w:color w:val="4472C4" w:themeColor="accent1"/>
          <w:szCs w:val="21"/>
        </w:rPr>
        <w:t xml:space="preserve">) </w:t>
      </w:r>
      <w:r>
        <w:rPr>
          <w:color w:val="000000" w:themeColor="text1"/>
          <w:szCs w:val="21"/>
        </w:rPr>
        <w:t>– (</w:t>
      </w:r>
      <w:r>
        <w:rPr>
          <w:rFonts w:hint="eastAsia"/>
          <w:color w:val="4472C4" w:themeColor="accent1"/>
          <w:szCs w:val="21"/>
        </w:rPr>
        <w:t>8</w:t>
      </w:r>
      <w:r>
        <w:rPr>
          <w:color w:val="000000" w:themeColor="text1"/>
          <w:szCs w:val="21"/>
        </w:rPr>
        <w:t>).</w:t>
      </w:r>
    </w:p>
    <w:bookmarkEnd w:id="7"/>
    <w:p w14:paraId="15D55B84" w14:textId="77777777" w:rsidR="00AF1BF8" w:rsidRDefault="00000000">
      <w:pPr>
        <w:ind w:firstLineChars="900" w:firstLine="1890"/>
        <w:jc w:val="center"/>
        <w:rPr>
          <w:color w:val="000000" w:themeColor="text1"/>
          <w:szCs w:val="21"/>
        </w:rPr>
      </w:pPr>
      <m:oMathPara>
        <m:oMath>
          <m:eqArr>
            <m:eqArrPr>
              <m:maxDist m:val="1"/>
              <m:ctrlPr>
                <w:rPr>
                  <w:rFonts w:ascii="Cambria Math" w:hAnsi="Cambria Math"/>
                  <w:i/>
                  <w:color w:val="000000" w:themeColor="text1"/>
                  <w:szCs w:val="21"/>
                </w:rPr>
              </m:ctrlPr>
            </m:eqArrPr>
            <m:e>
              <m:sSub>
                <m:sSubPr>
                  <m:ctrlPr>
                    <w:rPr>
                      <w:rFonts w:ascii="Cambria Math" w:hAnsi="Cambria Math"/>
                      <w:color w:val="000000" w:themeColor="text1"/>
                      <w:szCs w:val="21"/>
                    </w:rPr>
                  </m:ctrlPr>
                </m:sSubPr>
                <m:e>
                  <m:r>
                    <w:rPr>
                      <w:rFonts w:ascii="Cambria Math" w:hAnsi="Cambria Math"/>
                      <w:color w:val="000000" w:themeColor="text1"/>
                      <w:szCs w:val="21"/>
                    </w:rPr>
                    <m:t>E</m:t>
                  </m:r>
                </m:e>
                <m:sub>
                  <m:r>
                    <w:rPr>
                      <w:rFonts w:ascii="Cambria Math" w:hAnsi="Cambria Math" w:hint="eastAsia"/>
                      <w:color w:val="000000" w:themeColor="text1"/>
                      <w:szCs w:val="21"/>
                    </w:rPr>
                    <m:t>electricity</m:t>
                  </m:r>
                </m:sub>
              </m:sSub>
              <m:r>
                <w:rPr>
                  <w:rFonts w:ascii="Cambria Math" w:hAnsi="Cambria Math"/>
                  <w:color w:val="000000" w:themeColor="text1"/>
                  <w:szCs w:val="21"/>
                </w:rPr>
                <m:t>=EF×</m:t>
              </m:r>
              <m:sSub>
                <m:sSubPr>
                  <m:ctrlPr>
                    <w:rPr>
                      <w:rFonts w:ascii="Cambria Math" w:hAnsi="Cambria Math" w:cs="Times New Roman"/>
                      <w:i/>
                      <w:szCs w:val="21"/>
                    </w:rPr>
                  </m:ctrlPr>
                </m:sSubPr>
                <m:e>
                  <m:r>
                    <w:rPr>
                      <w:rFonts w:ascii="Cambria Math" w:hAnsi="Cambria Math" w:cs="Times New Roman"/>
                      <w:szCs w:val="21"/>
                    </w:rPr>
                    <m:t>U</m:t>
                  </m:r>
                </m:e>
                <m:sub>
                  <m:r>
                    <w:rPr>
                      <w:rFonts w:ascii="Cambria Math" w:hAnsi="Cambria Math" w:cs="Times New Roman"/>
                      <w:szCs w:val="21"/>
                    </w:rPr>
                    <m:t>electricity</m:t>
                  </m:r>
                </m:sub>
              </m:sSub>
              <m:r>
                <w:rPr>
                  <w:rFonts w:ascii="Cambria Math" w:hAnsi="Cambria Math"/>
                  <w:color w:val="000000" w:themeColor="text1"/>
                  <w:szCs w:val="21"/>
                </w:rPr>
                <m:t>#</m:t>
              </m:r>
              <m:d>
                <m:dPr>
                  <m:ctrlPr>
                    <w:rPr>
                      <w:rFonts w:ascii="Cambria Math" w:hAnsi="Cambria Math"/>
                      <w:i/>
                      <w:color w:val="000000" w:themeColor="text1"/>
                      <w:szCs w:val="21"/>
                    </w:rPr>
                  </m:ctrlPr>
                </m:dPr>
                <m:e>
                  <m:r>
                    <w:rPr>
                      <w:rFonts w:ascii="Cambria Math" w:hAnsi="Cambria Math"/>
                      <w:color w:val="000000" w:themeColor="text1"/>
                      <w:szCs w:val="21"/>
                    </w:rPr>
                    <m:t>6</m:t>
                  </m:r>
                </m:e>
              </m:d>
            </m:e>
          </m:eqArr>
        </m:oMath>
      </m:oMathPara>
    </w:p>
    <w:p w14:paraId="3524A747" w14:textId="77777777" w:rsidR="00AF1BF8" w:rsidRDefault="00000000">
      <w:pPr>
        <w:ind w:firstLineChars="900" w:firstLine="1890"/>
        <w:jc w:val="center"/>
        <w:rPr>
          <w:color w:val="000000" w:themeColor="text1"/>
          <w:szCs w:val="21"/>
        </w:rPr>
      </w:pPr>
      <m:oMathPara>
        <m:oMath>
          <m:eqArr>
            <m:eqArrPr>
              <m:maxDist m:val="1"/>
              <m:ctrlPr>
                <w:rPr>
                  <w:rFonts w:ascii="Cambria Math" w:hAnsi="Cambria Math"/>
                  <w:i/>
                  <w:color w:val="000000" w:themeColor="text1"/>
                  <w:szCs w:val="21"/>
                </w:rPr>
              </m:ctrlPr>
            </m:eqArrPr>
            <m:e>
              <m:sSub>
                <m:sSubPr>
                  <m:ctrlPr>
                    <w:rPr>
                      <w:rFonts w:ascii="Cambria Math" w:hAnsi="Cambria Math"/>
                      <w:color w:val="000000" w:themeColor="text1"/>
                      <w:szCs w:val="21"/>
                    </w:rPr>
                  </m:ctrlPr>
                </m:sSubPr>
                <m:e>
                  <m:r>
                    <w:rPr>
                      <w:rFonts w:ascii="Cambria Math" w:hAnsi="Cambria Math"/>
                      <w:color w:val="000000" w:themeColor="text1"/>
                      <w:szCs w:val="21"/>
                    </w:rPr>
                    <m:t>E</m:t>
                  </m:r>
                </m:e>
                <m:sub>
                  <m:r>
                    <w:rPr>
                      <w:rFonts w:ascii="Cambria Math" w:hAnsi="Cambria Math"/>
                      <w:color w:val="000000" w:themeColor="text1"/>
                      <w:szCs w:val="21"/>
                    </w:rPr>
                    <m:t>ch</m:t>
                  </m:r>
                  <m:r>
                    <w:rPr>
                      <w:rFonts w:ascii="Cambria Math" w:hAnsi="Cambria Math" w:hint="eastAsia"/>
                      <w:color w:val="000000" w:themeColor="text1"/>
                      <w:szCs w:val="21"/>
                    </w:rPr>
                    <m:t>emical</m:t>
                  </m:r>
                </m:sub>
              </m:sSub>
              <m:r>
                <w:rPr>
                  <w:rFonts w:ascii="Cambria Math" w:hAnsi="Cambria Math"/>
                  <w:color w:val="000000" w:themeColor="text1"/>
                  <w:szCs w:val="21"/>
                </w:rPr>
                <m:t>=</m:t>
              </m:r>
              <m:sSub>
                <m:sSubPr>
                  <m:ctrlPr>
                    <w:rPr>
                      <w:rFonts w:ascii="Cambria Math" w:hAnsi="Cambria Math"/>
                      <w:i/>
                      <w:color w:val="000000" w:themeColor="text1"/>
                      <w:szCs w:val="21"/>
                    </w:rPr>
                  </m:ctrlPr>
                </m:sSubPr>
                <m:e>
                  <m:r>
                    <w:rPr>
                      <w:rFonts w:ascii="Cambria Math" w:hAnsi="Cambria Math"/>
                      <w:color w:val="000000" w:themeColor="text1"/>
                      <w:szCs w:val="21"/>
                    </w:rPr>
                    <m:t>EF</m:t>
                  </m:r>
                </m:e>
                <m:sub>
                  <m:r>
                    <w:rPr>
                      <w:rFonts w:ascii="Cambria Math" w:hAnsi="Cambria Math"/>
                      <w:color w:val="000000" w:themeColor="text1"/>
                      <w:szCs w:val="21"/>
                    </w:rPr>
                    <m:t>1</m:t>
                  </m:r>
                </m:sub>
              </m:sSub>
              <m:r>
                <w:rPr>
                  <w:rFonts w:ascii="Cambria Math" w:hAnsi="Cambria Math"/>
                  <w:color w:val="000000" w:themeColor="text1"/>
                  <w:szCs w:val="21"/>
                </w:rPr>
                <m:t>×</m:t>
              </m:r>
              <m:sSub>
                <m:sSubPr>
                  <m:ctrlPr>
                    <w:rPr>
                      <w:rFonts w:ascii="Cambria Math" w:hAnsi="Cambria Math"/>
                      <w:i/>
                      <w:color w:val="000000" w:themeColor="text1"/>
                      <w:szCs w:val="21"/>
                    </w:rPr>
                  </m:ctrlPr>
                </m:sSubPr>
                <m:e>
                  <m:r>
                    <w:rPr>
                      <w:rFonts w:ascii="Cambria Math" w:hAnsi="Cambria Math"/>
                      <w:color w:val="000000" w:themeColor="text1"/>
                      <w:szCs w:val="21"/>
                    </w:rPr>
                    <m:t>W</m:t>
                  </m:r>
                </m:e>
                <m:sub>
                  <m:r>
                    <w:rPr>
                      <w:rFonts w:ascii="Cambria Math" w:hAnsi="Cambria Math"/>
                      <w:color w:val="000000" w:themeColor="text1"/>
                      <w:szCs w:val="21"/>
                    </w:rPr>
                    <m:t>m</m:t>
                  </m:r>
                </m:sub>
              </m:sSub>
              <m:r>
                <w:rPr>
                  <w:rFonts w:ascii="Cambria Math" w:hAnsi="Cambria Math"/>
                  <w:color w:val="000000" w:themeColor="text1"/>
                  <w:szCs w:val="21"/>
                </w:rPr>
                <m:t>+</m:t>
              </m:r>
              <m:sSub>
                <m:sSubPr>
                  <m:ctrlPr>
                    <w:rPr>
                      <w:rFonts w:ascii="Cambria Math" w:hAnsi="Cambria Math"/>
                      <w:i/>
                      <w:color w:val="000000" w:themeColor="text1"/>
                      <w:szCs w:val="21"/>
                    </w:rPr>
                  </m:ctrlPr>
                </m:sSubPr>
                <m:e>
                  <m:r>
                    <w:rPr>
                      <w:rFonts w:ascii="Cambria Math" w:hAnsi="Cambria Math"/>
                      <w:color w:val="000000" w:themeColor="text1"/>
                      <w:szCs w:val="21"/>
                    </w:rPr>
                    <m:t>EF</m:t>
                  </m:r>
                </m:e>
                <m:sub>
                  <m:r>
                    <w:rPr>
                      <w:rFonts w:ascii="Cambria Math" w:hAnsi="Cambria Math"/>
                      <w:color w:val="000000" w:themeColor="text1"/>
                      <w:szCs w:val="21"/>
                    </w:rPr>
                    <m:t>2</m:t>
                  </m:r>
                </m:sub>
              </m:sSub>
              <m:r>
                <w:rPr>
                  <w:rFonts w:ascii="Cambria Math" w:hAnsi="Cambria Math"/>
                  <w:color w:val="000000" w:themeColor="text1"/>
                  <w:szCs w:val="21"/>
                </w:rPr>
                <m:t>×</m:t>
              </m:r>
              <m:sSub>
                <m:sSubPr>
                  <m:ctrlPr>
                    <w:rPr>
                      <w:rFonts w:ascii="Cambria Math" w:hAnsi="Cambria Math"/>
                      <w:i/>
                      <w:color w:val="000000" w:themeColor="text1"/>
                      <w:szCs w:val="21"/>
                    </w:rPr>
                  </m:ctrlPr>
                </m:sSubPr>
                <m:e>
                  <m:r>
                    <w:rPr>
                      <w:rFonts w:ascii="Cambria Math" w:hAnsi="Cambria Math"/>
                      <w:color w:val="000000" w:themeColor="text1"/>
                      <w:szCs w:val="21"/>
                    </w:rPr>
                    <m:t>W</m:t>
                  </m:r>
                </m:e>
                <m:sub>
                  <m:r>
                    <w:rPr>
                      <w:rFonts w:ascii="Cambria Math" w:hAnsi="Cambria Math"/>
                      <w:color w:val="000000" w:themeColor="text1"/>
                      <w:szCs w:val="21"/>
                    </w:rPr>
                    <m:t>p</m:t>
                  </m:r>
                </m:sub>
              </m:sSub>
              <m:r>
                <w:rPr>
                  <w:rFonts w:ascii="Cambria Math" w:hAnsi="Cambria Math"/>
                  <w:color w:val="000000" w:themeColor="text1"/>
                  <w:szCs w:val="21"/>
                </w:rPr>
                <m:t>+</m:t>
              </m:r>
              <m:sSub>
                <m:sSubPr>
                  <m:ctrlPr>
                    <w:rPr>
                      <w:rFonts w:ascii="Cambria Math" w:hAnsi="Cambria Math"/>
                      <w:i/>
                      <w:color w:val="000000" w:themeColor="text1"/>
                      <w:szCs w:val="21"/>
                    </w:rPr>
                  </m:ctrlPr>
                </m:sSubPr>
                <m:e>
                  <m:r>
                    <w:rPr>
                      <w:rFonts w:ascii="Cambria Math" w:hAnsi="Cambria Math"/>
                      <w:color w:val="000000" w:themeColor="text1"/>
                      <w:szCs w:val="21"/>
                    </w:rPr>
                    <m:t>EF</m:t>
                  </m:r>
                </m:e>
                <m:sub>
                  <m:r>
                    <w:rPr>
                      <w:rFonts w:ascii="Cambria Math" w:hAnsi="Cambria Math"/>
                      <w:color w:val="000000" w:themeColor="text1"/>
                      <w:szCs w:val="21"/>
                    </w:rPr>
                    <m:t>3</m:t>
                  </m:r>
                </m:sub>
              </m:sSub>
              <m:r>
                <w:rPr>
                  <w:rFonts w:ascii="Cambria Math" w:hAnsi="Cambria Math"/>
                  <w:color w:val="000000" w:themeColor="text1"/>
                  <w:szCs w:val="21"/>
                </w:rPr>
                <m:t>×</m:t>
              </m:r>
              <m:sSub>
                <m:sSubPr>
                  <m:ctrlPr>
                    <w:rPr>
                      <w:rFonts w:ascii="Cambria Math" w:eastAsiaTheme="minorEastAsia" w:hAnsi="Cambria Math" w:cs="Times New Roman"/>
                      <w:i/>
                      <w:szCs w:val="21"/>
                    </w:rPr>
                  </m:ctrlPr>
                </m:sSubPr>
                <m:e>
                  <m:r>
                    <w:rPr>
                      <w:rFonts w:ascii="Cambria Math" w:eastAsiaTheme="minorEastAsia" w:hAnsi="Cambria Math" w:cs="Times New Roman"/>
                      <w:szCs w:val="21"/>
                    </w:rPr>
                    <m:t>W</m:t>
                  </m:r>
                </m:e>
                <m:sub>
                  <m:r>
                    <w:rPr>
                      <w:rFonts w:ascii="Cambria Math" w:eastAsiaTheme="minorEastAsia" w:hAnsi="Cambria Math" w:cs="Times New Roman"/>
                      <w:szCs w:val="21"/>
                    </w:rPr>
                    <m:t>s</m:t>
                  </m:r>
                </m:sub>
              </m:sSub>
              <m:r>
                <w:rPr>
                  <w:rFonts w:ascii="Cambria Math" w:eastAsiaTheme="minorEastAsia" w:hAnsi="Cambria Math" w:cs="Times New Roman"/>
                  <w:szCs w:val="21"/>
                </w:rPr>
                <m:t>+</m:t>
              </m:r>
              <m:sSub>
                <m:sSubPr>
                  <m:ctrlPr>
                    <w:rPr>
                      <w:rFonts w:ascii="Cambria Math" w:hAnsi="Cambria Math"/>
                      <w:i/>
                      <w:color w:val="000000" w:themeColor="text1"/>
                      <w:szCs w:val="21"/>
                    </w:rPr>
                  </m:ctrlPr>
                </m:sSubPr>
                <m:e>
                  <m:r>
                    <w:rPr>
                      <w:rFonts w:ascii="Cambria Math" w:hAnsi="Cambria Math"/>
                      <w:color w:val="000000" w:themeColor="text1"/>
                      <w:szCs w:val="21"/>
                    </w:rPr>
                    <m:t>EF</m:t>
                  </m:r>
                </m:e>
                <m:sub>
                  <m:r>
                    <w:rPr>
                      <w:rFonts w:ascii="Cambria Math" w:hAnsi="Cambria Math"/>
                      <w:color w:val="000000" w:themeColor="text1"/>
                      <w:szCs w:val="21"/>
                    </w:rPr>
                    <m:t>4</m:t>
                  </m:r>
                </m:sub>
              </m:sSub>
              <m:r>
                <w:rPr>
                  <w:rFonts w:ascii="Cambria Math" w:hAnsi="Cambria Math"/>
                  <w:color w:val="000000" w:themeColor="text1"/>
                  <w:szCs w:val="21"/>
                </w:rPr>
                <m:t>×</m:t>
              </m:r>
              <m:sSub>
                <m:sSubPr>
                  <m:ctrlPr>
                    <w:rPr>
                      <w:rFonts w:ascii="Cambria Math" w:eastAsiaTheme="minorEastAsia" w:hAnsi="Cambria Math" w:cs="Times New Roman"/>
                      <w:i/>
                      <w:szCs w:val="21"/>
                    </w:rPr>
                  </m:ctrlPr>
                </m:sSubPr>
                <m:e>
                  <m:r>
                    <w:rPr>
                      <w:rFonts w:ascii="Cambria Math" w:eastAsiaTheme="minorEastAsia" w:hAnsi="Cambria Math" w:cs="Times New Roman"/>
                      <w:szCs w:val="21"/>
                    </w:rPr>
                    <m:t>W</m:t>
                  </m:r>
                </m:e>
                <m:sub>
                  <m:r>
                    <w:rPr>
                      <w:rFonts w:ascii="Cambria Math" w:eastAsiaTheme="minorEastAsia" w:hAnsi="Cambria Math" w:cs="Times New Roman" w:hint="eastAsia"/>
                      <w:szCs w:val="21"/>
                    </w:rPr>
                    <m:t>n</m:t>
                  </m:r>
                </m:sub>
              </m:sSub>
              <m:r>
                <w:rPr>
                  <w:rFonts w:ascii="Cambria Math" w:hAnsi="Cambria Math"/>
                  <w:color w:val="000000" w:themeColor="text1"/>
                  <w:szCs w:val="21"/>
                </w:rPr>
                <m:t>#</m:t>
              </m:r>
              <m:d>
                <m:dPr>
                  <m:ctrlPr>
                    <w:rPr>
                      <w:rFonts w:ascii="Cambria Math" w:hAnsi="Cambria Math"/>
                      <w:i/>
                      <w:color w:val="000000" w:themeColor="text1"/>
                      <w:szCs w:val="21"/>
                    </w:rPr>
                  </m:ctrlPr>
                </m:dPr>
                <m:e>
                  <m:r>
                    <w:rPr>
                      <w:rFonts w:ascii="Cambria Math" w:hAnsi="Cambria Math"/>
                      <w:color w:val="000000" w:themeColor="text1"/>
                      <w:szCs w:val="21"/>
                    </w:rPr>
                    <m:t>7</m:t>
                  </m:r>
                </m:e>
              </m:d>
            </m:e>
          </m:eqArr>
        </m:oMath>
      </m:oMathPara>
    </w:p>
    <w:p w14:paraId="5A321DD7" w14:textId="77777777" w:rsidR="00AF1BF8" w:rsidRDefault="00000000">
      <w:pPr>
        <w:rPr>
          <w:color w:val="000000" w:themeColor="text1"/>
          <w:szCs w:val="21"/>
        </w:rPr>
      </w:pPr>
      <m:oMathPara>
        <m:oMath>
          <m:eqArr>
            <m:eqArrPr>
              <m:maxDist m:val="1"/>
              <m:ctrlPr>
                <w:rPr>
                  <w:rFonts w:ascii="Cambria Math" w:hAnsi="Cambria Math"/>
                  <w:i/>
                  <w:color w:val="000000" w:themeColor="text1"/>
                  <w:szCs w:val="21"/>
                </w:rPr>
              </m:ctrlPr>
            </m:eqArrPr>
            <m:e>
              <m:sSub>
                <m:sSubPr>
                  <m:ctrlPr>
                    <w:rPr>
                      <w:rFonts w:ascii="Cambria Math" w:hAnsi="Cambria Math"/>
                      <w:color w:val="000000" w:themeColor="text1"/>
                      <w:szCs w:val="21"/>
                    </w:rPr>
                  </m:ctrlPr>
                </m:sSubPr>
                <m:e>
                  <m:r>
                    <w:rPr>
                      <w:rFonts w:ascii="Cambria Math" w:hAnsi="Cambria Math"/>
                      <w:color w:val="000000" w:themeColor="text1"/>
                      <w:szCs w:val="21"/>
                    </w:rPr>
                    <m:t>E</m:t>
                  </m:r>
                </m:e>
                <m:sub>
                  <m:r>
                    <m:rPr>
                      <m:sty m:val="p"/>
                    </m:rPr>
                    <w:rPr>
                      <w:rFonts w:ascii="Cambria Math" w:hAnsi="Cambria Math"/>
                      <w:color w:val="000000" w:themeColor="text1"/>
                      <w:szCs w:val="21"/>
                    </w:rPr>
                    <m:t xml:space="preserve"> </m:t>
                  </m:r>
                  <m:r>
                    <w:rPr>
                      <w:rFonts w:ascii="Cambria Math" w:hAnsi="Cambria Math"/>
                      <w:color w:val="000000" w:themeColor="text1"/>
                      <w:szCs w:val="21"/>
                    </w:rPr>
                    <m:t>indirect</m:t>
                  </m:r>
                </m:sub>
              </m:sSub>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E</m:t>
                  </m:r>
                </m:e>
                <m:sub>
                  <m:r>
                    <w:rPr>
                      <w:rFonts w:ascii="Cambria Math" w:hAnsi="Cambria Math" w:hint="eastAsia"/>
                      <w:color w:val="000000" w:themeColor="text1"/>
                      <w:szCs w:val="21"/>
                    </w:rPr>
                    <m:t>electricity</m:t>
                  </m:r>
                </m:sub>
              </m:sSub>
              <m:r>
                <m:rPr>
                  <m:sty m:val="p"/>
                </m:rPr>
                <w:rPr>
                  <w:rFonts w:ascii="Cambria Math" w:hAnsi="Cambria Math"/>
                  <w:color w:val="000000" w:themeColor="text1"/>
                  <w:szCs w:val="21"/>
                </w:rPr>
                <m:t>+</m:t>
              </m:r>
              <m:sSub>
                <m:sSubPr>
                  <m:ctrlPr>
                    <w:rPr>
                      <w:rFonts w:ascii="Cambria Math" w:hAnsi="Cambria Math"/>
                      <w:color w:val="000000" w:themeColor="text1"/>
                      <w:szCs w:val="21"/>
                    </w:rPr>
                  </m:ctrlPr>
                </m:sSubPr>
                <m:e>
                  <m:r>
                    <w:rPr>
                      <w:rFonts w:ascii="Cambria Math" w:hAnsi="Cambria Math"/>
                      <w:color w:val="000000" w:themeColor="text1"/>
                      <w:szCs w:val="21"/>
                    </w:rPr>
                    <m:t>E</m:t>
                  </m:r>
                </m:e>
                <m:sub>
                  <m:r>
                    <w:rPr>
                      <w:rFonts w:ascii="Cambria Math" w:hAnsi="Cambria Math"/>
                      <w:color w:val="000000" w:themeColor="text1"/>
                      <w:szCs w:val="21"/>
                    </w:rPr>
                    <m:t>ch</m:t>
                  </m:r>
                  <m:r>
                    <w:rPr>
                      <w:rFonts w:ascii="Cambria Math" w:hAnsi="Cambria Math" w:hint="eastAsia"/>
                      <w:color w:val="000000" w:themeColor="text1"/>
                      <w:szCs w:val="21"/>
                    </w:rPr>
                    <m:t>emical</m:t>
                  </m:r>
                </m:sub>
              </m:sSub>
              <m:r>
                <w:rPr>
                  <w:rFonts w:ascii="Cambria Math" w:hAnsi="Cambria Math"/>
                  <w:color w:val="000000" w:themeColor="text1"/>
                  <w:szCs w:val="21"/>
                </w:rPr>
                <m:t>#</m:t>
              </m:r>
              <m:d>
                <m:dPr>
                  <m:ctrlPr>
                    <w:rPr>
                      <w:rFonts w:ascii="Cambria Math" w:hAnsi="Cambria Math"/>
                      <w:i/>
                      <w:color w:val="000000" w:themeColor="text1"/>
                      <w:szCs w:val="21"/>
                    </w:rPr>
                  </m:ctrlPr>
                </m:dPr>
                <m:e>
                  <m:r>
                    <w:rPr>
                      <w:rFonts w:ascii="Cambria Math" w:hAnsi="Cambria Math"/>
                      <w:color w:val="000000" w:themeColor="text1"/>
                      <w:szCs w:val="21"/>
                    </w:rPr>
                    <m:t>8</m:t>
                  </m:r>
                </m:e>
              </m:d>
            </m:e>
          </m:eqArr>
        </m:oMath>
      </m:oMathPara>
    </w:p>
    <w:p w14:paraId="4FAFB325" w14:textId="5B77BFF5" w:rsidR="00AF1BF8" w:rsidRDefault="00000000">
      <w:pPr>
        <w:ind w:firstLineChars="200" w:firstLine="420"/>
        <w:rPr>
          <w:rFonts w:eastAsiaTheme="minorEastAsia" w:cs="Times New Roman"/>
          <w:szCs w:val="21"/>
        </w:rPr>
      </w:pPr>
      <w:r>
        <w:rPr>
          <w:rFonts w:hint="eastAsia"/>
          <w:szCs w:val="21"/>
        </w:rPr>
        <w:t>w</w:t>
      </w:r>
      <w:r>
        <w:rPr>
          <w:szCs w:val="21"/>
        </w:rPr>
        <w:t>here</w:t>
      </w:r>
      <w:r>
        <w:rPr>
          <w:rFonts w:ascii="Cambria Math" w:hAnsi="Cambria Math" w:hint="eastAsia"/>
          <w:i/>
          <w:szCs w:val="21"/>
        </w:rPr>
        <w:t xml:space="preserve"> </w:t>
      </w:r>
      <m:oMath>
        <m:sSub>
          <m:sSubPr>
            <m:ctrlPr>
              <w:rPr>
                <w:rFonts w:ascii="Cambria Math" w:hAnsi="Cambria Math"/>
                <w:color w:val="000000" w:themeColor="text1"/>
                <w:szCs w:val="21"/>
              </w:rPr>
            </m:ctrlPr>
          </m:sSubPr>
          <m:e>
            <m:r>
              <w:rPr>
                <w:rFonts w:ascii="Cambria Math" w:hAnsi="Cambria Math"/>
                <w:color w:val="000000" w:themeColor="text1"/>
                <w:szCs w:val="21"/>
              </w:rPr>
              <m:t>E</m:t>
            </m:r>
          </m:e>
          <m:sub>
            <m:r>
              <w:rPr>
                <w:rFonts w:ascii="Cambria Math" w:hAnsi="Cambria Math" w:hint="eastAsia"/>
                <w:color w:val="000000" w:themeColor="text1"/>
                <w:szCs w:val="21"/>
              </w:rPr>
              <m:t>electricity</m:t>
            </m:r>
          </m:sub>
        </m:sSub>
      </m:oMath>
      <w:r>
        <w:rPr>
          <w:rFonts w:ascii="Cambria Math" w:hAnsi="Cambria Math" w:hint="eastAsia"/>
          <w:i/>
          <w:szCs w:val="21"/>
        </w:rPr>
        <w:t xml:space="preserve"> </w:t>
      </w:r>
      <w:r>
        <w:rPr>
          <w:szCs w:val="21"/>
        </w:rPr>
        <w:t xml:space="preserve">and </w:t>
      </w:r>
      <m:oMath>
        <m:sSub>
          <m:sSubPr>
            <m:ctrlPr>
              <w:rPr>
                <w:rFonts w:ascii="Cambria Math" w:hAnsi="Cambria Math"/>
                <w:color w:val="000000" w:themeColor="text1"/>
                <w:szCs w:val="21"/>
              </w:rPr>
            </m:ctrlPr>
          </m:sSubPr>
          <m:e>
            <m:r>
              <w:rPr>
                <w:rFonts w:ascii="Cambria Math" w:hAnsi="Cambria Math"/>
                <w:color w:val="000000" w:themeColor="text1"/>
                <w:szCs w:val="21"/>
              </w:rPr>
              <m:t>E</m:t>
            </m:r>
          </m:e>
          <m:sub>
            <m:r>
              <w:rPr>
                <w:rFonts w:ascii="Cambria Math" w:hAnsi="Cambria Math"/>
                <w:color w:val="000000" w:themeColor="text1"/>
                <w:szCs w:val="21"/>
              </w:rPr>
              <m:t>ch</m:t>
            </m:r>
            <m:r>
              <w:rPr>
                <w:rFonts w:ascii="Cambria Math" w:hAnsi="Cambria Math" w:hint="eastAsia"/>
                <w:color w:val="000000" w:themeColor="text1"/>
                <w:szCs w:val="21"/>
              </w:rPr>
              <m:t>emical</m:t>
            </m:r>
          </m:sub>
        </m:sSub>
      </m:oMath>
      <w:r>
        <w:rPr>
          <w:szCs w:val="21"/>
        </w:rPr>
        <w:t xml:space="preserve"> are the CO</w:t>
      </w:r>
      <w:r>
        <w:rPr>
          <w:szCs w:val="21"/>
          <w:vertAlign w:val="subscript"/>
        </w:rPr>
        <w:t>2</w:t>
      </w:r>
      <w:r>
        <w:rPr>
          <w:szCs w:val="21"/>
        </w:rPr>
        <w:t xml:space="preserve"> equivalents of consumed electricity and </w:t>
      </w:r>
      <w:r>
        <w:rPr>
          <w:szCs w:val="21"/>
        </w:rPr>
        <w:lastRenderedPageBreak/>
        <w:t>chemicals</w:t>
      </w:r>
      <w:r>
        <w:rPr>
          <w:rFonts w:cs="Times New Roman"/>
          <w:color w:val="000000" w:themeColor="text1"/>
          <w:szCs w:val="21"/>
        </w:rPr>
        <w:t xml:space="preserve"> (kg CO</w:t>
      </w:r>
      <w:r>
        <w:rPr>
          <w:rFonts w:cs="Times New Roman"/>
          <w:color w:val="000000" w:themeColor="text1"/>
          <w:szCs w:val="21"/>
          <w:vertAlign w:val="subscript"/>
        </w:rPr>
        <w:t>2</w:t>
      </w:r>
      <w:r>
        <w:rPr>
          <w:rFonts w:cs="Times New Roman"/>
          <w:color w:val="000000" w:themeColor="text1"/>
          <w:szCs w:val="21"/>
        </w:rPr>
        <w:t>-eq/</w:t>
      </w:r>
      <w:r>
        <w:rPr>
          <w:rFonts w:cs="Times New Roman" w:hint="eastAsia"/>
          <w:color w:val="000000" w:themeColor="text1"/>
          <w:szCs w:val="21"/>
        </w:rPr>
        <w:t>d</w:t>
      </w:r>
      <w:r>
        <w:rPr>
          <w:rFonts w:cs="Times New Roman"/>
          <w:color w:val="000000" w:themeColor="text1"/>
          <w:szCs w:val="21"/>
        </w:rPr>
        <w:t>)</w:t>
      </w:r>
      <w:r>
        <w:rPr>
          <w:szCs w:val="21"/>
        </w:rPr>
        <w:t xml:space="preserve">, </w:t>
      </w:r>
      <m:oMath>
        <m:r>
          <w:rPr>
            <w:rFonts w:ascii="Cambria Math" w:hAnsi="Cambria Math"/>
            <w:szCs w:val="21"/>
          </w:rPr>
          <m:t xml:space="preserve">EF </m:t>
        </m:r>
      </m:oMath>
      <w:r>
        <w:rPr>
          <w:szCs w:val="21"/>
        </w:rPr>
        <w:t xml:space="preserve">is the emission factor for electricity </w:t>
      </w:r>
      <w:r>
        <w:rPr>
          <w:rFonts w:cs="宋体" w:hint="eastAsia"/>
          <w:kern w:val="0"/>
          <w:szCs w:val="21"/>
        </w:rPr>
        <w:t>(kg</w:t>
      </w:r>
      <w:r>
        <w:rPr>
          <w:rFonts w:cs="宋体"/>
          <w:kern w:val="0"/>
          <w:szCs w:val="21"/>
        </w:rPr>
        <w:t xml:space="preserve"> CO</w:t>
      </w:r>
      <w:r>
        <w:rPr>
          <w:rFonts w:cs="宋体"/>
          <w:kern w:val="0"/>
          <w:szCs w:val="21"/>
          <w:vertAlign w:val="subscript"/>
        </w:rPr>
        <w:t>2</w:t>
      </w:r>
      <w:r>
        <w:rPr>
          <w:rFonts w:cs="宋体"/>
          <w:kern w:val="0"/>
          <w:szCs w:val="21"/>
        </w:rPr>
        <w:t>/</w:t>
      </w:r>
      <w:r>
        <w:rPr>
          <w:rFonts w:cs="宋体" w:hint="eastAsia"/>
          <w:kern w:val="0"/>
          <w:szCs w:val="21"/>
        </w:rPr>
        <w:t>k</w:t>
      </w:r>
      <w:r>
        <w:rPr>
          <w:rFonts w:cs="宋体"/>
          <w:kern w:val="0"/>
          <w:szCs w:val="21"/>
        </w:rPr>
        <w:t>Wh</w:t>
      </w:r>
      <w:r>
        <w:rPr>
          <w:rFonts w:cs="宋体" w:hint="eastAsia"/>
          <w:kern w:val="0"/>
          <w:szCs w:val="21"/>
        </w:rPr>
        <w:t>)</w:t>
      </w:r>
      <w:r>
        <w:rPr>
          <w:rFonts w:cs="宋体"/>
          <w:kern w:val="0"/>
          <w:szCs w:val="21"/>
        </w:rPr>
        <w:t xml:space="preserve">, taken from the provincial average </w:t>
      </w:r>
      <w:r>
        <w:rPr>
          <w:rFonts w:cs="Times New Roman"/>
          <w:color w:val="000000" w:themeColor="text1"/>
          <w:szCs w:val="21"/>
        </w:rPr>
        <w:t>CO</w:t>
      </w:r>
      <w:r>
        <w:rPr>
          <w:rFonts w:cs="Times New Roman"/>
          <w:color w:val="000000" w:themeColor="text1"/>
          <w:szCs w:val="21"/>
          <w:vertAlign w:val="subscript"/>
        </w:rPr>
        <w:t>2</w:t>
      </w:r>
      <w:r>
        <w:rPr>
          <w:rFonts w:cs="Times New Roman" w:hint="eastAsia"/>
          <w:color w:val="000000" w:themeColor="text1"/>
          <w:szCs w:val="21"/>
          <w:vertAlign w:val="subscript"/>
        </w:rPr>
        <w:t xml:space="preserve"> </w:t>
      </w:r>
      <w:r>
        <w:rPr>
          <w:rFonts w:cs="宋体"/>
          <w:kern w:val="0"/>
          <w:szCs w:val="21"/>
        </w:rPr>
        <w:t>emission factor for electricity in 2023 calculated by the</w:t>
      </w:r>
      <w:r w:rsidRPr="00E05736">
        <w:rPr>
          <w:rFonts w:cs="宋体"/>
          <w:i/>
          <w:iCs/>
          <w:kern w:val="0"/>
          <w:szCs w:val="21"/>
        </w:rPr>
        <w:t xml:space="preserve"> Ministry of Ecology and Environment and the National Bureau of Statistics</w:t>
      </w:r>
      <w:r>
        <w:rPr>
          <w:szCs w:val="21"/>
        </w:rPr>
        <w:t>.</w:t>
      </w:r>
      <w:r>
        <w:rPr>
          <w:rFonts w:ascii="Cambria Math" w:hAnsi="Cambria Math" w:cs="Times New Roman"/>
          <w:i/>
          <w:szCs w:val="21"/>
        </w:rPr>
        <w:t xml:space="preserve"> </w:t>
      </w:r>
      <m:oMath>
        <m:sSub>
          <m:sSubPr>
            <m:ctrlPr>
              <w:rPr>
                <w:rFonts w:ascii="Cambria Math" w:hAnsi="Cambria Math" w:cs="Times New Roman"/>
                <w:i/>
                <w:szCs w:val="21"/>
              </w:rPr>
            </m:ctrlPr>
          </m:sSubPr>
          <m:e>
            <m:r>
              <w:rPr>
                <w:rFonts w:ascii="Cambria Math" w:hAnsi="Cambria Math" w:cs="Times New Roman"/>
                <w:szCs w:val="21"/>
              </w:rPr>
              <m:t>U</m:t>
            </m:r>
          </m:e>
          <m:sub>
            <m:r>
              <w:rPr>
                <w:rFonts w:ascii="Cambria Math" w:hAnsi="Cambria Math" w:cs="Times New Roman"/>
                <w:szCs w:val="21"/>
              </w:rPr>
              <m:t>electricity</m:t>
            </m:r>
          </m:sub>
        </m:sSub>
      </m:oMath>
      <w:r>
        <w:rPr>
          <w:rFonts w:ascii="Cambria Math" w:hAnsi="Cambria Math" w:cs="Times New Roman"/>
          <w:i/>
          <w:szCs w:val="21"/>
        </w:rPr>
        <w:t xml:space="preserve"> </w:t>
      </w:r>
      <w:r>
        <w:rPr>
          <w:szCs w:val="21"/>
        </w:rPr>
        <w:t xml:space="preserve">is the energy consumption of the WWTP (kWh/d). </w:t>
      </w:r>
      <m:oMath>
        <m:sSub>
          <m:sSubPr>
            <m:ctrlPr>
              <w:rPr>
                <w:rFonts w:ascii="Cambria Math" w:hAnsi="Cambria Math"/>
                <w:i/>
                <w:szCs w:val="21"/>
              </w:rPr>
            </m:ctrlPr>
          </m:sSubPr>
          <m:e>
            <m:r>
              <w:rPr>
                <w:rFonts w:ascii="Cambria Math" w:hAnsi="Cambria Math"/>
                <w:szCs w:val="21"/>
              </w:rPr>
              <m:t>EF</m:t>
            </m:r>
          </m:e>
          <m:sub>
            <m:r>
              <w:rPr>
                <w:rFonts w:ascii="Cambria Math" w:hAnsi="Cambria Math"/>
                <w:szCs w:val="21"/>
              </w:rPr>
              <m:t>1</m:t>
            </m:r>
          </m:sub>
        </m:sSub>
      </m:oMath>
      <w:r>
        <w:rPr>
          <w:rFonts w:hint="eastAsia"/>
          <w:szCs w:val="21"/>
        </w:rPr>
        <w:t>,</w:t>
      </w:r>
      <w:r>
        <w:rPr>
          <w:szCs w:val="21"/>
        </w:rPr>
        <w:t xml:space="preserve"> </w:t>
      </w:r>
      <m:oMath>
        <m:sSub>
          <m:sSubPr>
            <m:ctrlPr>
              <w:rPr>
                <w:rFonts w:ascii="Cambria Math" w:hAnsi="Cambria Math"/>
                <w:i/>
                <w:szCs w:val="21"/>
              </w:rPr>
            </m:ctrlPr>
          </m:sSubPr>
          <m:e>
            <m:r>
              <w:rPr>
                <w:rFonts w:ascii="Cambria Math" w:hAnsi="Cambria Math"/>
                <w:szCs w:val="21"/>
              </w:rPr>
              <m:t>EF</m:t>
            </m:r>
          </m:e>
          <m:sub>
            <m:r>
              <w:rPr>
                <w:rFonts w:ascii="Cambria Math" w:hAnsi="Cambria Math"/>
                <w:szCs w:val="21"/>
              </w:rPr>
              <m:t>2</m:t>
            </m:r>
          </m:sub>
        </m:sSub>
      </m:oMath>
      <w:r>
        <w:rPr>
          <w:rFonts w:hint="eastAsia"/>
          <w:szCs w:val="21"/>
        </w:rPr>
        <w:t xml:space="preserve"> </w:t>
      </w:r>
      <m:oMath>
        <m:sSub>
          <m:sSubPr>
            <m:ctrlPr>
              <w:rPr>
                <w:rFonts w:ascii="Cambria Math" w:hAnsi="Cambria Math"/>
                <w:i/>
                <w:szCs w:val="21"/>
              </w:rPr>
            </m:ctrlPr>
          </m:sSubPr>
          <m:e>
            <m:r>
              <w:rPr>
                <w:rFonts w:ascii="Cambria Math" w:hAnsi="Cambria Math"/>
                <w:szCs w:val="21"/>
              </w:rPr>
              <m:t>EF</m:t>
            </m:r>
          </m:e>
          <m:sub>
            <m:r>
              <w:rPr>
                <w:rFonts w:ascii="Cambria Math" w:hAnsi="Cambria Math"/>
                <w:szCs w:val="21"/>
              </w:rPr>
              <m:t>3</m:t>
            </m:r>
          </m:sub>
        </m:sSub>
        <m:r>
          <w:rPr>
            <w:rFonts w:ascii="Cambria Math" w:hAnsi="Cambria Math"/>
            <w:szCs w:val="21"/>
          </w:rPr>
          <m:t xml:space="preserve"> </m:t>
        </m:r>
      </m:oMath>
      <w:r>
        <w:rPr>
          <w:rFonts w:hint="eastAsia"/>
          <w:szCs w:val="21"/>
        </w:rPr>
        <w:t>a</w:t>
      </w:r>
      <w:proofErr w:type="spellStart"/>
      <w:r>
        <w:rPr>
          <w:szCs w:val="21"/>
        </w:rPr>
        <w:t>nd</w:t>
      </w:r>
      <w:proofErr w:type="spellEnd"/>
      <w:r>
        <w:rPr>
          <w:rFonts w:hint="eastAsia"/>
          <w:szCs w:val="21"/>
        </w:rPr>
        <w:t xml:space="preserve"> </w:t>
      </w:r>
      <m:oMath>
        <m:sSub>
          <m:sSubPr>
            <m:ctrlPr>
              <w:rPr>
                <w:rFonts w:ascii="Cambria Math" w:hAnsi="Cambria Math"/>
                <w:i/>
                <w:szCs w:val="21"/>
              </w:rPr>
            </m:ctrlPr>
          </m:sSubPr>
          <m:e>
            <m:r>
              <w:rPr>
                <w:rFonts w:ascii="Cambria Math" w:hAnsi="Cambria Math"/>
                <w:szCs w:val="21"/>
              </w:rPr>
              <m:t>EF</m:t>
            </m:r>
          </m:e>
          <m:sub>
            <m:r>
              <w:rPr>
                <w:rFonts w:ascii="Cambria Math" w:hAnsi="Cambria Math"/>
                <w:szCs w:val="21"/>
              </w:rPr>
              <m:t>4</m:t>
            </m:r>
          </m:sub>
        </m:sSub>
      </m:oMath>
      <w:r>
        <w:rPr>
          <w:szCs w:val="21"/>
        </w:rPr>
        <w:t xml:space="preserve"> are the emission factors for methanol, PAC, PAM, and NaClO, respectively (kg CO₂‑eq/kg), taken from the </w:t>
      </w:r>
      <w:r w:rsidRPr="00E05736">
        <w:rPr>
          <w:i/>
          <w:iCs/>
          <w:szCs w:val="21"/>
        </w:rPr>
        <w:t>Guidelines for Carbon Emission Accounting of Urban Wastewater Treatment Plants</w:t>
      </w:r>
      <w:r>
        <w:rPr>
          <w:szCs w:val="21"/>
        </w:rPr>
        <w:t xml:space="preserve">. </w:t>
      </w:r>
      <m:oMath>
        <m:sSub>
          <m:sSubPr>
            <m:ctrlPr>
              <w:rPr>
                <w:rFonts w:ascii="Cambria Math" w:eastAsiaTheme="minorEastAsia" w:hAnsi="Cambria Math" w:cs="Times New Roman"/>
                <w:i/>
                <w:szCs w:val="21"/>
              </w:rPr>
            </m:ctrlPr>
          </m:sSubPr>
          <m:e>
            <m:r>
              <w:rPr>
                <w:rFonts w:ascii="Cambria Math" w:eastAsiaTheme="minorEastAsia" w:hAnsi="Cambria Math" w:cs="Times New Roman"/>
                <w:szCs w:val="21"/>
              </w:rPr>
              <m:t>W</m:t>
            </m:r>
          </m:e>
          <m:sub>
            <m:r>
              <w:rPr>
                <w:rFonts w:ascii="Cambria Math" w:eastAsiaTheme="minorEastAsia" w:hAnsi="Cambria Math" w:cs="Times New Roman"/>
                <w:szCs w:val="21"/>
              </w:rPr>
              <m:t>m</m:t>
            </m:r>
          </m:sub>
        </m:sSub>
        <m:r>
          <w:rPr>
            <w:rFonts w:ascii="Cambria Math" w:eastAsiaTheme="minorEastAsia" w:hAnsi="Cambria Math" w:cs="Times New Roman"/>
            <w:szCs w:val="21"/>
          </w:rPr>
          <m:t xml:space="preserve">, </m:t>
        </m:r>
        <m:sSub>
          <m:sSubPr>
            <m:ctrlPr>
              <w:rPr>
                <w:rFonts w:ascii="Cambria Math" w:eastAsiaTheme="minorEastAsia" w:hAnsi="Cambria Math" w:cs="Times New Roman"/>
                <w:i/>
                <w:szCs w:val="21"/>
              </w:rPr>
            </m:ctrlPr>
          </m:sSubPr>
          <m:e>
            <m:r>
              <w:rPr>
                <w:rFonts w:ascii="Cambria Math" w:eastAsiaTheme="minorEastAsia" w:hAnsi="Cambria Math" w:cs="Times New Roman"/>
                <w:szCs w:val="21"/>
              </w:rPr>
              <m:t>W</m:t>
            </m:r>
          </m:e>
          <m:sub>
            <m:r>
              <w:rPr>
                <w:rFonts w:ascii="Cambria Math" w:eastAsiaTheme="minorEastAsia" w:hAnsi="Cambria Math" w:cs="Times New Roman"/>
                <w:szCs w:val="21"/>
              </w:rPr>
              <m:t>p</m:t>
            </m:r>
          </m:sub>
        </m:sSub>
        <m:r>
          <w:rPr>
            <w:rFonts w:ascii="Cambria Math" w:eastAsiaTheme="minorEastAsia" w:hAnsi="Cambria Math" w:cs="Times New Roman"/>
            <w:szCs w:val="21"/>
          </w:rPr>
          <m:t xml:space="preserve">, </m:t>
        </m:r>
        <m:sSub>
          <m:sSubPr>
            <m:ctrlPr>
              <w:rPr>
                <w:rFonts w:ascii="Cambria Math" w:eastAsiaTheme="minorEastAsia" w:hAnsi="Cambria Math" w:cs="Times New Roman"/>
                <w:i/>
                <w:szCs w:val="21"/>
              </w:rPr>
            </m:ctrlPr>
          </m:sSubPr>
          <m:e>
            <m:r>
              <w:rPr>
                <w:rFonts w:ascii="Cambria Math" w:eastAsiaTheme="minorEastAsia" w:hAnsi="Cambria Math" w:cs="Times New Roman"/>
                <w:szCs w:val="21"/>
              </w:rPr>
              <m:t>W</m:t>
            </m:r>
          </m:e>
          <m:sub>
            <m:r>
              <w:rPr>
                <w:rFonts w:ascii="Cambria Math" w:eastAsiaTheme="minorEastAsia" w:hAnsi="Cambria Math" w:cs="Times New Roman"/>
                <w:szCs w:val="21"/>
              </w:rPr>
              <m:t>s</m:t>
            </m:r>
          </m:sub>
        </m:sSub>
      </m:oMath>
      <w:r>
        <w:rPr>
          <w:rFonts w:hint="eastAsia"/>
          <w:szCs w:val="21"/>
        </w:rPr>
        <w:t xml:space="preserve"> and </w:t>
      </w:r>
      <m:oMath>
        <m:sSub>
          <m:sSubPr>
            <m:ctrlPr>
              <w:rPr>
                <w:rFonts w:ascii="Cambria Math" w:eastAsiaTheme="minorEastAsia" w:hAnsi="Cambria Math" w:cs="Times New Roman"/>
                <w:i/>
                <w:szCs w:val="21"/>
              </w:rPr>
            </m:ctrlPr>
          </m:sSubPr>
          <m:e>
            <m:r>
              <w:rPr>
                <w:rFonts w:ascii="Cambria Math" w:eastAsiaTheme="minorEastAsia" w:hAnsi="Cambria Math" w:cs="Times New Roman"/>
                <w:szCs w:val="21"/>
              </w:rPr>
              <m:t>W</m:t>
            </m:r>
          </m:e>
          <m:sub>
            <m:r>
              <w:rPr>
                <w:rFonts w:ascii="Cambria Math" w:eastAsiaTheme="minorEastAsia" w:hAnsi="Cambria Math" w:cs="Times New Roman"/>
                <w:szCs w:val="21"/>
              </w:rPr>
              <m:t>n</m:t>
            </m:r>
          </m:sub>
        </m:sSub>
      </m:oMath>
      <w:r>
        <w:rPr>
          <w:rFonts w:ascii="Cambria Math" w:eastAsiaTheme="minorEastAsia" w:hAnsi="Cambria Math" w:cs="Times New Roman" w:hint="eastAsia"/>
          <w:i/>
          <w:szCs w:val="21"/>
        </w:rPr>
        <w:t xml:space="preserve"> </w:t>
      </w:r>
      <w:r>
        <w:rPr>
          <w:szCs w:val="21"/>
        </w:rPr>
        <w:t>are the daily consumptions of methanol, PAC, PAM, and Sodium hypochlorite</w:t>
      </w:r>
      <w:r>
        <w:rPr>
          <w:rFonts w:hint="eastAsia"/>
          <w:szCs w:val="21"/>
        </w:rPr>
        <w:t xml:space="preserve"> (</w:t>
      </w:r>
      <w:r>
        <w:rPr>
          <w:szCs w:val="21"/>
        </w:rPr>
        <w:t>NaClO</w:t>
      </w:r>
      <w:r>
        <w:rPr>
          <w:rFonts w:hint="eastAsia"/>
          <w:szCs w:val="21"/>
        </w:rPr>
        <w:t xml:space="preserve">, </w:t>
      </w:r>
      <w:r>
        <w:rPr>
          <w:szCs w:val="21"/>
        </w:rPr>
        <w:t>kg/</w:t>
      </w:r>
      <w:r w:rsidR="00E05736">
        <w:rPr>
          <w:rFonts w:hint="eastAsia"/>
          <w:szCs w:val="21"/>
        </w:rPr>
        <w:t>h</w:t>
      </w:r>
      <w:r>
        <w:rPr>
          <w:szCs w:val="21"/>
        </w:rPr>
        <w:t xml:space="preserve">), respectively. All emission factors are listed in </w:t>
      </w:r>
      <w:r>
        <w:rPr>
          <w:color w:val="4472C4" w:themeColor="accent1"/>
          <w:szCs w:val="21"/>
        </w:rPr>
        <w:t xml:space="preserve">Table </w:t>
      </w:r>
      <w:proofErr w:type="spellStart"/>
      <w:r>
        <w:rPr>
          <w:color w:val="4472C4" w:themeColor="accent1"/>
          <w:szCs w:val="21"/>
        </w:rPr>
        <w:t>A8</w:t>
      </w:r>
      <w:proofErr w:type="spellEnd"/>
      <w:r>
        <w:rPr>
          <w:szCs w:val="21"/>
        </w:rPr>
        <w:t>.</w:t>
      </w:r>
    </w:p>
    <w:p w14:paraId="22787DD1" w14:textId="77777777" w:rsidR="00AF1BF8" w:rsidRDefault="00000000">
      <w:pPr>
        <w:pStyle w:val="af7"/>
        <w:spacing w:line="360" w:lineRule="auto"/>
        <w:jc w:val="center"/>
        <w:rPr>
          <w:color w:val="4472C4" w:themeColor="accent1"/>
          <w:sz w:val="21"/>
          <w:szCs w:val="21"/>
        </w:rPr>
      </w:pPr>
      <w:r>
        <w:rPr>
          <w:color w:val="4472C4" w:themeColor="accent1"/>
          <w:sz w:val="21"/>
          <w:szCs w:val="21"/>
        </w:rPr>
        <w:t xml:space="preserve">Table </w:t>
      </w:r>
      <w:proofErr w:type="spellStart"/>
      <w:r>
        <w:rPr>
          <w:color w:val="4472C4" w:themeColor="accent1"/>
          <w:sz w:val="21"/>
          <w:szCs w:val="21"/>
        </w:rPr>
        <w:t>A8</w:t>
      </w:r>
      <w:proofErr w:type="spellEnd"/>
      <w:r>
        <w:rPr>
          <w:color w:val="4472C4" w:themeColor="accent1"/>
          <w:sz w:val="21"/>
          <w:szCs w:val="21"/>
        </w:rPr>
        <w:t xml:space="preserve"> </w:t>
      </w:r>
      <w:r>
        <w:rPr>
          <w:color w:val="000000" w:themeColor="text1"/>
          <w:sz w:val="21"/>
          <w:szCs w:val="21"/>
        </w:rPr>
        <w:t>Emission factors for electricity and chemicals</w:t>
      </w:r>
      <w:r>
        <w:rPr>
          <w:rFonts w:hint="eastAsia"/>
          <w:color w:val="000000" w:themeColor="text1"/>
          <w:sz w:val="21"/>
          <w:szCs w:val="21"/>
        </w:rPr>
        <w:t>.</w:t>
      </w:r>
    </w:p>
    <w:tbl>
      <w:tblPr>
        <w:tblStyle w:val="13"/>
        <w:tblW w:w="0" w:type="auto"/>
        <w:tblLook w:val="04A0" w:firstRow="1" w:lastRow="0" w:firstColumn="1" w:lastColumn="0" w:noHBand="0" w:noVBand="1"/>
      </w:tblPr>
      <w:tblGrid>
        <w:gridCol w:w="2886"/>
        <w:gridCol w:w="5336"/>
      </w:tblGrid>
      <w:tr w:rsidR="00AF1BF8" w14:paraId="3A38E874" w14:textId="77777777" w:rsidTr="00AF1BF8">
        <w:trPr>
          <w:cnfStyle w:val="100000000000" w:firstRow="1" w:lastRow="0" w:firstColumn="0" w:lastColumn="0" w:oddVBand="0" w:evenVBand="0" w:oddHBand="0" w:evenHBand="0" w:firstRowFirstColumn="0" w:firstRowLastColumn="0" w:lastRowFirstColumn="0" w:lastRowLastColumn="0"/>
        </w:trPr>
        <w:tc>
          <w:tcPr>
            <w:tcW w:w="2886" w:type="dxa"/>
          </w:tcPr>
          <w:p w14:paraId="037F7992" w14:textId="77777777" w:rsidR="00AF1BF8" w:rsidRDefault="00000000">
            <w:pPr>
              <w:pStyle w:val="af7"/>
              <w:jc w:val="center"/>
              <w:rPr>
                <w:kern w:val="0"/>
                <w:sz w:val="21"/>
                <w:szCs w:val="21"/>
              </w:rPr>
            </w:pPr>
            <w:r>
              <w:rPr>
                <w:kern w:val="0"/>
                <w:sz w:val="21"/>
                <w:szCs w:val="21"/>
              </w:rPr>
              <w:t>Name</w:t>
            </w:r>
          </w:p>
        </w:tc>
        <w:tc>
          <w:tcPr>
            <w:tcW w:w="5336" w:type="dxa"/>
          </w:tcPr>
          <w:p w14:paraId="4C6783D2" w14:textId="77777777" w:rsidR="00AF1BF8" w:rsidRDefault="00000000">
            <w:pPr>
              <w:pStyle w:val="af7"/>
              <w:jc w:val="center"/>
              <w:rPr>
                <w:kern w:val="0"/>
                <w:sz w:val="21"/>
                <w:szCs w:val="21"/>
              </w:rPr>
            </w:pPr>
            <w:r>
              <w:rPr>
                <w:kern w:val="0"/>
                <w:sz w:val="21"/>
                <w:szCs w:val="21"/>
              </w:rPr>
              <w:t>Emission factor</w:t>
            </w:r>
            <w:r>
              <w:rPr>
                <w:rFonts w:hint="eastAsia"/>
                <w:kern w:val="0"/>
                <w:sz w:val="21"/>
                <w:szCs w:val="21"/>
              </w:rPr>
              <w:t>（</w:t>
            </w:r>
            <w:r>
              <w:rPr>
                <w:rFonts w:hint="eastAsia"/>
                <w:kern w:val="0"/>
                <w:sz w:val="21"/>
                <w:szCs w:val="21"/>
              </w:rPr>
              <w:t xml:space="preserve">kg </w:t>
            </w:r>
            <m:oMath>
              <m:sSub>
                <m:sSubPr>
                  <m:ctrlPr>
                    <w:rPr>
                      <w:rFonts w:ascii="Cambria Math" w:hAnsi="Cambria Math"/>
                      <w:i/>
                      <w:spacing w:val="-10"/>
                      <w:sz w:val="21"/>
                      <w:szCs w:val="21"/>
                    </w:rPr>
                  </m:ctrlPr>
                </m:sSubPr>
                <m:e>
                  <m:r>
                    <m:rPr>
                      <m:nor/>
                    </m:rPr>
                    <w:rPr>
                      <w:kern w:val="0"/>
                      <w:sz w:val="21"/>
                      <w:szCs w:val="21"/>
                    </w:rPr>
                    <m:t>CO</m:t>
                  </m:r>
                </m:e>
                <m:sub>
                  <m:r>
                    <m:rPr>
                      <m:nor/>
                    </m:rPr>
                    <w:rPr>
                      <w:kern w:val="0"/>
                      <w:sz w:val="21"/>
                      <w:szCs w:val="21"/>
                    </w:rPr>
                    <m:t>2</m:t>
                  </m:r>
                </m:sub>
              </m:sSub>
              <m:r>
                <m:rPr>
                  <m:nor/>
                </m:rPr>
                <w:rPr>
                  <w:kern w:val="0"/>
                  <w:sz w:val="21"/>
                  <w:szCs w:val="21"/>
                </w:rPr>
                <m:t>-eq</m:t>
              </m:r>
            </m:oMath>
            <w:r>
              <w:rPr>
                <w:rFonts w:hint="eastAsia"/>
                <w:kern w:val="0"/>
                <w:sz w:val="21"/>
                <w:szCs w:val="21"/>
              </w:rPr>
              <w:t xml:space="preserve"> /kg</w:t>
            </w:r>
            <w:r>
              <w:rPr>
                <w:rFonts w:hint="eastAsia"/>
                <w:kern w:val="0"/>
                <w:sz w:val="21"/>
                <w:szCs w:val="21"/>
              </w:rPr>
              <w:t>）</w:t>
            </w:r>
          </w:p>
        </w:tc>
      </w:tr>
      <w:tr w:rsidR="00AF1BF8" w14:paraId="03EFBF6C" w14:textId="77777777" w:rsidTr="00AF1BF8">
        <w:tc>
          <w:tcPr>
            <w:tcW w:w="2886" w:type="dxa"/>
          </w:tcPr>
          <w:p w14:paraId="343A89D3" w14:textId="77777777" w:rsidR="00AF1BF8" w:rsidRDefault="00000000">
            <w:pPr>
              <w:pStyle w:val="af7"/>
              <w:jc w:val="center"/>
              <w:rPr>
                <w:kern w:val="0"/>
                <w:sz w:val="21"/>
                <w:szCs w:val="21"/>
              </w:rPr>
            </w:pPr>
            <w:r>
              <w:rPr>
                <w:kern w:val="0"/>
                <w:sz w:val="21"/>
                <w:szCs w:val="21"/>
              </w:rPr>
              <w:t>Electricity</w:t>
            </w:r>
          </w:p>
        </w:tc>
        <w:tc>
          <w:tcPr>
            <w:tcW w:w="5336" w:type="dxa"/>
          </w:tcPr>
          <w:p w14:paraId="44C63BC5" w14:textId="77777777" w:rsidR="00AF1BF8" w:rsidRDefault="00000000">
            <w:pPr>
              <w:pStyle w:val="af7"/>
              <w:jc w:val="center"/>
              <w:rPr>
                <w:kern w:val="0"/>
                <w:sz w:val="21"/>
                <w:szCs w:val="21"/>
              </w:rPr>
            </w:pPr>
            <w:r>
              <w:rPr>
                <w:rFonts w:hint="eastAsia"/>
                <w:kern w:val="0"/>
                <w:sz w:val="21"/>
                <w:szCs w:val="21"/>
              </w:rPr>
              <w:t>0.53</w:t>
            </w:r>
          </w:p>
        </w:tc>
      </w:tr>
      <w:tr w:rsidR="00AF1BF8" w14:paraId="2F36DB14" w14:textId="77777777" w:rsidTr="00AF1BF8">
        <w:tc>
          <w:tcPr>
            <w:tcW w:w="2886" w:type="dxa"/>
          </w:tcPr>
          <w:p w14:paraId="1F8F5752" w14:textId="77777777" w:rsidR="00AF1BF8" w:rsidRDefault="00000000">
            <w:pPr>
              <w:pStyle w:val="af7"/>
              <w:jc w:val="center"/>
              <w:rPr>
                <w:kern w:val="0"/>
                <w:sz w:val="21"/>
                <w:szCs w:val="21"/>
              </w:rPr>
            </w:pPr>
            <w:r>
              <w:rPr>
                <w:kern w:val="0"/>
                <w:sz w:val="21"/>
                <w:szCs w:val="21"/>
              </w:rPr>
              <w:t>Methanol</w:t>
            </w:r>
          </w:p>
        </w:tc>
        <w:tc>
          <w:tcPr>
            <w:tcW w:w="5336" w:type="dxa"/>
          </w:tcPr>
          <w:p w14:paraId="5915AA65" w14:textId="77777777" w:rsidR="00AF1BF8" w:rsidRDefault="00000000">
            <w:pPr>
              <w:pStyle w:val="af7"/>
              <w:jc w:val="center"/>
              <w:rPr>
                <w:kern w:val="0"/>
                <w:sz w:val="21"/>
                <w:szCs w:val="21"/>
              </w:rPr>
            </w:pPr>
            <w:r>
              <w:rPr>
                <w:rFonts w:hint="eastAsia"/>
                <w:kern w:val="0"/>
                <w:sz w:val="21"/>
                <w:szCs w:val="21"/>
              </w:rPr>
              <w:t>0.61</w:t>
            </w:r>
          </w:p>
        </w:tc>
      </w:tr>
      <w:tr w:rsidR="00AF1BF8" w14:paraId="59C49182" w14:textId="77777777" w:rsidTr="00AF1BF8">
        <w:tc>
          <w:tcPr>
            <w:tcW w:w="2886" w:type="dxa"/>
          </w:tcPr>
          <w:p w14:paraId="667F67CE" w14:textId="77777777" w:rsidR="00AF1BF8" w:rsidRDefault="00000000">
            <w:pPr>
              <w:pStyle w:val="af7"/>
              <w:jc w:val="center"/>
              <w:rPr>
                <w:kern w:val="0"/>
                <w:sz w:val="21"/>
                <w:szCs w:val="21"/>
              </w:rPr>
            </w:pPr>
            <w:r>
              <w:rPr>
                <w:kern w:val="0"/>
                <w:sz w:val="21"/>
                <w:szCs w:val="21"/>
              </w:rPr>
              <w:t>PAC</w:t>
            </w:r>
          </w:p>
        </w:tc>
        <w:tc>
          <w:tcPr>
            <w:tcW w:w="5336" w:type="dxa"/>
          </w:tcPr>
          <w:p w14:paraId="40BE25FF" w14:textId="77777777" w:rsidR="00AF1BF8" w:rsidRDefault="00000000">
            <w:pPr>
              <w:pStyle w:val="af7"/>
              <w:jc w:val="center"/>
              <w:rPr>
                <w:kern w:val="0"/>
                <w:sz w:val="21"/>
                <w:szCs w:val="21"/>
              </w:rPr>
            </w:pPr>
            <w:r>
              <w:rPr>
                <w:rFonts w:hint="eastAsia"/>
                <w:kern w:val="0"/>
                <w:sz w:val="21"/>
                <w:szCs w:val="21"/>
              </w:rPr>
              <w:t>1.62</w:t>
            </w:r>
          </w:p>
        </w:tc>
      </w:tr>
      <w:tr w:rsidR="00AF1BF8" w14:paraId="4D841E60" w14:textId="77777777" w:rsidTr="00AF1BF8">
        <w:tc>
          <w:tcPr>
            <w:tcW w:w="2886" w:type="dxa"/>
          </w:tcPr>
          <w:p w14:paraId="650F1B51" w14:textId="77777777" w:rsidR="00AF1BF8" w:rsidRDefault="00000000">
            <w:pPr>
              <w:pStyle w:val="af7"/>
              <w:jc w:val="center"/>
              <w:rPr>
                <w:kern w:val="0"/>
                <w:sz w:val="21"/>
                <w:szCs w:val="21"/>
              </w:rPr>
            </w:pPr>
            <w:r>
              <w:rPr>
                <w:kern w:val="0"/>
                <w:sz w:val="21"/>
                <w:szCs w:val="21"/>
              </w:rPr>
              <w:t>PAM</w:t>
            </w:r>
          </w:p>
        </w:tc>
        <w:tc>
          <w:tcPr>
            <w:tcW w:w="5336" w:type="dxa"/>
          </w:tcPr>
          <w:p w14:paraId="0F97CC45" w14:textId="77777777" w:rsidR="00AF1BF8" w:rsidRDefault="00000000">
            <w:pPr>
              <w:pStyle w:val="af7"/>
              <w:jc w:val="center"/>
              <w:rPr>
                <w:kern w:val="0"/>
                <w:sz w:val="21"/>
                <w:szCs w:val="21"/>
              </w:rPr>
            </w:pPr>
            <w:r>
              <w:rPr>
                <w:rFonts w:hint="eastAsia"/>
                <w:kern w:val="0"/>
                <w:sz w:val="21"/>
                <w:szCs w:val="21"/>
              </w:rPr>
              <w:t>1.48</w:t>
            </w:r>
          </w:p>
        </w:tc>
      </w:tr>
      <w:tr w:rsidR="00AF1BF8" w14:paraId="78F16E36" w14:textId="77777777" w:rsidTr="00AF1BF8">
        <w:tc>
          <w:tcPr>
            <w:tcW w:w="2886" w:type="dxa"/>
          </w:tcPr>
          <w:p w14:paraId="608E2243" w14:textId="77777777" w:rsidR="00AF1BF8" w:rsidRDefault="00000000">
            <w:pPr>
              <w:pStyle w:val="af7"/>
              <w:jc w:val="center"/>
              <w:rPr>
                <w:kern w:val="0"/>
                <w:sz w:val="21"/>
                <w:szCs w:val="21"/>
              </w:rPr>
            </w:pPr>
            <w:r>
              <w:rPr>
                <w:rFonts w:hint="eastAsia"/>
                <w:kern w:val="0"/>
                <w:sz w:val="21"/>
                <w:szCs w:val="21"/>
              </w:rPr>
              <w:t>NaClO</w:t>
            </w:r>
          </w:p>
        </w:tc>
        <w:tc>
          <w:tcPr>
            <w:tcW w:w="5336" w:type="dxa"/>
          </w:tcPr>
          <w:p w14:paraId="47C558EE" w14:textId="77777777" w:rsidR="00AF1BF8" w:rsidRDefault="00000000">
            <w:pPr>
              <w:pStyle w:val="af7"/>
              <w:jc w:val="center"/>
              <w:rPr>
                <w:kern w:val="0"/>
                <w:sz w:val="21"/>
                <w:szCs w:val="21"/>
              </w:rPr>
            </w:pPr>
            <w:r>
              <w:rPr>
                <w:rFonts w:hint="eastAsia"/>
                <w:kern w:val="0"/>
                <w:sz w:val="21"/>
                <w:szCs w:val="21"/>
              </w:rPr>
              <w:t>0.99</w:t>
            </w:r>
          </w:p>
        </w:tc>
      </w:tr>
    </w:tbl>
    <w:p w14:paraId="611DFFF5" w14:textId="77777777" w:rsidR="00AF1BF8" w:rsidRDefault="00000000">
      <w:pPr>
        <w:pStyle w:val="2"/>
        <w:spacing w:before="10" w:after="10"/>
        <w:rPr>
          <w:rFonts w:ascii="Times New Roman" w:hAnsi="Times New Roman" w:cs="Times New Roman"/>
          <w:sz w:val="24"/>
          <w:szCs w:val="24"/>
        </w:rPr>
      </w:pPr>
      <w:r>
        <w:rPr>
          <w:rFonts w:ascii="Times New Roman" w:hAnsi="Times New Roman" w:cs="Times New Roman"/>
          <w:sz w:val="24"/>
          <w:szCs w:val="24"/>
        </w:rPr>
        <w:t xml:space="preserve">Text </w:t>
      </w:r>
      <w:proofErr w:type="spellStart"/>
      <w:r>
        <w:rPr>
          <w:rFonts w:ascii="Times New Roman" w:hAnsi="Times New Roman" w:cs="Times New Roman"/>
          <w:sz w:val="24"/>
          <w:szCs w:val="24"/>
        </w:rPr>
        <w:t>A.</w:t>
      </w:r>
      <w:r>
        <w:rPr>
          <w:rFonts w:ascii="Times New Roman" w:hAnsi="Times New Roman" w:cs="Times New Roman" w:hint="eastAsia"/>
          <w:sz w:val="24"/>
          <w:szCs w:val="24"/>
        </w:rPr>
        <w:t>4</w:t>
      </w:r>
      <w:r>
        <w:rPr>
          <w:rFonts w:ascii="Times New Roman" w:hAnsi="Times New Roman" w:cs="Times New Roman"/>
          <w:sz w:val="24"/>
          <w:szCs w:val="24"/>
        </w:rPr>
        <w:t>.</w:t>
      </w:r>
      <w:r>
        <w:rPr>
          <w:rFonts w:ascii="Times New Roman" w:hAnsi="Times New Roman" w:cs="Times New Roman" w:hint="eastAsia"/>
          <w:sz w:val="24"/>
          <w:szCs w:val="24"/>
        </w:rPr>
        <w:t>2</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Operating cost accounting</w:t>
      </w:r>
    </w:p>
    <w:p w14:paraId="56F13B09" w14:textId="77777777" w:rsidR="00AF1BF8" w:rsidRDefault="00000000">
      <w:pPr>
        <w:ind w:firstLineChars="200" w:firstLine="420"/>
        <w:rPr>
          <w:rFonts w:eastAsiaTheme="minorEastAsia"/>
        </w:rPr>
      </w:pPr>
      <w:r>
        <w:t>Operating cost accounting focused on electricity and chemical costs, because these two components are directly affected by hydraulic loading and operational adjustment</w:t>
      </w:r>
      <w:r>
        <w:fldChar w:fldCharType="begin"/>
      </w:r>
      <w:r>
        <w:instrText xml:space="preserve"> ADDIN EN.CITE &lt;EndNote&gt;&lt;Cite&gt;&lt;Author&gt;Luo&lt;/Author&gt;&lt;Year&gt;2019&lt;/Year&gt;&lt;RecNum&gt;1175&lt;/RecNum&gt;&lt;DisplayText&gt;&lt;style face="superscript"&gt;[7]&lt;/style&gt;&lt;/DisplayText&gt;&lt;record&gt;&lt;rec-number&gt;1175&lt;/rec-number&gt;&lt;foreign-keys&gt;&lt;key app="EN" db-id="ts2xvw5werepv7effpq5df9bp5apar0epsw5" timestamp="1781015807"&gt;1175&lt;/key&gt;&lt;/foreign-keys&gt;&lt;ref-type name="Journal Article"&gt;17&lt;/ref-type&gt;&lt;contributors&gt;&lt;authors&gt;&lt;author&gt;Luo, Li&lt;/author&gt;&lt;author&gt;Dzakpasu, Mawuli&lt;/author&gt;&lt;author&gt;Yang, Baichuan&lt;/author&gt;&lt;author&gt;Zhang, Wushou&lt;/author&gt;&lt;author&gt;Yang, Yahong&lt;/author&gt;&lt;author&gt;Wang, Xiaochang C.&lt;/author&gt;&lt;/authors&gt;&lt;/contributors&gt;&lt;titles&gt;&lt;title&gt;A novel index of total oxygen demand for the comprehensive evaluation of energy consumption for urban wastewater treatment&lt;/title&gt;&lt;secondary-title&gt;Applied Energy&lt;/secondary-title&gt;&lt;/titles&gt;&lt;periodical&gt;&lt;full-title&gt;Applied Energy&lt;/full-title&gt;&lt;/periodical&gt;&lt;pages&gt;253-261&lt;/pages&gt;&lt;volume&gt;236&lt;/volume&gt;&lt;keywords&gt;&lt;keyword&gt;Wastewater treatment plants (WWTPs)&lt;/keyword&gt;&lt;keyword&gt;Energy consumption&lt;/keyword&gt;&lt;keyword&gt;Total oxygen demand (TOD)&lt;/keyword&gt;&lt;keyword&gt;Treatment scale&lt;/keyword&gt;&lt;keyword&gt;Loading rate&lt;/keyword&gt;&lt;/keywords&gt;&lt;dates&gt;&lt;year&gt;2019&lt;/year&gt;&lt;pub-dates&gt;&lt;date&gt;2019/02/15/&lt;/date&gt;&lt;/pub-dates&gt;&lt;/dates&gt;&lt;isbn&gt;0306-2619&lt;/isbn&gt;&lt;urls&gt;&lt;related-urls&gt;&lt;url&gt;https://www.sciencedirect.com/science/article/pii/S0306261918318166&lt;/url&gt;&lt;/related-urls&gt;&lt;/urls&gt;&lt;electronic-resource-num&gt;https://doi.org/10.1016/j.apenergy.2018.11.101&lt;/electronic-resource-num&gt;&lt;/record&gt;&lt;/Cite&gt;&lt;/EndNote&gt;</w:instrText>
      </w:r>
      <w:r>
        <w:fldChar w:fldCharType="separate"/>
      </w:r>
      <w:r>
        <w:rPr>
          <w:vertAlign w:val="superscript"/>
        </w:rPr>
        <w:t>[</w:t>
      </w:r>
      <w:r w:rsidRPr="00893EA7">
        <w:rPr>
          <w:color w:val="4472C4" w:themeColor="accent1"/>
          <w:vertAlign w:val="superscript"/>
        </w:rPr>
        <w:t>7</w:t>
      </w:r>
      <w:r>
        <w:rPr>
          <w:vertAlign w:val="superscript"/>
        </w:rPr>
        <w:t>]</w:t>
      </w:r>
      <w:r>
        <w:fldChar w:fldCharType="end"/>
      </w:r>
      <w:r>
        <w:t xml:space="preserve">. Other cost components, including labor, maintenance, depreciation, construction, and sludge disposal costs, were not included. The unit costs of electricity and each chemical are shown in </w:t>
      </w:r>
      <w:r>
        <w:rPr>
          <w:color w:val="4472C4" w:themeColor="accent1"/>
        </w:rPr>
        <w:t xml:space="preserve">Table </w:t>
      </w:r>
      <w:proofErr w:type="spellStart"/>
      <w:r>
        <w:rPr>
          <w:color w:val="4472C4" w:themeColor="accent1"/>
        </w:rPr>
        <w:t>A9</w:t>
      </w:r>
      <w:proofErr w:type="spellEnd"/>
      <w:r>
        <w:rPr>
          <w:rFonts w:hint="eastAsia"/>
        </w:rPr>
        <w:t>.</w:t>
      </w:r>
    </w:p>
    <w:p w14:paraId="7F72AAB9" w14:textId="77777777" w:rsidR="00AF1BF8" w:rsidRDefault="00000000">
      <w:pPr>
        <w:pStyle w:val="af7"/>
        <w:spacing w:line="360" w:lineRule="auto"/>
        <w:jc w:val="center"/>
        <w:rPr>
          <w:sz w:val="21"/>
          <w:szCs w:val="21"/>
        </w:rPr>
      </w:pPr>
      <w:r>
        <w:rPr>
          <w:color w:val="4472C4" w:themeColor="accent1"/>
          <w:sz w:val="21"/>
          <w:szCs w:val="21"/>
        </w:rPr>
        <w:t xml:space="preserve">Table </w:t>
      </w:r>
      <w:proofErr w:type="spellStart"/>
      <w:r>
        <w:rPr>
          <w:color w:val="4472C4" w:themeColor="accent1"/>
          <w:sz w:val="21"/>
          <w:szCs w:val="21"/>
        </w:rPr>
        <w:t>A9</w:t>
      </w:r>
      <w:proofErr w:type="spellEnd"/>
      <w:r>
        <w:rPr>
          <w:sz w:val="21"/>
          <w:szCs w:val="21"/>
        </w:rPr>
        <w:t xml:space="preserve"> Unit costs of electricity and chemicals</w:t>
      </w:r>
    </w:p>
    <w:tbl>
      <w:tblPr>
        <w:tblStyle w:val="13"/>
        <w:tblW w:w="0" w:type="auto"/>
        <w:tblLook w:val="04A0" w:firstRow="1" w:lastRow="0" w:firstColumn="1" w:lastColumn="0" w:noHBand="0" w:noVBand="1"/>
      </w:tblPr>
      <w:tblGrid>
        <w:gridCol w:w="4158"/>
        <w:gridCol w:w="4148"/>
      </w:tblGrid>
      <w:tr w:rsidR="00AF1BF8" w14:paraId="4A6F2D69" w14:textId="77777777" w:rsidTr="00AF1BF8">
        <w:trPr>
          <w:cnfStyle w:val="100000000000" w:firstRow="1" w:lastRow="0" w:firstColumn="0" w:lastColumn="0" w:oddVBand="0" w:evenVBand="0" w:oddHBand="0" w:evenHBand="0" w:firstRowFirstColumn="0" w:firstRowLastColumn="0" w:lastRowFirstColumn="0" w:lastRowLastColumn="0"/>
        </w:trPr>
        <w:tc>
          <w:tcPr>
            <w:tcW w:w="4158" w:type="dxa"/>
          </w:tcPr>
          <w:p w14:paraId="6D0C6EF8" w14:textId="77777777" w:rsidR="00AF1BF8" w:rsidRDefault="00000000">
            <w:pPr>
              <w:pStyle w:val="af7"/>
              <w:jc w:val="center"/>
              <w:rPr>
                <w:kern w:val="0"/>
                <w:sz w:val="21"/>
                <w:szCs w:val="21"/>
              </w:rPr>
            </w:pPr>
            <w:r>
              <w:rPr>
                <w:kern w:val="0"/>
                <w:sz w:val="21"/>
                <w:szCs w:val="21"/>
              </w:rPr>
              <w:t>Item</w:t>
            </w:r>
          </w:p>
        </w:tc>
        <w:tc>
          <w:tcPr>
            <w:tcW w:w="4148" w:type="dxa"/>
          </w:tcPr>
          <w:p w14:paraId="110A125D" w14:textId="77777777" w:rsidR="00AF1BF8" w:rsidRDefault="00000000">
            <w:pPr>
              <w:pStyle w:val="af7"/>
              <w:jc w:val="center"/>
              <w:rPr>
                <w:kern w:val="0"/>
                <w:sz w:val="21"/>
                <w:szCs w:val="21"/>
              </w:rPr>
            </w:pPr>
            <w:r>
              <w:rPr>
                <w:kern w:val="0"/>
                <w:sz w:val="21"/>
                <w:szCs w:val="21"/>
              </w:rPr>
              <w:t>Unit cost</w:t>
            </w:r>
          </w:p>
        </w:tc>
      </w:tr>
      <w:tr w:rsidR="00AF1BF8" w14:paraId="1E871651" w14:textId="77777777" w:rsidTr="00AF1BF8">
        <w:tc>
          <w:tcPr>
            <w:tcW w:w="4158" w:type="dxa"/>
          </w:tcPr>
          <w:p w14:paraId="262DF4C1" w14:textId="77777777" w:rsidR="00AF1BF8" w:rsidRDefault="00000000">
            <w:pPr>
              <w:pStyle w:val="af7"/>
              <w:jc w:val="center"/>
              <w:rPr>
                <w:kern w:val="0"/>
                <w:sz w:val="21"/>
                <w:szCs w:val="21"/>
              </w:rPr>
            </w:pPr>
            <w:r>
              <w:rPr>
                <w:kern w:val="0"/>
                <w:sz w:val="21"/>
                <w:szCs w:val="21"/>
              </w:rPr>
              <w:t>Electricity</w:t>
            </w:r>
          </w:p>
        </w:tc>
        <w:tc>
          <w:tcPr>
            <w:tcW w:w="4148" w:type="dxa"/>
          </w:tcPr>
          <w:p w14:paraId="4C136143" w14:textId="5D964C82" w:rsidR="00AF1BF8" w:rsidRDefault="00000000">
            <w:pPr>
              <w:pStyle w:val="af7"/>
              <w:jc w:val="center"/>
              <w:rPr>
                <w:kern w:val="0"/>
                <w:sz w:val="21"/>
                <w:szCs w:val="21"/>
              </w:rPr>
            </w:pPr>
            <w:r>
              <w:rPr>
                <w:rFonts w:hint="eastAsia"/>
                <w:kern w:val="0"/>
                <w:sz w:val="21"/>
                <w:szCs w:val="21"/>
              </w:rPr>
              <w:t xml:space="preserve">0.619 </w:t>
            </w:r>
            <w:r>
              <w:rPr>
                <w:kern w:val="0"/>
                <w:sz w:val="21"/>
                <w:szCs w:val="21"/>
              </w:rPr>
              <w:t>CNY/kWh</w:t>
            </w:r>
          </w:p>
        </w:tc>
      </w:tr>
      <w:tr w:rsidR="00AF1BF8" w14:paraId="236D6419" w14:textId="77777777" w:rsidTr="00AF1BF8">
        <w:tc>
          <w:tcPr>
            <w:tcW w:w="4158" w:type="dxa"/>
          </w:tcPr>
          <w:p w14:paraId="3F6FE623" w14:textId="77777777" w:rsidR="00AF1BF8" w:rsidRDefault="00000000">
            <w:pPr>
              <w:pStyle w:val="af7"/>
              <w:jc w:val="center"/>
              <w:rPr>
                <w:kern w:val="0"/>
                <w:sz w:val="21"/>
                <w:szCs w:val="21"/>
              </w:rPr>
            </w:pPr>
            <w:r>
              <w:rPr>
                <w:kern w:val="0"/>
                <w:sz w:val="21"/>
                <w:szCs w:val="21"/>
              </w:rPr>
              <w:t>Methanol</w:t>
            </w:r>
          </w:p>
        </w:tc>
        <w:tc>
          <w:tcPr>
            <w:tcW w:w="4148" w:type="dxa"/>
          </w:tcPr>
          <w:p w14:paraId="42DC95D8" w14:textId="77777777" w:rsidR="00AF1BF8" w:rsidRDefault="00000000">
            <w:pPr>
              <w:pStyle w:val="af7"/>
              <w:jc w:val="center"/>
              <w:rPr>
                <w:kern w:val="0"/>
                <w:sz w:val="21"/>
                <w:szCs w:val="21"/>
              </w:rPr>
            </w:pPr>
            <w:r>
              <w:rPr>
                <w:rFonts w:hint="eastAsia"/>
                <w:kern w:val="0"/>
                <w:sz w:val="21"/>
                <w:szCs w:val="21"/>
              </w:rPr>
              <w:t xml:space="preserve">2640 </w:t>
            </w:r>
            <w:r>
              <w:rPr>
                <w:kern w:val="0"/>
                <w:sz w:val="21"/>
                <w:szCs w:val="21"/>
              </w:rPr>
              <w:t>CNY/ton</w:t>
            </w:r>
          </w:p>
        </w:tc>
      </w:tr>
      <w:tr w:rsidR="00AF1BF8" w14:paraId="201FCF58" w14:textId="77777777" w:rsidTr="00AF1BF8">
        <w:tc>
          <w:tcPr>
            <w:tcW w:w="4158" w:type="dxa"/>
          </w:tcPr>
          <w:p w14:paraId="36A5EAC0" w14:textId="77777777" w:rsidR="00AF1BF8" w:rsidRDefault="00000000">
            <w:pPr>
              <w:pStyle w:val="af7"/>
              <w:jc w:val="center"/>
              <w:rPr>
                <w:kern w:val="0"/>
                <w:sz w:val="21"/>
                <w:szCs w:val="21"/>
              </w:rPr>
            </w:pPr>
            <w:r>
              <w:rPr>
                <w:kern w:val="0"/>
                <w:sz w:val="21"/>
                <w:szCs w:val="21"/>
              </w:rPr>
              <w:t>PAC</w:t>
            </w:r>
          </w:p>
        </w:tc>
        <w:tc>
          <w:tcPr>
            <w:tcW w:w="4148" w:type="dxa"/>
          </w:tcPr>
          <w:p w14:paraId="162B8F29" w14:textId="77777777" w:rsidR="00AF1BF8" w:rsidRDefault="00000000">
            <w:pPr>
              <w:pStyle w:val="af7"/>
              <w:jc w:val="center"/>
              <w:rPr>
                <w:kern w:val="0"/>
                <w:sz w:val="21"/>
                <w:szCs w:val="21"/>
              </w:rPr>
            </w:pPr>
            <w:r>
              <w:rPr>
                <w:rFonts w:hint="eastAsia"/>
                <w:kern w:val="0"/>
                <w:sz w:val="21"/>
                <w:szCs w:val="21"/>
              </w:rPr>
              <w:t xml:space="preserve">1350 </w:t>
            </w:r>
            <w:r>
              <w:rPr>
                <w:kern w:val="0"/>
                <w:sz w:val="21"/>
                <w:szCs w:val="21"/>
              </w:rPr>
              <w:t>CNY/ton</w:t>
            </w:r>
          </w:p>
        </w:tc>
      </w:tr>
      <w:tr w:rsidR="00AF1BF8" w14:paraId="0FC8075B" w14:textId="77777777" w:rsidTr="00AF1BF8">
        <w:tc>
          <w:tcPr>
            <w:tcW w:w="4158" w:type="dxa"/>
          </w:tcPr>
          <w:p w14:paraId="7F622653" w14:textId="77777777" w:rsidR="00AF1BF8" w:rsidRDefault="00000000">
            <w:pPr>
              <w:pStyle w:val="af7"/>
              <w:jc w:val="center"/>
              <w:rPr>
                <w:kern w:val="0"/>
                <w:sz w:val="21"/>
                <w:szCs w:val="21"/>
              </w:rPr>
            </w:pPr>
            <w:r>
              <w:rPr>
                <w:kern w:val="0"/>
                <w:sz w:val="21"/>
                <w:szCs w:val="21"/>
              </w:rPr>
              <w:t>PAM</w:t>
            </w:r>
          </w:p>
        </w:tc>
        <w:tc>
          <w:tcPr>
            <w:tcW w:w="4148" w:type="dxa"/>
          </w:tcPr>
          <w:p w14:paraId="736549AB" w14:textId="77777777" w:rsidR="00AF1BF8" w:rsidRDefault="00000000">
            <w:pPr>
              <w:pStyle w:val="af7"/>
              <w:jc w:val="center"/>
              <w:rPr>
                <w:kern w:val="0"/>
                <w:sz w:val="21"/>
                <w:szCs w:val="21"/>
              </w:rPr>
            </w:pPr>
            <w:r>
              <w:rPr>
                <w:rFonts w:hint="eastAsia"/>
                <w:kern w:val="0"/>
                <w:sz w:val="21"/>
                <w:szCs w:val="21"/>
              </w:rPr>
              <w:t xml:space="preserve">15000 </w:t>
            </w:r>
            <w:r>
              <w:rPr>
                <w:kern w:val="0"/>
                <w:sz w:val="21"/>
                <w:szCs w:val="21"/>
              </w:rPr>
              <w:t>CNY/ton</w:t>
            </w:r>
          </w:p>
        </w:tc>
      </w:tr>
      <w:tr w:rsidR="00AF1BF8" w14:paraId="70B0E701" w14:textId="77777777" w:rsidTr="00AF1BF8">
        <w:tc>
          <w:tcPr>
            <w:tcW w:w="4158" w:type="dxa"/>
          </w:tcPr>
          <w:p w14:paraId="07CEE6A2" w14:textId="77777777" w:rsidR="00AF1BF8" w:rsidRDefault="00000000">
            <w:pPr>
              <w:pStyle w:val="af7"/>
              <w:jc w:val="center"/>
              <w:rPr>
                <w:kern w:val="0"/>
                <w:sz w:val="21"/>
                <w:szCs w:val="21"/>
              </w:rPr>
            </w:pPr>
            <w:r>
              <w:rPr>
                <w:rFonts w:hint="eastAsia"/>
                <w:kern w:val="0"/>
                <w:sz w:val="21"/>
                <w:szCs w:val="21"/>
              </w:rPr>
              <w:t>NaClO</w:t>
            </w:r>
          </w:p>
        </w:tc>
        <w:tc>
          <w:tcPr>
            <w:tcW w:w="4148" w:type="dxa"/>
          </w:tcPr>
          <w:p w14:paraId="27728DA6" w14:textId="77777777" w:rsidR="00AF1BF8" w:rsidRDefault="00000000">
            <w:pPr>
              <w:pStyle w:val="af7"/>
              <w:jc w:val="center"/>
              <w:rPr>
                <w:kern w:val="0"/>
                <w:sz w:val="21"/>
                <w:szCs w:val="21"/>
              </w:rPr>
            </w:pPr>
            <w:r>
              <w:rPr>
                <w:rFonts w:hint="eastAsia"/>
                <w:kern w:val="0"/>
                <w:sz w:val="21"/>
                <w:szCs w:val="21"/>
              </w:rPr>
              <w:t xml:space="preserve">850 </w:t>
            </w:r>
            <w:r>
              <w:rPr>
                <w:kern w:val="0"/>
                <w:sz w:val="21"/>
                <w:szCs w:val="21"/>
              </w:rPr>
              <w:t>CNY/ton</w:t>
            </w:r>
          </w:p>
        </w:tc>
      </w:tr>
    </w:tbl>
    <w:p w14:paraId="4D9AF910" w14:textId="77777777" w:rsidR="00AF1BF8" w:rsidRDefault="00AF1BF8">
      <w:pPr>
        <w:rPr>
          <w:rFonts w:eastAsiaTheme="minorEastAsia"/>
        </w:rPr>
      </w:pPr>
    </w:p>
    <w:p w14:paraId="4D51C3A3" w14:textId="77777777" w:rsidR="00AF1BF8" w:rsidRDefault="00000000">
      <w:pPr>
        <w:pStyle w:val="2"/>
        <w:spacing w:before="10" w:after="10"/>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Text </w:t>
      </w:r>
      <w:proofErr w:type="spellStart"/>
      <w:r>
        <w:rPr>
          <w:rFonts w:ascii="Times New Roman" w:hAnsi="Times New Roman" w:cs="Times New Roman"/>
          <w:color w:val="4472C4" w:themeColor="accent1"/>
          <w:sz w:val="24"/>
          <w:szCs w:val="24"/>
        </w:rPr>
        <w:t>A.</w:t>
      </w:r>
      <w:r>
        <w:rPr>
          <w:rFonts w:ascii="Times New Roman" w:hAnsi="Times New Roman" w:cs="Times New Roman" w:hint="eastAsia"/>
          <w:color w:val="4472C4" w:themeColor="accent1"/>
          <w:sz w:val="24"/>
          <w:szCs w:val="24"/>
        </w:rPr>
        <w:t>4</w:t>
      </w:r>
      <w:r>
        <w:rPr>
          <w:rFonts w:ascii="Times New Roman" w:hAnsi="Times New Roman" w:cs="Times New Roman"/>
          <w:color w:val="4472C4" w:themeColor="accent1"/>
          <w:sz w:val="24"/>
          <w:szCs w:val="24"/>
        </w:rPr>
        <w:t>.</w:t>
      </w:r>
      <w:r>
        <w:rPr>
          <w:rFonts w:ascii="Times New Roman" w:hAnsi="Times New Roman" w:cs="Times New Roman" w:hint="eastAsia"/>
          <w:color w:val="4472C4" w:themeColor="accent1"/>
          <w:sz w:val="24"/>
          <w:szCs w:val="24"/>
        </w:rPr>
        <w:t>3</w:t>
      </w:r>
      <w:proofErr w:type="spellEnd"/>
      <w:r>
        <w:rPr>
          <w:rFonts w:ascii="Times New Roman" w:hAnsi="Times New Roman" w:cs="Times New Roman" w:hint="eastAsia"/>
          <w:color w:val="4472C4" w:themeColor="accent1"/>
          <w:sz w:val="24"/>
          <w:szCs w:val="24"/>
        </w:rPr>
        <w:t xml:space="preserve"> </w:t>
      </w:r>
      <w:r>
        <w:rPr>
          <w:rFonts w:ascii="Times New Roman" w:hAnsi="Times New Roman" w:cs="Times New Roman"/>
          <w:color w:val="4472C4" w:themeColor="accent1"/>
          <w:sz w:val="24"/>
          <w:szCs w:val="24"/>
        </w:rPr>
        <w:t>Rainfall‑induced I/I event identification, scenario classification and model input setup</w:t>
      </w:r>
    </w:p>
    <w:p w14:paraId="54CB2279" w14:textId="77777777" w:rsidR="00AF1BF8" w:rsidRDefault="00000000">
      <w:pPr>
        <w:ind w:firstLineChars="200" w:firstLine="420"/>
        <w:rPr>
          <w:rFonts w:eastAsiaTheme="minorEastAsia"/>
        </w:rPr>
      </w:pPr>
      <w:r>
        <w:rPr>
          <w:rFonts w:eastAsiaTheme="minorEastAsia"/>
          <w:b/>
          <w:bCs/>
          <w:color w:val="4472C4" w:themeColor="accent1"/>
        </w:rPr>
        <w:t>Rainfall event identification</w:t>
      </w:r>
      <w:r>
        <w:rPr>
          <w:rFonts w:eastAsiaTheme="minorEastAsia" w:hint="eastAsia"/>
          <w:b/>
          <w:bCs/>
          <w:color w:val="4472C4" w:themeColor="accent1"/>
        </w:rPr>
        <w:t>:</w:t>
      </w:r>
      <w:r>
        <w:rPr>
          <w:rFonts w:eastAsiaTheme="minorEastAsia" w:hint="eastAsia"/>
        </w:rPr>
        <w:t xml:space="preserve"> </w:t>
      </w:r>
      <w:r>
        <w:rPr>
          <w:rFonts w:eastAsiaTheme="minorEastAsia"/>
        </w:rPr>
        <w:t xml:space="preserve">To construct rainfall‑induced I/I scenarios, independent rainfall events were identified from hourly rainfall data. Two rainfall periods separated by a dry interval of at least 6 consecutive hours were treated as independent events. To avoid interference from </w:t>
      </w:r>
      <w:r>
        <w:rPr>
          <w:rFonts w:eastAsiaTheme="minorEastAsia"/>
        </w:rPr>
        <w:lastRenderedPageBreak/>
        <w:t>negligible rainfall, only events with a total rainfall depth greater than 1 mm were defined as effective rainfall events and used for subsequent rainfall‑induced I/I analysis. For each effective event, total rainfall depth, rainfall duration, and maximum hourly rainfall intensity were extracted.</w:t>
      </w:r>
    </w:p>
    <w:p w14:paraId="0FF66921" w14:textId="77777777" w:rsidR="00AF1BF8" w:rsidRDefault="00000000">
      <w:pPr>
        <w:ind w:firstLineChars="200" w:firstLine="420"/>
        <w:rPr>
          <w:rFonts w:eastAsiaTheme="minorEastAsia"/>
          <w:b/>
          <w:bCs/>
          <w:color w:val="4472C4" w:themeColor="accent1"/>
        </w:rPr>
      </w:pPr>
      <w:r>
        <w:rPr>
          <w:rFonts w:eastAsiaTheme="minorEastAsia" w:hint="eastAsia"/>
          <w:b/>
          <w:bCs/>
          <w:color w:val="4472C4" w:themeColor="accent1"/>
        </w:rPr>
        <w:t>S</w:t>
      </w:r>
      <w:r>
        <w:rPr>
          <w:rFonts w:eastAsiaTheme="minorEastAsia"/>
          <w:b/>
          <w:bCs/>
          <w:color w:val="4472C4" w:themeColor="accent1"/>
        </w:rPr>
        <w:t>cenario classification</w:t>
      </w:r>
      <w:r>
        <w:rPr>
          <w:rFonts w:eastAsiaTheme="minorEastAsia" w:hint="eastAsia"/>
          <w:b/>
          <w:bCs/>
          <w:color w:val="4472C4" w:themeColor="accent1"/>
        </w:rPr>
        <w:t xml:space="preserve">: </w:t>
      </w:r>
      <w:r>
        <w:rPr>
          <w:rFonts w:eastAsiaTheme="minorEastAsia"/>
        </w:rPr>
        <w:t xml:space="preserve">The rainfall‑induced I/I scenarios were classified according to the event‑total rainfall depth, following the thresholds of the Chinese precipitation grade standard (GB/T 28592‑2012). Because the study focuses on the impact of individual rainfall events on WWTP operation, scenario classification based on event‑total rainfall depth is more appropriate than using 24 h or 12 h accumulated rainfall. Five rainfall‑induced I/I scenarios were included in the SUMO simulations: no rain (dry‑weather baseline), light </w:t>
      </w:r>
      <w:r>
        <w:rPr>
          <w:rFonts w:eastAsiaTheme="minorEastAsia" w:hint="eastAsia"/>
        </w:rPr>
        <w:t>rain (1.0</w:t>
      </w:r>
      <w:r>
        <w:rPr>
          <w:rFonts w:eastAsiaTheme="minorEastAsia" w:hint="eastAsia"/>
        </w:rPr>
        <w:t>–</w:t>
      </w:r>
      <w:r>
        <w:rPr>
          <w:rFonts w:eastAsiaTheme="minorEastAsia" w:hint="eastAsia"/>
        </w:rPr>
        <w:t>9.9 mm), moderate rain (10.0</w:t>
      </w:r>
      <w:r>
        <w:rPr>
          <w:rFonts w:eastAsiaTheme="minorEastAsia" w:hint="eastAsia"/>
        </w:rPr>
        <w:t>–</w:t>
      </w:r>
      <w:r>
        <w:rPr>
          <w:rFonts w:eastAsiaTheme="minorEastAsia" w:hint="eastAsia"/>
        </w:rPr>
        <w:t>24.9 mm), heavy rain (25.0</w:t>
      </w:r>
      <w:r>
        <w:rPr>
          <w:rFonts w:eastAsiaTheme="minorEastAsia" w:hint="eastAsia"/>
        </w:rPr>
        <w:t>–</w:t>
      </w:r>
      <w:r>
        <w:rPr>
          <w:rFonts w:eastAsiaTheme="minorEastAsia" w:hint="eastAsia"/>
        </w:rPr>
        <w:t>49.9 mm), and rainstorm (50.0</w:t>
      </w:r>
      <w:r>
        <w:rPr>
          <w:rFonts w:eastAsiaTheme="minorEastAsia" w:hint="eastAsia"/>
        </w:rPr>
        <w:t>–</w:t>
      </w:r>
      <w:r>
        <w:rPr>
          <w:rFonts w:eastAsiaTheme="minorEastAsia" w:hint="eastAsia"/>
        </w:rPr>
        <w:t>99.9 mm). Severe rainstorm (100.0</w:t>
      </w:r>
      <w:r>
        <w:rPr>
          <w:rFonts w:eastAsiaTheme="minorEastAsia" w:hint="eastAsia"/>
        </w:rPr>
        <w:t>–</w:t>
      </w:r>
      <w:r>
        <w:rPr>
          <w:rFonts w:eastAsiaTheme="minorEastAsia" w:hint="eastAsia"/>
        </w:rPr>
        <w:t>249.9 mm) and extraordinary rainstorm (</w:t>
      </w:r>
      <w:r>
        <w:rPr>
          <w:rFonts w:eastAsiaTheme="minorEastAsia" w:hint="eastAsia"/>
        </w:rPr>
        <w:t>≥</w:t>
      </w:r>
      <w:r>
        <w:rPr>
          <w:rFonts w:eastAsiaTheme="minorEastAsia" w:hint="eastAsia"/>
        </w:rPr>
        <w:t>250.0 mm) were excluded from the regular scenario simulations. The exclusion reasons a</w:t>
      </w:r>
      <w:r>
        <w:rPr>
          <w:rFonts w:eastAsiaTheme="minorEastAsia"/>
        </w:rPr>
        <w:t>re: according to the local rainfall intensity equation, rainfall events reaching these grades correspond to return periods generally greater than 100 years, and the resulting rainfall‑induced I/I volume may increase the WWTP influent flow to more than 1.5 times the design capacity. Under such extreme conditions, the treatment system may not maintain stable normal operation, and flow restriction or bypass discharge is likely to be triggered. Therefore, these extreme events were considered beyond the scope of this study, which focuses on controllable WWTP operation under rainfall‑induced I/I disturbances.</w:t>
      </w:r>
    </w:p>
    <w:p w14:paraId="7B2BE369" w14:textId="48903F36" w:rsidR="00AF1BF8" w:rsidRDefault="00000000">
      <w:pPr>
        <w:ind w:firstLineChars="200" w:firstLine="420"/>
        <w:rPr>
          <w:rFonts w:eastAsiaTheme="minorEastAsia"/>
        </w:rPr>
      </w:pPr>
      <w:r>
        <w:rPr>
          <w:rFonts w:eastAsiaTheme="minorEastAsia"/>
          <w:b/>
          <w:bCs/>
          <w:color w:val="4472C4" w:themeColor="accent1"/>
        </w:rPr>
        <w:t>Baseline selection and rainfall‑induced I</w:t>
      </w:r>
      <w:r>
        <w:rPr>
          <w:rFonts w:eastAsiaTheme="minorEastAsia" w:hint="eastAsia"/>
          <w:b/>
          <w:bCs/>
          <w:color w:val="4472C4" w:themeColor="accent1"/>
        </w:rPr>
        <w:t>/</w:t>
      </w:r>
      <w:r>
        <w:rPr>
          <w:rFonts w:eastAsiaTheme="minorEastAsia"/>
          <w:b/>
          <w:bCs/>
          <w:color w:val="4472C4" w:themeColor="accent1"/>
        </w:rPr>
        <w:t>I volume estimation</w:t>
      </w:r>
      <w:r>
        <w:rPr>
          <w:rFonts w:eastAsiaTheme="minorEastAsia" w:hint="eastAsia"/>
          <w:b/>
          <w:bCs/>
          <w:color w:val="4472C4" w:themeColor="accent1"/>
        </w:rPr>
        <w:t xml:space="preserve">: </w:t>
      </w:r>
      <w:r>
        <w:rPr>
          <w:rFonts w:eastAsiaTheme="minorEastAsia"/>
        </w:rPr>
        <w:t>To enable a fair comparison among different rainfall‑induced I/I scenarios, a dry‑weather day with no rainfall in the preceding 48 hours was selected as the baseline day. The influent flow rate and pollutant concentrations of this baseline day were used as the dry‑weather reference values</w:t>
      </w:r>
      <w:r>
        <w:rPr>
          <w:rFonts w:eastAsiaTheme="minorEastAsia" w:hint="eastAsia"/>
        </w:rPr>
        <w:t xml:space="preserve">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basic</m:t>
            </m:r>
          </m:sub>
        </m:sSub>
      </m:oMath>
      <w:r>
        <w:rPr>
          <w:rFonts w:eastAsiaTheme="minorEastAsia" w:hint="eastAsia"/>
        </w:rPr>
        <w:t xml:space="preserve"> and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ko</m:t>
            </m:r>
          </m:sub>
        </m:sSub>
      </m:oMath>
      <w:r>
        <w:rPr>
          <w:rFonts w:eastAsiaTheme="minorEastAsia" w:hint="eastAsia"/>
        </w:rPr>
        <w:t xml:space="preserve">. </w:t>
      </w:r>
      <w:r>
        <w:rPr>
          <w:rFonts w:eastAsiaTheme="minorEastAsia"/>
        </w:rPr>
        <w:t>The rainfall‑induced I/I volume for each rainfall scenario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I/I</m:t>
            </m:r>
          </m:sub>
        </m:sSub>
      </m:oMath>
      <w:r>
        <w:rPr>
          <w:rFonts w:eastAsiaTheme="minorEastAsia"/>
        </w:rPr>
        <w:t xml:space="preserve">) was estimated using the rainfall–I/I quantitative relationship established in </w:t>
      </w:r>
      <w:r w:rsidRPr="00086F2E">
        <w:rPr>
          <w:rFonts w:eastAsiaTheme="minorEastAsia"/>
          <w:color w:val="4472C4" w:themeColor="accent1"/>
        </w:rPr>
        <w:t>Section 3</w:t>
      </w:r>
      <w:r w:rsidRPr="00086F2E">
        <w:rPr>
          <w:rFonts w:eastAsiaTheme="minorEastAsia" w:hint="eastAsia"/>
          <w:color w:val="4472C4" w:themeColor="accent1"/>
        </w:rPr>
        <w:t>.1</w:t>
      </w:r>
      <w:r>
        <w:rPr>
          <w:rFonts w:eastAsiaTheme="minorEastAsia"/>
        </w:rPr>
        <w:t xml:space="preserve"> of the main text. For the incompletely separate sewer system studied, the total I/I volume of a rainfall event was linearly correlated with the event‑total rainfall depth per unit area of the combined sewer catchment. The specific regression coefficients and the derivation of the relationship are presented in</w:t>
      </w:r>
      <w:r w:rsidRPr="00086F2E">
        <w:rPr>
          <w:rFonts w:eastAsiaTheme="minorEastAsia"/>
          <w:color w:val="4472C4" w:themeColor="accent1"/>
        </w:rPr>
        <w:t xml:space="preserve"> Section 3.</w:t>
      </w:r>
      <w:r w:rsidR="00086F2E" w:rsidRPr="00086F2E">
        <w:rPr>
          <w:rFonts w:eastAsiaTheme="minorEastAsia" w:hint="eastAsia"/>
          <w:color w:val="4472C4" w:themeColor="accent1"/>
        </w:rPr>
        <w:t>1</w:t>
      </w:r>
      <w:r>
        <w:rPr>
          <w:rFonts w:eastAsiaTheme="minorEastAsia"/>
        </w:rPr>
        <w:t>. The I/I volumes of the five included scenarios were calculated using this relationship together with the event‑total rainfall depth of each grade</w:t>
      </w:r>
      <w:r>
        <w:rPr>
          <w:rFonts w:eastAsiaTheme="minorEastAsia" w:hint="eastAsia"/>
        </w:rPr>
        <w:t>.</w:t>
      </w:r>
    </w:p>
    <w:p w14:paraId="5DC03DD6" w14:textId="77777777" w:rsidR="00AF1BF8" w:rsidRDefault="00000000">
      <w:pPr>
        <w:ind w:firstLineChars="200" w:firstLine="420"/>
        <w:rPr>
          <w:rFonts w:eastAsiaTheme="minorEastAsia"/>
        </w:rPr>
      </w:pPr>
      <w:r>
        <w:rPr>
          <w:rFonts w:eastAsiaTheme="minorEastAsia"/>
          <w:b/>
          <w:bCs/>
          <w:color w:val="4472C4" w:themeColor="accent1"/>
        </w:rPr>
        <w:t>Influent concentration adjustment</w:t>
      </w:r>
      <w:r>
        <w:rPr>
          <w:rFonts w:eastAsiaTheme="minorEastAsia"/>
        </w:rPr>
        <w:t xml:space="preserve">: When I/I </w:t>
      </w:r>
      <w:proofErr w:type="gramStart"/>
      <w:r>
        <w:rPr>
          <w:rFonts w:eastAsiaTheme="minorEastAsia"/>
        </w:rPr>
        <w:t>enters</w:t>
      </w:r>
      <w:proofErr w:type="gramEnd"/>
      <w:r>
        <w:rPr>
          <w:rFonts w:eastAsiaTheme="minorEastAsia"/>
        </w:rPr>
        <w:t xml:space="preserve"> the sewer network, the WWTP influent </w:t>
      </w:r>
      <w:r>
        <w:rPr>
          <w:rFonts w:eastAsiaTheme="minorEastAsia"/>
        </w:rPr>
        <w:lastRenderedPageBreak/>
        <w:t>flow increases while the pollutant load from domestic sewage remains approximately constant. Consequently, influent pollutant concentrations are diluted. In addition, stormwater runoff carries pollutants washed from the ground surface, which may partly offset the dilution effect. To account for these two opposing effects, the influent concentration of each pollutant under a given rainfall‑induced I/I scenario was calculated using a mass‑balance mixing equation:</w:t>
      </w:r>
    </w:p>
    <w:p w14:paraId="33111CF9" w14:textId="77777777" w:rsidR="00AF1BF8" w:rsidRDefault="00000000">
      <w:pPr>
        <w:ind w:firstLineChars="200" w:firstLine="420"/>
        <w:rPr>
          <w:rFonts w:eastAsiaTheme="minorEastAsia"/>
        </w:rPr>
      </w:pPr>
      <m:oMathPara>
        <m:oMath>
          <m:eqArr>
            <m:eqArrPr>
              <m:maxDist m:val="1"/>
              <m:ctrlPr>
                <w:rPr>
                  <w:rFonts w:ascii="Cambria Math" w:eastAsiaTheme="minorEastAsia" w:hAnsi="Cambria Math"/>
                  <w:i/>
                </w:rPr>
              </m:ctrlPr>
            </m:eqArrPr>
            <m:e>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hint="eastAsia"/>
                    </w:rPr>
                    <m:t>k</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k0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basic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k,</m:t>
                      </m:r>
                      <m:f>
                        <m:fPr>
                          <m:ctrlPr>
                            <w:rPr>
                              <w:rFonts w:ascii="Cambria Math" w:eastAsiaTheme="minorEastAsia" w:hAnsi="Cambria Math"/>
                              <w:i/>
                            </w:rPr>
                          </m:ctrlPr>
                        </m:fPr>
                        <m:num>
                          <m:r>
                            <w:rPr>
                              <w:rFonts w:ascii="Cambria Math" w:eastAsiaTheme="minorEastAsia" w:hAnsi="Cambria Math"/>
                            </w:rPr>
                            <m:t>I</m:t>
                          </m:r>
                        </m:num>
                        <m:den>
                          <m:r>
                            <w:rPr>
                              <w:rFonts w:ascii="Cambria Math" w:eastAsiaTheme="minorEastAsia" w:hAnsi="Cambria Math"/>
                            </w:rPr>
                            <m:t>I</m:t>
                          </m:r>
                        </m:den>
                      </m:f>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f>
                        <m:fPr>
                          <m:ctrlPr>
                            <w:rPr>
                              <w:rFonts w:ascii="Cambria Math" w:eastAsiaTheme="minorEastAsia" w:hAnsi="Cambria Math"/>
                              <w:i/>
                            </w:rPr>
                          </m:ctrlPr>
                        </m:fPr>
                        <m:num>
                          <m:r>
                            <w:rPr>
                              <w:rFonts w:ascii="Cambria Math" w:eastAsiaTheme="minorEastAsia" w:hAnsi="Cambria Math"/>
                            </w:rPr>
                            <m:t>I</m:t>
                          </m:r>
                        </m:num>
                        <m:den>
                          <m:r>
                            <w:rPr>
                              <w:rFonts w:ascii="Cambria Math" w:eastAsiaTheme="minorEastAsia" w:hAnsi="Cambria Math"/>
                            </w:rPr>
                            <m:t>I</m:t>
                          </m:r>
                        </m:den>
                      </m:f>
                    </m:sub>
                  </m:sSub>
                </m:num>
                <m:den>
                  <m:r>
                    <w:rPr>
                      <w:rFonts w:ascii="Cambria Math" w:eastAsiaTheme="minorEastAsia" w:hAnsi="Cambria Math"/>
                    </w:rPr>
                    <m:t>Q</m:t>
                  </m:r>
                </m:den>
              </m:f>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9</m:t>
                  </m:r>
                </m:e>
              </m:d>
            </m:e>
          </m:eqArr>
        </m:oMath>
      </m:oMathPara>
    </w:p>
    <w:p w14:paraId="32915B51" w14:textId="77777777" w:rsidR="00AF1BF8" w:rsidRDefault="00000000">
      <w:pPr>
        <w:ind w:firstLineChars="200" w:firstLine="420"/>
        <w:rPr>
          <w:rFonts w:eastAsiaTheme="minorEastAsia"/>
        </w:rPr>
      </w:pPr>
      <w:r>
        <w:rPr>
          <w:rFonts w:eastAsiaTheme="minorEastAsia"/>
        </w:rPr>
        <w:t>Where</w:t>
      </w:r>
      <w:r>
        <w:rPr>
          <w:rFonts w:eastAsiaTheme="minorEastAsia" w:hint="eastAsia"/>
        </w:rPr>
        <w:t xml:space="preserve">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k</m:t>
            </m:r>
          </m:sub>
        </m:sSub>
      </m:oMath>
      <w:r>
        <w:rPr>
          <w:rFonts w:eastAsiaTheme="minorEastAsia"/>
        </w:rPr>
        <w:t xml:space="preserve"> is the influent concentration of pollutant </w:t>
      </w:r>
      <w:r>
        <w:rPr>
          <w:rFonts w:eastAsiaTheme="minorEastAsia" w:hint="eastAsia"/>
          <w:i/>
          <w:iCs/>
        </w:rPr>
        <w:t>k</w:t>
      </w:r>
      <w:r>
        <w:rPr>
          <w:rFonts w:eastAsiaTheme="minorEastAsia"/>
        </w:rPr>
        <w:t xml:space="preserve"> under the rainfall‑induced I/I scenario (mg/L);</w:t>
      </w:r>
      <w:r>
        <w:rPr>
          <w:rFonts w:eastAsiaTheme="minorEastAsia" w:hint="eastAsia"/>
        </w:rPr>
        <w:t xml:space="preserve">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basic</m:t>
            </m:r>
          </m:sub>
        </m:sSub>
      </m:oMath>
      <w:r>
        <w:rPr>
          <w:rFonts w:eastAsiaTheme="minorEastAsia"/>
        </w:rPr>
        <w:t xml:space="preserve"> is the dry‑weather baseline influent flow rate (m</w:t>
      </w:r>
      <w:r>
        <w:rPr>
          <w:rFonts w:eastAsiaTheme="minorEastAsia" w:hint="eastAsia"/>
          <w:vertAlign w:val="superscript"/>
        </w:rPr>
        <w:t>3</w:t>
      </w:r>
      <w:r>
        <w:rPr>
          <w:rFonts w:eastAsiaTheme="minorEastAsia"/>
        </w:rPr>
        <w:t>/h);</w:t>
      </w:r>
      <w:r>
        <w:rPr>
          <w:rFonts w:eastAsiaTheme="minorEastAsia" w:hint="eastAsia"/>
        </w:rPr>
        <w:t xml:space="preserve">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k0</m:t>
            </m:r>
          </m:sub>
        </m:sSub>
      </m:oMath>
      <w:r>
        <w:rPr>
          <w:rFonts w:eastAsiaTheme="minorEastAsia"/>
        </w:rPr>
        <w:t xml:space="preserve"> is the dry‑weather baseline influent concentration of pollutant </w:t>
      </w:r>
      <w:r>
        <w:rPr>
          <w:rFonts w:eastAsiaTheme="minorEastAsia" w:hint="eastAsia"/>
          <w:i/>
          <w:iCs/>
        </w:rPr>
        <w:t>k</w:t>
      </w:r>
      <w:r>
        <w:rPr>
          <w:rFonts w:eastAsiaTheme="minorEastAsia"/>
        </w:rPr>
        <w:t xml:space="preserve"> (mg/L);</w:t>
      </w:r>
      <w:r>
        <w:rPr>
          <w:rFonts w:eastAsiaTheme="minorEastAsia" w:hint="eastAsia"/>
        </w:rPr>
        <w:t xml:space="preserve"> </w:t>
      </w:r>
      <m:oMath>
        <m:sSub>
          <m:sSubPr>
            <m:ctrlPr>
              <w:rPr>
                <w:rFonts w:ascii="Cambria Math" w:eastAsiaTheme="minorEastAsia" w:hAnsi="Cambria Math"/>
                <w:i/>
              </w:rPr>
            </m:ctrlPr>
          </m:sSubPr>
          <m:e>
            <m:r>
              <w:rPr>
                <w:rFonts w:ascii="Cambria Math" w:eastAsiaTheme="minorEastAsia" w:hAnsi="Cambria Math"/>
              </w:rPr>
              <m:t>Q</m:t>
            </m:r>
          </m:e>
          <m:sub>
            <m:f>
              <m:fPr>
                <m:ctrlPr>
                  <w:rPr>
                    <w:rFonts w:ascii="Cambria Math" w:eastAsiaTheme="minorEastAsia" w:hAnsi="Cambria Math"/>
                    <w:i/>
                  </w:rPr>
                </m:ctrlPr>
              </m:fPr>
              <m:num>
                <m:r>
                  <w:rPr>
                    <w:rFonts w:ascii="Cambria Math" w:eastAsiaTheme="minorEastAsia" w:hAnsi="Cambria Math"/>
                  </w:rPr>
                  <m:t>I</m:t>
                </m:r>
              </m:num>
              <m:den>
                <m:r>
                  <w:rPr>
                    <w:rFonts w:ascii="Cambria Math" w:eastAsiaTheme="minorEastAsia" w:hAnsi="Cambria Math"/>
                  </w:rPr>
                  <m:t>I</m:t>
                </m:r>
              </m:den>
            </m:f>
          </m:sub>
        </m:sSub>
      </m:oMath>
      <w:r>
        <w:rPr>
          <w:rFonts w:eastAsiaTheme="minorEastAsia" w:hint="eastAsia"/>
        </w:rPr>
        <w:t xml:space="preserve"> </w:t>
      </w:r>
      <w:r>
        <w:rPr>
          <w:rFonts w:eastAsiaTheme="minorEastAsia"/>
        </w:rPr>
        <w:t>is the rainfall‑induced I/I flow rate (m</w:t>
      </w:r>
      <w:r>
        <w:rPr>
          <w:rFonts w:eastAsiaTheme="minorEastAsia" w:hint="eastAsia"/>
          <w:vertAlign w:val="superscript"/>
        </w:rPr>
        <w:t>3</w:t>
      </w:r>
      <w:r>
        <w:rPr>
          <w:rFonts w:eastAsiaTheme="minorEastAsia"/>
        </w:rPr>
        <w:t>/h) for the scenario;</w:t>
      </w:r>
      <w:r>
        <w:rPr>
          <w:rFonts w:eastAsiaTheme="minorEastAsia" w:hint="eastAsia"/>
        </w:rPr>
        <w:t xml:space="preserve"> </w:t>
      </w:r>
      <m:oMath>
        <m:sSub>
          <m:sSubPr>
            <m:ctrlPr>
              <w:rPr>
                <w:rFonts w:ascii="Cambria Math" w:eastAsiaTheme="minorEastAsia" w:hAnsi="Cambria Math"/>
                <w:i/>
              </w:rPr>
            </m:ctrlPr>
          </m:sSubPr>
          <m:e>
            <w:bookmarkStart w:id="8" w:name="_Hlk232001375"/>
            <m:r>
              <w:rPr>
                <w:rFonts w:ascii="Cambria Math" w:eastAsiaTheme="minorEastAsia" w:hAnsi="Cambria Math"/>
              </w:rPr>
              <m:t>C</m:t>
            </m:r>
          </m:e>
          <m:sub>
            <m:r>
              <w:rPr>
                <w:rFonts w:ascii="Cambria Math" w:eastAsiaTheme="minorEastAsia" w:hAnsi="Cambria Math"/>
              </w:rPr>
              <m:t>k,</m:t>
            </m:r>
            <m:f>
              <m:fPr>
                <m:ctrlPr>
                  <w:rPr>
                    <w:rFonts w:ascii="Cambria Math" w:eastAsiaTheme="minorEastAsia" w:hAnsi="Cambria Math"/>
                    <w:i/>
                  </w:rPr>
                </m:ctrlPr>
              </m:fPr>
              <m:num>
                <m:r>
                  <w:rPr>
                    <w:rFonts w:ascii="Cambria Math" w:eastAsiaTheme="minorEastAsia" w:hAnsi="Cambria Math"/>
                  </w:rPr>
                  <m:t>I</m:t>
                </m:r>
              </m:num>
              <m:den>
                <m:r>
                  <w:rPr>
                    <w:rFonts w:ascii="Cambria Math" w:eastAsiaTheme="minorEastAsia" w:hAnsi="Cambria Math"/>
                  </w:rPr>
                  <m:t>I</m:t>
                </m:r>
              </m:den>
            </m:f>
            <w:bookmarkEnd w:id="8"/>
          </m:sub>
        </m:sSub>
      </m:oMath>
      <w:r>
        <w:rPr>
          <w:rFonts w:eastAsiaTheme="minorEastAsia" w:hint="eastAsia"/>
        </w:rPr>
        <w:t xml:space="preserve"> </w:t>
      </w:r>
      <w:r>
        <w:rPr>
          <w:rFonts w:eastAsiaTheme="minorEastAsia"/>
        </w:rPr>
        <w:t xml:space="preserve">is the concentration of pollutant </w:t>
      </w:r>
      <w:r>
        <w:rPr>
          <w:rFonts w:eastAsiaTheme="minorEastAsia" w:hint="eastAsia"/>
          <w:i/>
          <w:iCs/>
        </w:rPr>
        <w:t>k</w:t>
      </w:r>
      <w:r>
        <w:rPr>
          <w:rFonts w:eastAsiaTheme="minorEastAsia" w:hint="eastAsia"/>
        </w:rPr>
        <w:t xml:space="preserve"> </w:t>
      </w:r>
      <w:r>
        <w:rPr>
          <w:rFonts w:eastAsiaTheme="minorEastAsia"/>
        </w:rPr>
        <w:t>in the infiltrated water (stormwater runoff plus possible groundwater), mg/L.</w:t>
      </w:r>
      <w:r>
        <w:rPr>
          <w:rFonts w:eastAsiaTheme="minorEastAsia" w:hint="eastAsia"/>
        </w:rPr>
        <w:t xml:space="preserve"> </w:t>
      </w:r>
      <w:r>
        <w:rPr>
          <w:rFonts w:eastAsiaTheme="minorEastAsia"/>
        </w:rPr>
        <w:t xml:space="preserve">The values of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k,</m:t>
            </m:r>
            <m:f>
              <m:fPr>
                <m:ctrlPr>
                  <w:rPr>
                    <w:rFonts w:ascii="Cambria Math" w:eastAsiaTheme="minorEastAsia" w:hAnsi="Cambria Math"/>
                    <w:i/>
                  </w:rPr>
                </m:ctrlPr>
              </m:fPr>
              <m:num>
                <m:r>
                  <w:rPr>
                    <w:rFonts w:ascii="Cambria Math" w:eastAsiaTheme="minorEastAsia" w:hAnsi="Cambria Math"/>
                  </w:rPr>
                  <m:t>I</m:t>
                </m:r>
              </m:num>
              <m:den>
                <m:r>
                  <w:rPr>
                    <w:rFonts w:ascii="Cambria Math" w:eastAsiaTheme="minorEastAsia" w:hAnsi="Cambria Math"/>
                  </w:rPr>
                  <m:t>I</m:t>
                </m:r>
              </m:den>
            </m:f>
          </m:sub>
        </m:sSub>
      </m:oMath>
      <w:r>
        <w:rPr>
          <w:rFonts w:eastAsiaTheme="minorEastAsia"/>
        </w:rPr>
        <w:t xml:space="preserve"> for COD, TN, TP, and NH</w:t>
      </w:r>
      <w:r>
        <w:rPr>
          <w:rFonts w:eastAsiaTheme="minorEastAsia" w:hint="eastAsia"/>
          <w:vertAlign w:val="subscript"/>
        </w:rPr>
        <w:t>4</w:t>
      </w:r>
      <w:r>
        <w:rPr>
          <w:rFonts w:eastAsiaTheme="minorEastAsia" w:hint="eastAsia"/>
          <w:vertAlign w:val="superscript"/>
        </w:rPr>
        <w:t>+</w:t>
      </w:r>
      <w:r>
        <w:rPr>
          <w:rFonts w:eastAsiaTheme="minorEastAsia"/>
        </w:rPr>
        <w:t xml:space="preserve">‑N were adopted from a literature compilation of urban stormwater runoff </w:t>
      </w:r>
      <w:proofErr w:type="gramStart"/>
      <w:r>
        <w:rPr>
          <w:rFonts w:eastAsiaTheme="minorEastAsia"/>
        </w:rPr>
        <w:t>quality</w:t>
      </w:r>
      <w:r>
        <w:rPr>
          <w:rFonts w:eastAsiaTheme="minorEastAsia" w:hint="eastAsia"/>
          <w:vertAlign w:val="superscript"/>
        </w:rPr>
        <w:t>[</w:t>
      </w:r>
      <w:proofErr w:type="gramEnd"/>
      <w:r>
        <w:rPr>
          <w:rFonts w:eastAsiaTheme="minorEastAsia" w:hint="eastAsia"/>
          <w:vertAlign w:val="superscript"/>
        </w:rPr>
        <w:t>8]</w:t>
      </w:r>
      <w:r>
        <w:rPr>
          <w:rFonts w:eastAsiaTheme="minorEastAsia"/>
        </w:rPr>
        <w:t xml:space="preserve"> (</w:t>
      </w:r>
      <w:bookmarkStart w:id="9" w:name="_Hlk232001303"/>
      <w:r>
        <w:rPr>
          <w:rFonts w:eastAsiaTheme="minorEastAsia"/>
          <w:color w:val="4472C4" w:themeColor="accent1"/>
        </w:rPr>
        <w:t xml:space="preserve">Table </w:t>
      </w:r>
      <w:proofErr w:type="spellStart"/>
      <w:r>
        <w:rPr>
          <w:rFonts w:eastAsiaTheme="minorEastAsia"/>
          <w:color w:val="4472C4" w:themeColor="accent1"/>
        </w:rPr>
        <w:t>A1</w:t>
      </w:r>
      <w:r>
        <w:rPr>
          <w:rFonts w:eastAsiaTheme="minorEastAsia" w:hint="eastAsia"/>
          <w:color w:val="4472C4" w:themeColor="accent1"/>
        </w:rPr>
        <w:t>0</w:t>
      </w:r>
      <w:bookmarkEnd w:id="9"/>
      <w:proofErr w:type="spellEnd"/>
      <w:r>
        <w:rPr>
          <w:rFonts w:eastAsiaTheme="minorEastAsia"/>
        </w:rPr>
        <w:t>)</w:t>
      </w:r>
      <w:r>
        <w:rPr>
          <w:rFonts w:eastAsiaTheme="minorEastAsia" w:hint="eastAsia"/>
        </w:rPr>
        <w:t>.</w:t>
      </w:r>
    </w:p>
    <w:p w14:paraId="0D690A9F" w14:textId="77777777" w:rsidR="00AF1BF8" w:rsidRDefault="00000000">
      <w:pPr>
        <w:pStyle w:val="af7"/>
        <w:spacing w:line="360" w:lineRule="auto"/>
        <w:jc w:val="center"/>
        <w:rPr>
          <w:color w:val="000000" w:themeColor="text1"/>
          <w:sz w:val="21"/>
          <w:szCs w:val="21"/>
        </w:rPr>
      </w:pPr>
      <w:r>
        <w:rPr>
          <w:color w:val="4472C4" w:themeColor="accent1"/>
          <w:sz w:val="21"/>
          <w:szCs w:val="21"/>
        </w:rPr>
        <w:t xml:space="preserve">Table </w:t>
      </w:r>
      <w:proofErr w:type="spellStart"/>
      <w:r>
        <w:rPr>
          <w:color w:val="4472C4" w:themeColor="accent1"/>
          <w:sz w:val="21"/>
          <w:szCs w:val="21"/>
        </w:rPr>
        <w:t>A10</w:t>
      </w:r>
      <w:proofErr w:type="spellEnd"/>
      <w:r>
        <w:rPr>
          <w:rFonts w:hint="eastAsia"/>
          <w:color w:val="4472C4" w:themeColor="accent1"/>
          <w:sz w:val="21"/>
          <w:szCs w:val="21"/>
        </w:rPr>
        <w:t xml:space="preserve"> </w:t>
      </w:r>
      <w:r>
        <w:rPr>
          <w:color w:val="000000" w:themeColor="text1"/>
          <w:sz w:val="21"/>
          <w:szCs w:val="21"/>
        </w:rPr>
        <w:t xml:space="preserve">The values of </w:t>
      </w:r>
      <m:oMath>
        <m:sSub>
          <m:sSubPr>
            <m:ctrlPr>
              <w:rPr>
                <w:rFonts w:ascii="Cambria Math" w:hAnsi="Cambria Math"/>
                <w:color w:val="000000" w:themeColor="text1"/>
                <w:sz w:val="21"/>
                <w:szCs w:val="21"/>
              </w:rPr>
            </m:ctrlPr>
          </m:sSubPr>
          <m:e>
            <m:r>
              <w:rPr>
                <w:rFonts w:ascii="Cambria Math" w:hAnsi="Cambria Math"/>
                <w:color w:val="000000" w:themeColor="text1"/>
                <w:sz w:val="21"/>
                <w:szCs w:val="21"/>
              </w:rPr>
              <m:t>C</m:t>
            </m:r>
          </m:e>
          <m:sub>
            <m:r>
              <w:rPr>
                <w:rFonts w:ascii="Cambria Math" w:hAnsi="Cambria Math"/>
                <w:color w:val="000000" w:themeColor="text1"/>
                <w:sz w:val="21"/>
                <w:szCs w:val="21"/>
              </w:rPr>
              <m:t>k</m:t>
            </m:r>
            <m:r>
              <m:rPr>
                <m:sty m:val="p"/>
              </m:rPr>
              <w:rPr>
                <w:rFonts w:ascii="Cambria Math" w:hAnsi="Cambria Math"/>
                <w:color w:val="000000" w:themeColor="text1"/>
                <w:sz w:val="21"/>
                <w:szCs w:val="21"/>
              </w:rPr>
              <m:t>,</m:t>
            </m:r>
            <m:f>
              <m:fPr>
                <m:ctrlPr>
                  <w:rPr>
                    <w:rFonts w:ascii="Cambria Math" w:hAnsi="Cambria Math"/>
                    <w:color w:val="000000" w:themeColor="text1"/>
                    <w:sz w:val="21"/>
                    <w:szCs w:val="21"/>
                  </w:rPr>
                </m:ctrlPr>
              </m:fPr>
              <m:num>
                <m:r>
                  <w:rPr>
                    <w:rFonts w:ascii="Cambria Math" w:hAnsi="Cambria Math"/>
                    <w:color w:val="000000" w:themeColor="text1"/>
                    <w:sz w:val="21"/>
                    <w:szCs w:val="21"/>
                  </w:rPr>
                  <m:t>I</m:t>
                </m:r>
              </m:num>
              <m:den>
                <m:r>
                  <w:rPr>
                    <w:rFonts w:ascii="Cambria Math" w:hAnsi="Cambria Math"/>
                    <w:color w:val="000000" w:themeColor="text1"/>
                    <w:sz w:val="21"/>
                    <w:szCs w:val="21"/>
                  </w:rPr>
                  <m:t>I</m:t>
                </m:r>
              </m:den>
            </m:f>
          </m:sub>
        </m:sSub>
      </m:oMath>
    </w:p>
    <w:tbl>
      <w:tblPr>
        <w:tblStyle w:val="13"/>
        <w:tblW w:w="0" w:type="auto"/>
        <w:tblLook w:val="04A0" w:firstRow="1" w:lastRow="0" w:firstColumn="1" w:lastColumn="0" w:noHBand="0" w:noVBand="1"/>
      </w:tblPr>
      <w:tblGrid>
        <w:gridCol w:w="2765"/>
        <w:gridCol w:w="2765"/>
        <w:gridCol w:w="2766"/>
      </w:tblGrid>
      <w:tr w:rsidR="00AF1BF8" w14:paraId="4FB42C3F" w14:textId="77777777" w:rsidTr="00AF1BF8">
        <w:trPr>
          <w:cnfStyle w:val="100000000000" w:firstRow="1" w:lastRow="0" w:firstColumn="0" w:lastColumn="0" w:oddVBand="0" w:evenVBand="0" w:oddHBand="0" w:evenHBand="0" w:firstRowFirstColumn="0" w:firstRowLastColumn="0" w:lastRowFirstColumn="0" w:lastRowLastColumn="0"/>
        </w:trPr>
        <w:tc>
          <w:tcPr>
            <w:tcW w:w="2765" w:type="dxa"/>
            <w:vAlign w:val="top"/>
          </w:tcPr>
          <w:p w14:paraId="11C92139" w14:textId="77777777" w:rsidR="00AF1BF8" w:rsidRDefault="00000000">
            <w:pPr>
              <w:pStyle w:val="af7"/>
              <w:jc w:val="center"/>
              <w:rPr>
                <w:color w:val="000000" w:themeColor="text1"/>
                <w:kern w:val="0"/>
                <w:sz w:val="21"/>
                <w:szCs w:val="21"/>
              </w:rPr>
            </w:pPr>
            <w:r>
              <w:rPr>
                <w:kern w:val="0"/>
                <w:sz w:val="21"/>
                <w:szCs w:val="21"/>
              </w:rPr>
              <w:t>Flow description</w:t>
            </w:r>
          </w:p>
        </w:tc>
        <w:tc>
          <w:tcPr>
            <w:tcW w:w="2765" w:type="dxa"/>
            <w:vAlign w:val="top"/>
          </w:tcPr>
          <w:p w14:paraId="6C0C48AB" w14:textId="77777777" w:rsidR="00AF1BF8" w:rsidRDefault="00000000">
            <w:pPr>
              <w:pStyle w:val="af7"/>
              <w:jc w:val="center"/>
              <w:rPr>
                <w:color w:val="000000" w:themeColor="text1"/>
                <w:kern w:val="0"/>
                <w:sz w:val="21"/>
                <w:szCs w:val="21"/>
              </w:rPr>
            </w:pPr>
            <w:r>
              <w:rPr>
                <w:kern w:val="0"/>
                <w:sz w:val="21"/>
                <w:szCs w:val="21"/>
              </w:rPr>
              <w:t>Value</w:t>
            </w:r>
          </w:p>
        </w:tc>
        <w:tc>
          <w:tcPr>
            <w:tcW w:w="2766" w:type="dxa"/>
            <w:vAlign w:val="top"/>
          </w:tcPr>
          <w:p w14:paraId="2E4CB478" w14:textId="77777777" w:rsidR="00AF1BF8" w:rsidRDefault="00000000">
            <w:pPr>
              <w:pStyle w:val="af7"/>
              <w:jc w:val="center"/>
              <w:rPr>
                <w:color w:val="000000" w:themeColor="text1"/>
                <w:kern w:val="0"/>
                <w:sz w:val="21"/>
                <w:szCs w:val="21"/>
              </w:rPr>
            </w:pPr>
            <w:r>
              <w:rPr>
                <w:kern w:val="0"/>
                <w:sz w:val="21"/>
                <w:szCs w:val="21"/>
              </w:rPr>
              <w:t>Unit</w:t>
            </w:r>
          </w:p>
        </w:tc>
      </w:tr>
      <w:tr w:rsidR="00AF1BF8" w14:paraId="745ECA5F" w14:textId="77777777" w:rsidTr="00AF1BF8">
        <w:tc>
          <w:tcPr>
            <w:tcW w:w="2765" w:type="dxa"/>
          </w:tcPr>
          <w:p w14:paraId="4E123FC2"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COD</w:t>
            </w:r>
          </w:p>
        </w:tc>
        <w:tc>
          <w:tcPr>
            <w:tcW w:w="2765" w:type="dxa"/>
          </w:tcPr>
          <w:p w14:paraId="2D24CB45"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267.92</w:t>
            </w:r>
          </w:p>
        </w:tc>
        <w:tc>
          <w:tcPr>
            <w:tcW w:w="2766" w:type="dxa"/>
          </w:tcPr>
          <w:p w14:paraId="7796EF14" w14:textId="77777777" w:rsidR="00AF1BF8" w:rsidRDefault="00000000">
            <w:pPr>
              <w:pStyle w:val="af7"/>
              <w:jc w:val="center"/>
              <w:rPr>
                <w:color w:val="000000" w:themeColor="text1"/>
                <w:kern w:val="0"/>
                <w:sz w:val="21"/>
                <w:szCs w:val="21"/>
              </w:rPr>
            </w:pPr>
            <w:r>
              <w:rPr>
                <w:color w:val="000000" w:themeColor="text1"/>
                <w:kern w:val="0"/>
                <w:sz w:val="21"/>
                <w:szCs w:val="21"/>
              </w:rPr>
              <w:t>mg/L</w:t>
            </w:r>
          </w:p>
        </w:tc>
      </w:tr>
      <w:tr w:rsidR="00AF1BF8" w14:paraId="392728C8" w14:textId="77777777" w:rsidTr="00AF1BF8">
        <w:tc>
          <w:tcPr>
            <w:tcW w:w="2765" w:type="dxa"/>
          </w:tcPr>
          <w:p w14:paraId="7386A54E"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TN</w:t>
            </w:r>
          </w:p>
        </w:tc>
        <w:tc>
          <w:tcPr>
            <w:tcW w:w="2765" w:type="dxa"/>
          </w:tcPr>
          <w:p w14:paraId="0F8098DA"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4.35</w:t>
            </w:r>
          </w:p>
        </w:tc>
        <w:tc>
          <w:tcPr>
            <w:tcW w:w="2766" w:type="dxa"/>
          </w:tcPr>
          <w:p w14:paraId="53748BE1" w14:textId="77777777" w:rsidR="00AF1BF8" w:rsidRDefault="00000000">
            <w:pPr>
              <w:pStyle w:val="af7"/>
              <w:jc w:val="center"/>
              <w:rPr>
                <w:color w:val="000000" w:themeColor="text1"/>
                <w:kern w:val="0"/>
                <w:sz w:val="21"/>
                <w:szCs w:val="21"/>
              </w:rPr>
            </w:pPr>
            <w:r>
              <w:rPr>
                <w:color w:val="000000" w:themeColor="text1"/>
                <w:kern w:val="0"/>
                <w:sz w:val="21"/>
                <w:szCs w:val="21"/>
              </w:rPr>
              <w:t>mg/L</w:t>
            </w:r>
          </w:p>
        </w:tc>
      </w:tr>
      <w:tr w:rsidR="00AF1BF8" w14:paraId="1A541FCA" w14:textId="77777777" w:rsidTr="00AF1BF8">
        <w:tc>
          <w:tcPr>
            <w:tcW w:w="2765" w:type="dxa"/>
          </w:tcPr>
          <w:p w14:paraId="2E5445AB"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TP</w:t>
            </w:r>
          </w:p>
        </w:tc>
        <w:tc>
          <w:tcPr>
            <w:tcW w:w="2765" w:type="dxa"/>
          </w:tcPr>
          <w:p w14:paraId="72016FC2"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0.57</w:t>
            </w:r>
          </w:p>
        </w:tc>
        <w:tc>
          <w:tcPr>
            <w:tcW w:w="2766" w:type="dxa"/>
          </w:tcPr>
          <w:p w14:paraId="3C295FFC" w14:textId="77777777" w:rsidR="00AF1BF8" w:rsidRDefault="00000000">
            <w:pPr>
              <w:pStyle w:val="af7"/>
              <w:jc w:val="center"/>
              <w:rPr>
                <w:color w:val="000000" w:themeColor="text1"/>
                <w:kern w:val="0"/>
                <w:sz w:val="21"/>
                <w:szCs w:val="21"/>
              </w:rPr>
            </w:pPr>
            <w:r>
              <w:rPr>
                <w:color w:val="000000" w:themeColor="text1"/>
                <w:kern w:val="0"/>
                <w:sz w:val="21"/>
                <w:szCs w:val="21"/>
              </w:rPr>
              <w:t>mg/L</w:t>
            </w:r>
          </w:p>
        </w:tc>
      </w:tr>
      <w:tr w:rsidR="00AF1BF8" w14:paraId="48E3D992" w14:textId="77777777" w:rsidTr="00AF1BF8">
        <w:tc>
          <w:tcPr>
            <w:tcW w:w="2765" w:type="dxa"/>
          </w:tcPr>
          <w:p w14:paraId="285448AC" w14:textId="77777777" w:rsidR="00AF1BF8" w:rsidRDefault="00000000">
            <w:pPr>
              <w:pStyle w:val="af7"/>
              <w:jc w:val="center"/>
              <w:rPr>
                <w:color w:val="000000" w:themeColor="text1"/>
                <w:kern w:val="0"/>
                <w:sz w:val="21"/>
                <w:szCs w:val="21"/>
              </w:rPr>
            </w:pPr>
            <m:oMathPara>
              <m:oMath>
                <m:sSub>
                  <m:sSubPr>
                    <m:ctrlPr>
                      <w:rPr>
                        <w:rStyle w:val="CambriaMathCambriaMath"/>
                        <w:rFonts w:ascii="Cambria Math" w:hAnsi="Cambria Math"/>
                        <w:i/>
                        <w:spacing w:val="-10"/>
                        <w:sz w:val="18"/>
                        <w:szCs w:val="18"/>
                      </w:rPr>
                    </m:ctrlPr>
                  </m:sSubPr>
                  <m:e>
                    <m:r>
                      <m:rPr>
                        <m:nor/>
                      </m:rPr>
                      <w:rPr>
                        <w:rStyle w:val="CambriaMathCambriaMath"/>
                        <w:kern w:val="0"/>
                        <w:sz w:val="18"/>
                        <w:szCs w:val="18"/>
                      </w:rPr>
                      <m:t>NH</m:t>
                    </m:r>
                  </m:e>
                  <m:sub>
                    <m:r>
                      <m:rPr>
                        <m:nor/>
                      </m:rPr>
                      <w:rPr>
                        <w:rStyle w:val="CambriaMathCambriaMath"/>
                        <w:kern w:val="0"/>
                        <w:sz w:val="18"/>
                        <w:szCs w:val="18"/>
                      </w:rPr>
                      <m:t>3</m:t>
                    </m:r>
                  </m:sub>
                </m:sSub>
                <m:r>
                  <m:rPr>
                    <m:nor/>
                  </m:rPr>
                  <w:rPr>
                    <w:rStyle w:val="CambriaMathCambriaMath"/>
                    <w:kern w:val="0"/>
                    <w:sz w:val="18"/>
                    <w:szCs w:val="18"/>
                  </w:rPr>
                  <m:t>-N</m:t>
                </m:r>
              </m:oMath>
            </m:oMathPara>
          </w:p>
        </w:tc>
        <w:tc>
          <w:tcPr>
            <w:tcW w:w="2765" w:type="dxa"/>
          </w:tcPr>
          <w:p w14:paraId="4474C27B"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1.9</w:t>
            </w:r>
          </w:p>
        </w:tc>
        <w:tc>
          <w:tcPr>
            <w:tcW w:w="2766" w:type="dxa"/>
          </w:tcPr>
          <w:p w14:paraId="4E55B3E9" w14:textId="77777777" w:rsidR="00AF1BF8" w:rsidRDefault="00000000">
            <w:pPr>
              <w:pStyle w:val="af7"/>
              <w:jc w:val="center"/>
              <w:rPr>
                <w:color w:val="000000" w:themeColor="text1"/>
                <w:kern w:val="0"/>
                <w:sz w:val="21"/>
                <w:szCs w:val="21"/>
              </w:rPr>
            </w:pPr>
            <w:r>
              <w:rPr>
                <w:color w:val="000000" w:themeColor="text1"/>
                <w:kern w:val="0"/>
                <w:sz w:val="21"/>
                <w:szCs w:val="21"/>
              </w:rPr>
              <w:t>mg/L</w:t>
            </w:r>
          </w:p>
        </w:tc>
      </w:tr>
    </w:tbl>
    <w:p w14:paraId="681E8D67" w14:textId="77777777" w:rsidR="00AF1BF8" w:rsidRDefault="00AF1BF8">
      <w:pPr>
        <w:pStyle w:val="af7"/>
        <w:jc w:val="center"/>
        <w:rPr>
          <w:color w:val="000000" w:themeColor="text1"/>
          <w:sz w:val="21"/>
          <w:szCs w:val="21"/>
        </w:rPr>
      </w:pPr>
    </w:p>
    <w:p w14:paraId="7723A0AD" w14:textId="65BECB92" w:rsidR="00AF1BF8" w:rsidRDefault="00000000">
      <w:pPr>
        <w:ind w:firstLineChars="200" w:firstLine="420"/>
        <w:rPr>
          <w:rFonts w:eastAsiaTheme="minorEastAsia"/>
        </w:rPr>
      </w:pPr>
      <w:r>
        <w:rPr>
          <w:rFonts w:eastAsiaTheme="minorEastAsia"/>
        </w:rPr>
        <w:t>Constant operating parameters across scenarios: To isolate the independent effect of rainfall‑induced I/I on WWTP performance, all process operating parameters were kept identical to the dry‑weather baseline scenario across the five rainfall‑induced I/I scenarios. Specifically</w:t>
      </w:r>
      <w:r>
        <w:rPr>
          <w:rFonts w:eastAsiaTheme="minorEastAsia" w:hint="eastAsia"/>
        </w:rPr>
        <w:t>：</w:t>
      </w:r>
      <w:r w:rsidR="00086F2E">
        <w:rPr>
          <w:rFonts w:eastAsiaTheme="minorEastAsia" w:hint="eastAsia"/>
        </w:rPr>
        <w:t xml:space="preserve"> </w:t>
      </w:r>
      <w:r>
        <w:rPr>
          <w:rFonts w:eastAsiaTheme="minorEastAsia"/>
        </w:rPr>
        <w:t>Internal recycle ratio: 200% for the AAO line and 300% for the AO line;</w:t>
      </w:r>
      <w:r>
        <w:rPr>
          <w:rFonts w:eastAsiaTheme="minorEastAsia" w:hint="eastAsia"/>
        </w:rPr>
        <w:t xml:space="preserve"> </w:t>
      </w:r>
      <w:r>
        <w:rPr>
          <w:rFonts w:eastAsiaTheme="minorEastAsia"/>
        </w:rPr>
        <w:t>External recycle ratio (return sludge ratio): 75% for both lines;</w:t>
      </w:r>
      <w:r>
        <w:rPr>
          <w:rFonts w:eastAsiaTheme="minorEastAsia" w:hint="eastAsia"/>
        </w:rPr>
        <w:t xml:space="preserve"> </w:t>
      </w:r>
      <w:r>
        <w:rPr>
          <w:rFonts w:eastAsiaTheme="minorEastAsia"/>
        </w:rPr>
        <w:t>Aeration control: DO setpoint at 3 mg/L in aerobic zones;</w:t>
      </w:r>
      <w:r>
        <w:rPr>
          <w:rFonts w:eastAsiaTheme="minorEastAsia" w:hint="eastAsia"/>
        </w:rPr>
        <w:t xml:space="preserve"> </w:t>
      </w:r>
      <w:r>
        <w:rPr>
          <w:rFonts w:eastAsiaTheme="minorEastAsia"/>
        </w:rPr>
        <w:t>Carbon source and phosphorus removal chemical (PAC) dosages: kept constant (not adjusted with influent flow or concentration);</w:t>
      </w:r>
      <w:r>
        <w:rPr>
          <w:rFonts w:eastAsiaTheme="minorEastAsia" w:hint="eastAsia"/>
        </w:rPr>
        <w:t xml:space="preserve"> </w:t>
      </w:r>
      <w:r>
        <w:rPr>
          <w:rFonts w:eastAsiaTheme="minorEastAsia"/>
        </w:rPr>
        <w:t>Flocculant (PAM) and disinfectant (sodium hypochlorite) dosages: adjusted proportionally to the influent flow rate, at rates of 4 g/t and 10.5 g/t of influent, respectively.</w:t>
      </w:r>
    </w:p>
    <w:p w14:paraId="2CD7FB25" w14:textId="77777777" w:rsidR="00AF1BF8" w:rsidRDefault="00000000">
      <w:pPr>
        <w:keepNext/>
        <w:keepLines/>
        <w:outlineLvl w:val="0"/>
        <w:rPr>
          <w:rFonts w:eastAsiaTheme="majorEastAsia" w:cs="Times New Roman"/>
          <w:color w:val="4472C4" w:themeColor="accent1"/>
          <w:sz w:val="28"/>
          <w:szCs w:val="28"/>
        </w:rPr>
      </w:pPr>
      <w:r>
        <w:rPr>
          <w:rFonts w:eastAsiaTheme="majorEastAsia" w:cs="Times New Roman"/>
          <w:color w:val="4472C4" w:themeColor="accent1"/>
          <w:sz w:val="28"/>
          <w:szCs w:val="28"/>
        </w:rPr>
        <w:lastRenderedPageBreak/>
        <w:t xml:space="preserve">Text </w:t>
      </w:r>
      <w:proofErr w:type="spellStart"/>
      <w:r>
        <w:rPr>
          <w:rFonts w:eastAsiaTheme="majorEastAsia" w:cs="Times New Roman" w:hint="eastAsia"/>
          <w:color w:val="4472C4" w:themeColor="accent1"/>
          <w:sz w:val="28"/>
          <w:szCs w:val="28"/>
        </w:rPr>
        <w:t>A.5</w:t>
      </w:r>
      <w:proofErr w:type="spellEnd"/>
      <w:r>
        <w:rPr>
          <w:rFonts w:eastAsiaTheme="majorEastAsia" w:cs="Times New Roman" w:hint="eastAsia"/>
          <w:color w:val="4472C4" w:themeColor="accent1"/>
          <w:sz w:val="28"/>
          <w:szCs w:val="28"/>
        </w:rPr>
        <w:t xml:space="preserve"> </w:t>
      </w:r>
      <w:r>
        <w:rPr>
          <w:rFonts w:eastAsiaTheme="majorEastAsia" w:cs="Times New Roman"/>
          <w:color w:val="4472C4" w:themeColor="accent1"/>
          <w:sz w:val="28"/>
          <w:szCs w:val="28"/>
        </w:rPr>
        <w:t xml:space="preserve">Multi‑objective optimization method for synergistic reduction of pollutants and GHG emissions </w:t>
      </w:r>
    </w:p>
    <w:p w14:paraId="74CA7C4D" w14:textId="77777777" w:rsidR="00AF1BF8" w:rsidRDefault="00000000">
      <w:pPr>
        <w:pStyle w:val="2"/>
        <w:spacing w:before="10" w:after="10"/>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Text </w:t>
      </w:r>
      <w:proofErr w:type="spellStart"/>
      <w:r>
        <w:rPr>
          <w:rFonts w:ascii="Times New Roman" w:hAnsi="Times New Roman" w:cs="Times New Roman" w:hint="eastAsia"/>
          <w:color w:val="4472C4" w:themeColor="accent1"/>
          <w:sz w:val="24"/>
          <w:szCs w:val="24"/>
        </w:rPr>
        <w:t>A.5.1</w:t>
      </w:r>
      <w:proofErr w:type="spellEnd"/>
      <w:r>
        <w:rPr>
          <w:rFonts w:ascii="Times New Roman" w:hAnsi="Times New Roman" w:cs="Times New Roman"/>
          <w:color w:val="4472C4" w:themeColor="accent1"/>
          <w:sz w:val="24"/>
          <w:szCs w:val="24"/>
        </w:rPr>
        <w:t>. Decision variables and optimization settings</w:t>
      </w:r>
    </w:p>
    <w:p w14:paraId="170F8937" w14:textId="77777777" w:rsidR="00AF1BF8" w:rsidRDefault="00000000">
      <w:pPr>
        <w:ind w:firstLineChars="200" w:firstLine="420"/>
      </w:pPr>
      <w:r>
        <w:t>The heavy-rain scenario was selected as the representative optimization condition because it caused marked increases in nitrogen fluctuation, operating cost, and GHG emissions. Dissolved oxygen (DO), internal recirculation ratio (</w:t>
      </w:r>
      <m:oMath>
        <m:sSub>
          <m:sSubPr>
            <m:ctrlPr>
              <w:rPr>
                <w:rFonts w:ascii="Cambria Math" w:hAnsi="Cambria Math"/>
                <w:i/>
              </w:rPr>
            </m:ctrlPr>
          </m:sSubPr>
          <m:e>
            <m:r>
              <w:rPr>
                <w:rFonts w:ascii="Cambria Math" w:hAnsi="Cambria Math"/>
              </w:rPr>
              <m:t>R</m:t>
            </m:r>
          </m:e>
          <m:sub>
            <m:r>
              <w:rPr>
                <w:rFonts w:ascii="Cambria Math" w:hAnsi="Cambria Math"/>
              </w:rPr>
              <m:t>int</m:t>
            </m:r>
          </m:sub>
        </m:sSub>
      </m:oMath>
      <w:r>
        <w:t>), and external recirculation ratio (</w:t>
      </w:r>
      <m:oMath>
        <m:sSub>
          <m:sSubPr>
            <m:ctrlPr>
              <w:rPr>
                <w:rFonts w:ascii="Cambria Math" w:hAnsi="Cambria Math"/>
                <w:i/>
              </w:rPr>
            </m:ctrlPr>
          </m:sSubPr>
          <m:e>
            <m:r>
              <w:rPr>
                <w:rFonts w:ascii="Cambria Math" w:hAnsi="Cambria Math"/>
              </w:rPr>
              <m:t>R</m:t>
            </m:r>
          </m:e>
          <m:sub>
            <m:r>
              <w:rPr>
                <w:rFonts w:ascii="Cambria Math" w:hAnsi="Cambria Math"/>
              </w:rPr>
              <m:t>ext</m:t>
            </m:r>
          </m:sub>
        </m:sSub>
      </m:oMath>
      <w:r>
        <w:t>) were selected as decision variables because they directly affect nitrification, denitrification, sludge concentration, recirculation energy consumption, and process-related GHG emissions.</w:t>
      </w:r>
    </w:p>
    <w:p w14:paraId="4A0FC48B" w14:textId="70D69C1E" w:rsidR="00AF1BF8" w:rsidRDefault="00000000">
      <w:pPr>
        <w:ind w:firstLineChars="200" w:firstLine="420"/>
      </w:pPr>
      <w:r>
        <w:t>The variable ranges were determined based on actual plant operation, engineering experience, and preliminary SUMO simulations. A Box</w:t>
      </w:r>
      <w:r>
        <w:rPr>
          <w:rFonts w:hint="eastAsia"/>
        </w:rPr>
        <w:t>-</w:t>
      </w:r>
      <w:r>
        <w:t xml:space="preserve">Behnken design was used to construct response surface surrogate models, and NSGA‑II was used to identify Pareto‑optimal solutions. The objectives are to minimize the comprehensive water‑quality </w:t>
      </w:r>
      <w:r w:rsidR="0006696A">
        <w:rPr>
          <w:rFonts w:hint="eastAsia"/>
        </w:rPr>
        <w:t>(</w:t>
      </w:r>
      <w:proofErr w:type="spellStart"/>
      <w:r w:rsidR="0006696A">
        <w:rPr>
          <w:rFonts w:hint="eastAsia"/>
        </w:rPr>
        <w:t>WQ</w:t>
      </w:r>
      <w:proofErr w:type="spellEnd"/>
      <w:r w:rsidR="0006696A">
        <w:rPr>
          <w:rFonts w:hint="eastAsia"/>
        </w:rPr>
        <w:t xml:space="preserve">) </w:t>
      </w:r>
      <w:r>
        <w:t>index (combining peak TN and NH</w:t>
      </w:r>
      <w:r>
        <w:rPr>
          <w:rFonts w:hint="eastAsia"/>
          <w:vertAlign w:val="subscript"/>
        </w:rPr>
        <w:t>4</w:t>
      </w:r>
      <w:r>
        <w:rPr>
          <w:rFonts w:hint="eastAsia"/>
          <w:vertAlign w:val="superscript"/>
        </w:rPr>
        <w:t>+</w:t>
      </w:r>
      <w:r>
        <w:t>‑N), total GHG emissions, and total operating cost.</w:t>
      </w:r>
    </w:p>
    <w:p w14:paraId="59F3DFDC" w14:textId="77777777" w:rsidR="00AF1BF8" w:rsidRDefault="00000000">
      <w:pPr>
        <w:pStyle w:val="af7"/>
        <w:spacing w:line="360" w:lineRule="auto"/>
        <w:jc w:val="center"/>
        <w:rPr>
          <w:color w:val="000000" w:themeColor="text1"/>
          <w:sz w:val="21"/>
          <w:szCs w:val="21"/>
        </w:rPr>
      </w:pPr>
      <w:bookmarkStart w:id="10" w:name="_Hlk232271947"/>
      <w:r>
        <w:rPr>
          <w:color w:val="4472C4" w:themeColor="accent1"/>
          <w:sz w:val="21"/>
          <w:szCs w:val="21"/>
        </w:rPr>
        <w:t xml:space="preserve">Table </w:t>
      </w:r>
      <w:proofErr w:type="spellStart"/>
      <w:r>
        <w:rPr>
          <w:color w:val="4472C4" w:themeColor="accent1"/>
          <w:sz w:val="21"/>
          <w:szCs w:val="21"/>
        </w:rPr>
        <w:t>A1</w:t>
      </w:r>
      <w:r>
        <w:rPr>
          <w:rFonts w:hint="eastAsia"/>
          <w:color w:val="4472C4" w:themeColor="accent1"/>
          <w:sz w:val="21"/>
          <w:szCs w:val="21"/>
        </w:rPr>
        <w:t>1</w:t>
      </w:r>
      <w:proofErr w:type="spellEnd"/>
      <w:r>
        <w:rPr>
          <w:rFonts w:hint="eastAsia"/>
          <w:color w:val="4472C4" w:themeColor="accent1"/>
          <w:sz w:val="21"/>
          <w:szCs w:val="21"/>
        </w:rPr>
        <w:t xml:space="preserve"> </w:t>
      </w:r>
      <w:bookmarkEnd w:id="10"/>
      <w:r>
        <w:rPr>
          <w:color w:val="000000" w:themeColor="text1"/>
          <w:sz w:val="21"/>
          <w:szCs w:val="21"/>
        </w:rPr>
        <w:t>Decision‑variable ranges and NSGA‑II parameters used for multi‑objective optimization</w:t>
      </w:r>
      <w:r>
        <w:rPr>
          <w:rFonts w:hint="eastAsia"/>
          <w:color w:val="000000" w:themeColor="text1"/>
          <w:sz w:val="21"/>
          <w:szCs w:val="21"/>
        </w:rPr>
        <w:t>.</w:t>
      </w:r>
    </w:p>
    <w:tbl>
      <w:tblPr>
        <w:tblStyle w:val="13"/>
        <w:tblW w:w="0" w:type="auto"/>
        <w:tblLook w:val="04A0" w:firstRow="1" w:lastRow="0" w:firstColumn="1" w:lastColumn="0" w:noHBand="0" w:noVBand="1"/>
      </w:tblPr>
      <w:tblGrid>
        <w:gridCol w:w="2765"/>
        <w:gridCol w:w="2765"/>
        <w:gridCol w:w="2766"/>
      </w:tblGrid>
      <w:tr w:rsidR="00AF1BF8" w14:paraId="5B84EDBB" w14:textId="77777777" w:rsidTr="00AF1BF8">
        <w:trPr>
          <w:cnfStyle w:val="100000000000" w:firstRow="1" w:lastRow="0" w:firstColumn="0" w:lastColumn="0" w:oddVBand="0" w:evenVBand="0" w:oddHBand="0" w:evenHBand="0" w:firstRowFirstColumn="0" w:firstRowLastColumn="0" w:lastRowFirstColumn="0" w:lastRowLastColumn="0"/>
        </w:trPr>
        <w:tc>
          <w:tcPr>
            <w:tcW w:w="2765" w:type="dxa"/>
            <w:vAlign w:val="top"/>
          </w:tcPr>
          <w:p w14:paraId="7BDFF32E" w14:textId="77777777" w:rsidR="00AF1BF8" w:rsidRDefault="00000000">
            <w:pPr>
              <w:pStyle w:val="af7"/>
              <w:jc w:val="center"/>
              <w:rPr>
                <w:color w:val="000000" w:themeColor="text1"/>
                <w:kern w:val="0"/>
                <w:sz w:val="21"/>
                <w:szCs w:val="21"/>
              </w:rPr>
            </w:pPr>
            <w:r>
              <w:rPr>
                <w:kern w:val="0"/>
                <w:sz w:val="21"/>
                <w:szCs w:val="21"/>
              </w:rPr>
              <w:t>Category</w:t>
            </w:r>
          </w:p>
        </w:tc>
        <w:tc>
          <w:tcPr>
            <w:tcW w:w="2765" w:type="dxa"/>
            <w:vAlign w:val="top"/>
          </w:tcPr>
          <w:p w14:paraId="59811A01" w14:textId="77777777" w:rsidR="00AF1BF8" w:rsidRDefault="00000000">
            <w:pPr>
              <w:pStyle w:val="af7"/>
              <w:jc w:val="center"/>
              <w:rPr>
                <w:color w:val="000000" w:themeColor="text1"/>
                <w:kern w:val="0"/>
                <w:sz w:val="21"/>
                <w:szCs w:val="21"/>
              </w:rPr>
            </w:pPr>
            <w:r>
              <w:rPr>
                <w:kern w:val="0"/>
                <w:sz w:val="21"/>
                <w:szCs w:val="21"/>
              </w:rPr>
              <w:t>Parameter</w:t>
            </w:r>
          </w:p>
        </w:tc>
        <w:tc>
          <w:tcPr>
            <w:tcW w:w="2766" w:type="dxa"/>
            <w:vAlign w:val="top"/>
          </w:tcPr>
          <w:p w14:paraId="48CF8097" w14:textId="77777777" w:rsidR="00AF1BF8" w:rsidRDefault="00000000">
            <w:pPr>
              <w:pStyle w:val="af7"/>
              <w:jc w:val="center"/>
              <w:rPr>
                <w:color w:val="000000" w:themeColor="text1"/>
                <w:kern w:val="0"/>
                <w:sz w:val="21"/>
                <w:szCs w:val="21"/>
              </w:rPr>
            </w:pPr>
            <w:r>
              <w:rPr>
                <w:kern w:val="0"/>
                <w:sz w:val="21"/>
                <w:szCs w:val="21"/>
              </w:rPr>
              <w:t>Value/Range</w:t>
            </w:r>
          </w:p>
        </w:tc>
      </w:tr>
      <w:tr w:rsidR="00AF1BF8" w14:paraId="3D510D2F" w14:textId="77777777" w:rsidTr="00AF1BF8">
        <w:tc>
          <w:tcPr>
            <w:tcW w:w="2765" w:type="dxa"/>
            <w:vMerge w:val="restart"/>
          </w:tcPr>
          <w:p w14:paraId="15A106B6" w14:textId="77777777" w:rsidR="00AF1BF8" w:rsidRDefault="00000000">
            <w:pPr>
              <w:pStyle w:val="af7"/>
              <w:jc w:val="center"/>
              <w:rPr>
                <w:color w:val="000000" w:themeColor="text1"/>
                <w:kern w:val="0"/>
                <w:sz w:val="21"/>
                <w:szCs w:val="21"/>
              </w:rPr>
            </w:pPr>
            <w:r>
              <w:rPr>
                <w:color w:val="000000" w:themeColor="text1"/>
                <w:kern w:val="0"/>
                <w:sz w:val="21"/>
                <w:szCs w:val="21"/>
              </w:rPr>
              <w:t>Decision variable</w:t>
            </w:r>
          </w:p>
        </w:tc>
        <w:tc>
          <w:tcPr>
            <w:tcW w:w="2765" w:type="dxa"/>
          </w:tcPr>
          <w:p w14:paraId="5D8B3D8C" w14:textId="77777777" w:rsidR="00AF1BF8" w:rsidRDefault="00000000">
            <w:pPr>
              <w:pStyle w:val="af7"/>
              <w:jc w:val="center"/>
              <w:rPr>
                <w:color w:val="000000" w:themeColor="text1"/>
                <w:kern w:val="0"/>
                <w:sz w:val="21"/>
                <w:szCs w:val="21"/>
              </w:rPr>
            </w:pPr>
            <w:r>
              <w:rPr>
                <w:color w:val="000000" w:themeColor="text1"/>
                <w:kern w:val="0"/>
                <w:sz w:val="21"/>
                <w:szCs w:val="21"/>
              </w:rPr>
              <w:t>DO</w:t>
            </w:r>
          </w:p>
        </w:tc>
        <w:tc>
          <w:tcPr>
            <w:tcW w:w="2766" w:type="dxa"/>
          </w:tcPr>
          <w:p w14:paraId="41C4FE00" w14:textId="1F35E15C" w:rsidR="00AF1BF8" w:rsidRDefault="00000000">
            <w:pPr>
              <w:pStyle w:val="af7"/>
              <w:jc w:val="center"/>
              <w:rPr>
                <w:color w:val="000000" w:themeColor="text1"/>
                <w:kern w:val="0"/>
                <w:sz w:val="21"/>
                <w:szCs w:val="21"/>
              </w:rPr>
            </w:pPr>
            <w:r>
              <w:rPr>
                <w:color w:val="000000" w:themeColor="text1"/>
                <w:kern w:val="0"/>
                <w:sz w:val="21"/>
                <w:szCs w:val="21"/>
              </w:rPr>
              <w:t>1.0</w:t>
            </w:r>
            <w:r w:rsidR="0006696A">
              <w:rPr>
                <w:rFonts w:hint="eastAsia"/>
                <w:color w:val="000000" w:themeColor="text1"/>
                <w:kern w:val="0"/>
                <w:sz w:val="21"/>
                <w:szCs w:val="21"/>
              </w:rPr>
              <w:t>-</w:t>
            </w:r>
            <w:r>
              <w:rPr>
                <w:rFonts w:hint="eastAsia"/>
                <w:color w:val="000000" w:themeColor="text1"/>
                <w:kern w:val="0"/>
                <w:sz w:val="21"/>
                <w:szCs w:val="21"/>
              </w:rPr>
              <w:t>4</w:t>
            </w:r>
            <w:r>
              <w:rPr>
                <w:color w:val="000000" w:themeColor="text1"/>
                <w:kern w:val="0"/>
                <w:sz w:val="21"/>
                <w:szCs w:val="21"/>
              </w:rPr>
              <w:t>.0 mg/L</w:t>
            </w:r>
          </w:p>
        </w:tc>
      </w:tr>
      <w:tr w:rsidR="00AF1BF8" w14:paraId="6F4D5358" w14:textId="77777777" w:rsidTr="00AF1BF8">
        <w:tc>
          <w:tcPr>
            <w:tcW w:w="2765" w:type="dxa"/>
            <w:vMerge/>
          </w:tcPr>
          <w:p w14:paraId="69738CFA" w14:textId="77777777" w:rsidR="00AF1BF8" w:rsidRDefault="00AF1BF8">
            <w:pPr>
              <w:pStyle w:val="af7"/>
              <w:jc w:val="center"/>
              <w:rPr>
                <w:color w:val="000000" w:themeColor="text1"/>
                <w:kern w:val="0"/>
                <w:sz w:val="21"/>
                <w:szCs w:val="21"/>
              </w:rPr>
            </w:pPr>
          </w:p>
        </w:tc>
        <w:tc>
          <w:tcPr>
            <w:tcW w:w="2765" w:type="dxa"/>
          </w:tcPr>
          <w:p w14:paraId="10F448E9" w14:textId="77777777" w:rsidR="00AF1BF8" w:rsidRDefault="00000000">
            <w:pPr>
              <w:pStyle w:val="af7"/>
              <w:jc w:val="center"/>
              <w:rPr>
                <w:color w:val="000000" w:themeColor="text1"/>
                <w:kern w:val="0"/>
                <w:sz w:val="21"/>
                <w:szCs w:val="21"/>
              </w:rPr>
            </w:pPr>
            <m:oMathPara>
              <m:oMath>
                <m:sSub>
                  <m:sSubPr>
                    <m:ctrlPr>
                      <w:rPr>
                        <w:rFonts w:ascii="Cambria Math" w:hAnsi="Cambria Math"/>
                        <w:i/>
                        <w:kern w:val="0"/>
                        <w:szCs w:val="20"/>
                      </w:rPr>
                    </m:ctrlPr>
                  </m:sSubPr>
                  <m:e>
                    <m:r>
                      <w:rPr>
                        <w:rFonts w:ascii="Cambria Math" w:hAnsi="Cambria Math"/>
                        <w:kern w:val="0"/>
                        <w:szCs w:val="20"/>
                      </w:rPr>
                      <m:t>R</m:t>
                    </m:r>
                  </m:e>
                  <m:sub>
                    <m:r>
                      <w:rPr>
                        <w:rFonts w:ascii="Cambria Math" w:hAnsi="Cambria Math"/>
                        <w:kern w:val="0"/>
                        <w:szCs w:val="20"/>
                      </w:rPr>
                      <m:t>int</m:t>
                    </m:r>
                  </m:sub>
                </m:sSub>
              </m:oMath>
            </m:oMathPara>
          </w:p>
        </w:tc>
        <w:tc>
          <w:tcPr>
            <w:tcW w:w="2766" w:type="dxa"/>
          </w:tcPr>
          <w:p w14:paraId="069DD050" w14:textId="2A1280A6" w:rsidR="00AF1BF8" w:rsidRDefault="00000000">
            <w:pPr>
              <w:pStyle w:val="af7"/>
              <w:jc w:val="center"/>
              <w:rPr>
                <w:color w:val="000000" w:themeColor="text1"/>
                <w:kern w:val="0"/>
                <w:sz w:val="21"/>
                <w:szCs w:val="21"/>
              </w:rPr>
            </w:pPr>
            <w:r>
              <w:rPr>
                <w:color w:val="000000" w:themeColor="text1"/>
                <w:kern w:val="0"/>
                <w:sz w:val="21"/>
                <w:szCs w:val="21"/>
              </w:rPr>
              <w:t>100%</w:t>
            </w:r>
            <w:r w:rsidR="0006696A">
              <w:rPr>
                <w:rFonts w:hint="eastAsia"/>
                <w:color w:val="000000" w:themeColor="text1"/>
                <w:kern w:val="0"/>
                <w:sz w:val="21"/>
                <w:szCs w:val="21"/>
              </w:rPr>
              <w:t>-</w:t>
            </w:r>
            <w:r>
              <w:rPr>
                <w:color w:val="000000" w:themeColor="text1"/>
                <w:kern w:val="0"/>
                <w:sz w:val="21"/>
                <w:szCs w:val="21"/>
              </w:rPr>
              <w:t>400%</w:t>
            </w:r>
          </w:p>
        </w:tc>
      </w:tr>
      <w:tr w:rsidR="00AF1BF8" w14:paraId="479718DF" w14:textId="77777777" w:rsidTr="00AF1BF8">
        <w:tc>
          <w:tcPr>
            <w:tcW w:w="2765" w:type="dxa"/>
            <w:vMerge/>
          </w:tcPr>
          <w:p w14:paraId="04833F59" w14:textId="77777777" w:rsidR="00AF1BF8" w:rsidRDefault="00AF1BF8">
            <w:pPr>
              <w:pStyle w:val="af7"/>
              <w:jc w:val="center"/>
              <w:rPr>
                <w:color w:val="000000" w:themeColor="text1"/>
                <w:kern w:val="0"/>
                <w:sz w:val="21"/>
                <w:szCs w:val="21"/>
              </w:rPr>
            </w:pPr>
          </w:p>
        </w:tc>
        <w:tc>
          <w:tcPr>
            <w:tcW w:w="2765" w:type="dxa"/>
          </w:tcPr>
          <w:p w14:paraId="3A21EDDC" w14:textId="77777777" w:rsidR="00AF1BF8" w:rsidRDefault="00000000">
            <w:pPr>
              <w:pStyle w:val="af7"/>
              <w:jc w:val="center"/>
              <w:rPr>
                <w:color w:val="000000" w:themeColor="text1"/>
                <w:kern w:val="0"/>
                <w:sz w:val="21"/>
                <w:szCs w:val="21"/>
              </w:rPr>
            </w:pPr>
            <m:oMathPara>
              <m:oMath>
                <m:sSub>
                  <m:sSubPr>
                    <m:ctrlPr>
                      <w:rPr>
                        <w:rFonts w:ascii="Cambria Math" w:hAnsi="Cambria Math"/>
                        <w:i/>
                        <w:kern w:val="0"/>
                        <w:szCs w:val="20"/>
                      </w:rPr>
                    </m:ctrlPr>
                  </m:sSubPr>
                  <m:e>
                    <m:r>
                      <w:rPr>
                        <w:rFonts w:ascii="Cambria Math" w:hAnsi="Cambria Math"/>
                        <w:kern w:val="0"/>
                        <w:szCs w:val="20"/>
                      </w:rPr>
                      <m:t>R</m:t>
                    </m:r>
                  </m:e>
                  <m:sub>
                    <m:r>
                      <w:rPr>
                        <w:rFonts w:ascii="Cambria Math" w:hAnsi="Cambria Math"/>
                        <w:kern w:val="0"/>
                        <w:szCs w:val="20"/>
                      </w:rPr>
                      <m:t>ext</m:t>
                    </m:r>
                  </m:sub>
                </m:sSub>
              </m:oMath>
            </m:oMathPara>
          </w:p>
        </w:tc>
        <w:tc>
          <w:tcPr>
            <w:tcW w:w="2766" w:type="dxa"/>
          </w:tcPr>
          <w:p w14:paraId="42AED110" w14:textId="5F21AD0E" w:rsidR="00AF1BF8" w:rsidRDefault="00000000">
            <w:pPr>
              <w:pStyle w:val="af7"/>
              <w:jc w:val="center"/>
              <w:rPr>
                <w:color w:val="000000" w:themeColor="text1"/>
                <w:kern w:val="0"/>
                <w:sz w:val="21"/>
                <w:szCs w:val="21"/>
              </w:rPr>
            </w:pPr>
            <w:r>
              <w:rPr>
                <w:color w:val="000000" w:themeColor="text1"/>
                <w:kern w:val="0"/>
                <w:sz w:val="21"/>
                <w:szCs w:val="21"/>
              </w:rPr>
              <w:t>40%</w:t>
            </w:r>
            <w:r w:rsidR="0006696A">
              <w:rPr>
                <w:rFonts w:hint="eastAsia"/>
                <w:color w:val="000000" w:themeColor="text1"/>
                <w:kern w:val="0"/>
                <w:sz w:val="21"/>
                <w:szCs w:val="21"/>
              </w:rPr>
              <w:t>-</w:t>
            </w:r>
            <w:r>
              <w:rPr>
                <w:color w:val="000000" w:themeColor="text1"/>
                <w:kern w:val="0"/>
                <w:sz w:val="21"/>
                <w:szCs w:val="21"/>
              </w:rPr>
              <w:t>100%</w:t>
            </w:r>
          </w:p>
        </w:tc>
      </w:tr>
      <w:tr w:rsidR="00AF1BF8" w14:paraId="2038DAA1" w14:textId="77777777" w:rsidTr="00AF1BF8">
        <w:tc>
          <w:tcPr>
            <w:tcW w:w="2765" w:type="dxa"/>
            <w:vMerge w:val="restart"/>
          </w:tcPr>
          <w:p w14:paraId="0AA1F67C" w14:textId="77777777" w:rsidR="00AF1BF8" w:rsidRDefault="00000000">
            <w:pPr>
              <w:pStyle w:val="af7"/>
              <w:jc w:val="center"/>
              <w:rPr>
                <w:color w:val="000000" w:themeColor="text1"/>
                <w:kern w:val="0"/>
                <w:sz w:val="21"/>
                <w:szCs w:val="21"/>
              </w:rPr>
            </w:pPr>
            <w:r>
              <w:rPr>
                <w:color w:val="000000" w:themeColor="text1"/>
                <w:kern w:val="0"/>
                <w:sz w:val="21"/>
                <w:szCs w:val="21"/>
              </w:rPr>
              <w:t>Box–Behnken level</w:t>
            </w:r>
          </w:p>
        </w:tc>
        <w:tc>
          <w:tcPr>
            <w:tcW w:w="2765" w:type="dxa"/>
          </w:tcPr>
          <w:p w14:paraId="0279B3DD" w14:textId="77777777" w:rsidR="00AF1BF8" w:rsidRDefault="00000000">
            <w:pPr>
              <w:pStyle w:val="af7"/>
              <w:jc w:val="center"/>
              <w:rPr>
                <w:color w:val="000000" w:themeColor="text1"/>
                <w:kern w:val="0"/>
                <w:sz w:val="21"/>
                <w:szCs w:val="21"/>
              </w:rPr>
            </w:pPr>
            <w:r>
              <w:rPr>
                <w:color w:val="000000" w:themeColor="text1"/>
                <w:kern w:val="0"/>
                <w:sz w:val="21"/>
                <w:szCs w:val="21"/>
              </w:rPr>
              <w:t>DO</w:t>
            </w:r>
          </w:p>
        </w:tc>
        <w:tc>
          <w:tcPr>
            <w:tcW w:w="2766" w:type="dxa"/>
          </w:tcPr>
          <w:p w14:paraId="11F5DD56" w14:textId="77777777" w:rsidR="00AF1BF8" w:rsidRDefault="00000000">
            <w:pPr>
              <w:pStyle w:val="af7"/>
              <w:jc w:val="center"/>
              <w:rPr>
                <w:color w:val="000000" w:themeColor="text1"/>
                <w:kern w:val="0"/>
                <w:sz w:val="21"/>
                <w:szCs w:val="21"/>
              </w:rPr>
            </w:pPr>
            <w:r>
              <w:rPr>
                <w:color w:val="000000" w:themeColor="text1"/>
                <w:kern w:val="0"/>
                <w:sz w:val="21"/>
                <w:szCs w:val="21"/>
              </w:rPr>
              <w:t>1.0, 2.5, 4.0 mg/L</w:t>
            </w:r>
          </w:p>
        </w:tc>
      </w:tr>
      <w:tr w:rsidR="00AF1BF8" w14:paraId="1590F514" w14:textId="77777777" w:rsidTr="00AF1BF8">
        <w:tc>
          <w:tcPr>
            <w:tcW w:w="2765" w:type="dxa"/>
            <w:vMerge/>
          </w:tcPr>
          <w:p w14:paraId="40280750" w14:textId="77777777" w:rsidR="00AF1BF8" w:rsidRDefault="00AF1BF8">
            <w:pPr>
              <w:pStyle w:val="af7"/>
              <w:jc w:val="center"/>
              <w:rPr>
                <w:rStyle w:val="CambriaMathCambriaMath"/>
                <w:spacing w:val="-10"/>
                <w:kern w:val="0"/>
                <w:sz w:val="18"/>
                <w:szCs w:val="18"/>
              </w:rPr>
            </w:pPr>
          </w:p>
        </w:tc>
        <w:tc>
          <w:tcPr>
            <w:tcW w:w="2765" w:type="dxa"/>
          </w:tcPr>
          <w:p w14:paraId="5AAD6413" w14:textId="77777777" w:rsidR="00AF1BF8" w:rsidRDefault="00000000">
            <w:pPr>
              <w:pStyle w:val="af7"/>
              <w:jc w:val="center"/>
              <w:rPr>
                <w:color w:val="000000" w:themeColor="text1"/>
                <w:kern w:val="0"/>
                <w:sz w:val="21"/>
                <w:szCs w:val="21"/>
              </w:rPr>
            </w:pPr>
            <m:oMathPara>
              <m:oMath>
                <m:sSub>
                  <m:sSubPr>
                    <m:ctrlPr>
                      <w:rPr>
                        <w:rFonts w:ascii="Cambria Math" w:hAnsi="Cambria Math"/>
                        <w:i/>
                        <w:kern w:val="0"/>
                        <w:szCs w:val="20"/>
                      </w:rPr>
                    </m:ctrlPr>
                  </m:sSubPr>
                  <m:e>
                    <m:r>
                      <w:rPr>
                        <w:rFonts w:ascii="Cambria Math" w:hAnsi="Cambria Math"/>
                        <w:kern w:val="0"/>
                        <w:szCs w:val="20"/>
                      </w:rPr>
                      <m:t>R</m:t>
                    </m:r>
                  </m:e>
                  <m:sub>
                    <m:r>
                      <w:rPr>
                        <w:rFonts w:ascii="Cambria Math" w:hAnsi="Cambria Math"/>
                        <w:kern w:val="0"/>
                        <w:szCs w:val="20"/>
                      </w:rPr>
                      <m:t>int</m:t>
                    </m:r>
                  </m:sub>
                </m:sSub>
              </m:oMath>
            </m:oMathPara>
          </w:p>
        </w:tc>
        <w:tc>
          <w:tcPr>
            <w:tcW w:w="2766" w:type="dxa"/>
          </w:tcPr>
          <w:p w14:paraId="48E508D7" w14:textId="77777777" w:rsidR="00AF1BF8" w:rsidRDefault="00000000">
            <w:pPr>
              <w:pStyle w:val="af7"/>
              <w:jc w:val="center"/>
              <w:rPr>
                <w:color w:val="000000" w:themeColor="text1"/>
                <w:kern w:val="0"/>
                <w:sz w:val="21"/>
                <w:szCs w:val="21"/>
              </w:rPr>
            </w:pPr>
            <w:r>
              <w:rPr>
                <w:color w:val="000000" w:themeColor="text1"/>
                <w:kern w:val="0"/>
                <w:sz w:val="21"/>
                <w:szCs w:val="21"/>
              </w:rPr>
              <w:t>100%, 250%, 400%</w:t>
            </w:r>
          </w:p>
        </w:tc>
      </w:tr>
      <w:tr w:rsidR="00AF1BF8" w14:paraId="48AA0C49" w14:textId="77777777" w:rsidTr="00AF1BF8">
        <w:tc>
          <w:tcPr>
            <w:tcW w:w="2765" w:type="dxa"/>
            <w:vMerge/>
          </w:tcPr>
          <w:p w14:paraId="7516B2FD" w14:textId="77777777" w:rsidR="00AF1BF8" w:rsidRDefault="00AF1BF8">
            <w:pPr>
              <w:pStyle w:val="af7"/>
              <w:jc w:val="center"/>
              <w:rPr>
                <w:rStyle w:val="CambriaMathCambriaMath"/>
                <w:spacing w:val="-10"/>
                <w:kern w:val="0"/>
                <w:sz w:val="18"/>
                <w:szCs w:val="18"/>
              </w:rPr>
            </w:pPr>
          </w:p>
        </w:tc>
        <w:tc>
          <w:tcPr>
            <w:tcW w:w="2765" w:type="dxa"/>
          </w:tcPr>
          <w:p w14:paraId="02DD92FE" w14:textId="77777777" w:rsidR="00AF1BF8" w:rsidRDefault="00000000">
            <w:pPr>
              <w:pStyle w:val="af7"/>
              <w:jc w:val="center"/>
              <w:rPr>
                <w:color w:val="000000" w:themeColor="text1"/>
                <w:kern w:val="0"/>
                <w:sz w:val="21"/>
                <w:szCs w:val="21"/>
              </w:rPr>
            </w:pPr>
            <m:oMathPara>
              <m:oMath>
                <m:sSub>
                  <m:sSubPr>
                    <m:ctrlPr>
                      <w:rPr>
                        <w:rFonts w:ascii="Cambria Math" w:hAnsi="Cambria Math"/>
                        <w:i/>
                        <w:kern w:val="0"/>
                        <w:szCs w:val="20"/>
                      </w:rPr>
                    </m:ctrlPr>
                  </m:sSubPr>
                  <m:e>
                    <m:r>
                      <w:rPr>
                        <w:rFonts w:ascii="Cambria Math" w:hAnsi="Cambria Math"/>
                        <w:kern w:val="0"/>
                        <w:szCs w:val="20"/>
                      </w:rPr>
                      <m:t>R</m:t>
                    </m:r>
                  </m:e>
                  <m:sub>
                    <m:r>
                      <w:rPr>
                        <w:rFonts w:ascii="Cambria Math" w:hAnsi="Cambria Math"/>
                        <w:kern w:val="0"/>
                        <w:szCs w:val="20"/>
                      </w:rPr>
                      <m:t>ext</m:t>
                    </m:r>
                  </m:sub>
                </m:sSub>
              </m:oMath>
            </m:oMathPara>
          </w:p>
        </w:tc>
        <w:tc>
          <w:tcPr>
            <w:tcW w:w="2766" w:type="dxa"/>
          </w:tcPr>
          <w:p w14:paraId="095CD027" w14:textId="77777777" w:rsidR="00AF1BF8" w:rsidRDefault="00000000">
            <w:pPr>
              <w:pStyle w:val="af7"/>
              <w:jc w:val="center"/>
              <w:rPr>
                <w:color w:val="000000" w:themeColor="text1"/>
                <w:kern w:val="0"/>
                <w:sz w:val="21"/>
                <w:szCs w:val="21"/>
              </w:rPr>
            </w:pPr>
            <w:r>
              <w:rPr>
                <w:color w:val="000000" w:themeColor="text1"/>
                <w:kern w:val="0"/>
                <w:sz w:val="21"/>
                <w:szCs w:val="21"/>
              </w:rPr>
              <w:t>40%, 70%, 100%</w:t>
            </w:r>
          </w:p>
        </w:tc>
      </w:tr>
      <w:tr w:rsidR="00AF1BF8" w14:paraId="4F680946" w14:textId="77777777" w:rsidTr="00AF1BF8">
        <w:tc>
          <w:tcPr>
            <w:tcW w:w="2765" w:type="dxa"/>
            <w:vMerge w:val="restart"/>
          </w:tcPr>
          <w:p w14:paraId="3EA62C1E" w14:textId="77777777" w:rsidR="00AF1BF8" w:rsidRDefault="00000000">
            <w:pPr>
              <w:pStyle w:val="af7"/>
              <w:jc w:val="center"/>
              <w:rPr>
                <w:rStyle w:val="CambriaMathCambriaMath"/>
                <w:spacing w:val="-10"/>
                <w:kern w:val="0"/>
                <w:sz w:val="18"/>
                <w:szCs w:val="18"/>
              </w:rPr>
            </w:pPr>
            <w:r>
              <w:rPr>
                <w:rStyle w:val="CambriaMathCambriaMath"/>
                <w:spacing w:val="-10"/>
                <w:kern w:val="0"/>
                <w:sz w:val="18"/>
                <w:szCs w:val="18"/>
              </w:rPr>
              <w:t>NSGA‑II</w:t>
            </w:r>
          </w:p>
        </w:tc>
        <w:tc>
          <w:tcPr>
            <w:tcW w:w="2765" w:type="dxa"/>
          </w:tcPr>
          <w:p w14:paraId="07F76321" w14:textId="77777777" w:rsidR="00AF1BF8" w:rsidRDefault="00000000">
            <w:pPr>
              <w:pStyle w:val="af7"/>
              <w:jc w:val="center"/>
              <w:rPr>
                <w:color w:val="000000" w:themeColor="text1"/>
                <w:kern w:val="0"/>
                <w:sz w:val="21"/>
                <w:szCs w:val="21"/>
              </w:rPr>
            </w:pPr>
            <w:r>
              <w:rPr>
                <w:color w:val="000000" w:themeColor="text1"/>
                <w:kern w:val="0"/>
                <w:sz w:val="21"/>
                <w:szCs w:val="21"/>
              </w:rPr>
              <w:t>Population size</w:t>
            </w:r>
          </w:p>
        </w:tc>
        <w:tc>
          <w:tcPr>
            <w:tcW w:w="2766" w:type="dxa"/>
          </w:tcPr>
          <w:p w14:paraId="38A28F81"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100</w:t>
            </w:r>
          </w:p>
        </w:tc>
      </w:tr>
      <w:tr w:rsidR="00AF1BF8" w14:paraId="5994FC5B" w14:textId="77777777" w:rsidTr="00AF1BF8">
        <w:tc>
          <w:tcPr>
            <w:tcW w:w="2765" w:type="dxa"/>
            <w:vMerge/>
          </w:tcPr>
          <w:p w14:paraId="6538B239" w14:textId="77777777" w:rsidR="00AF1BF8" w:rsidRDefault="00AF1BF8">
            <w:pPr>
              <w:pStyle w:val="af7"/>
              <w:jc w:val="center"/>
              <w:rPr>
                <w:rStyle w:val="CambriaMathCambriaMath"/>
                <w:spacing w:val="-10"/>
                <w:kern w:val="0"/>
                <w:sz w:val="18"/>
                <w:szCs w:val="18"/>
              </w:rPr>
            </w:pPr>
          </w:p>
        </w:tc>
        <w:tc>
          <w:tcPr>
            <w:tcW w:w="2765" w:type="dxa"/>
          </w:tcPr>
          <w:p w14:paraId="4B1A0ED8" w14:textId="77777777" w:rsidR="00AF1BF8" w:rsidRDefault="00000000">
            <w:pPr>
              <w:pStyle w:val="af7"/>
              <w:jc w:val="center"/>
              <w:rPr>
                <w:color w:val="000000" w:themeColor="text1"/>
                <w:kern w:val="0"/>
                <w:sz w:val="21"/>
                <w:szCs w:val="21"/>
              </w:rPr>
            </w:pPr>
            <w:r>
              <w:rPr>
                <w:color w:val="000000" w:themeColor="text1"/>
                <w:kern w:val="0"/>
                <w:sz w:val="21"/>
                <w:szCs w:val="21"/>
              </w:rPr>
              <w:t>Offspring number</w:t>
            </w:r>
          </w:p>
        </w:tc>
        <w:tc>
          <w:tcPr>
            <w:tcW w:w="2766" w:type="dxa"/>
          </w:tcPr>
          <w:p w14:paraId="41B86204"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50</w:t>
            </w:r>
          </w:p>
        </w:tc>
      </w:tr>
      <w:tr w:rsidR="00AF1BF8" w14:paraId="383F3489" w14:textId="77777777" w:rsidTr="00AF1BF8">
        <w:tc>
          <w:tcPr>
            <w:tcW w:w="2765" w:type="dxa"/>
            <w:vMerge/>
          </w:tcPr>
          <w:p w14:paraId="43A22525" w14:textId="77777777" w:rsidR="00AF1BF8" w:rsidRDefault="00AF1BF8">
            <w:pPr>
              <w:pStyle w:val="af7"/>
              <w:jc w:val="center"/>
              <w:rPr>
                <w:rStyle w:val="CambriaMathCambriaMath"/>
                <w:spacing w:val="-10"/>
                <w:kern w:val="0"/>
                <w:sz w:val="18"/>
                <w:szCs w:val="18"/>
              </w:rPr>
            </w:pPr>
          </w:p>
        </w:tc>
        <w:tc>
          <w:tcPr>
            <w:tcW w:w="2765" w:type="dxa"/>
          </w:tcPr>
          <w:p w14:paraId="3E77E079" w14:textId="77777777" w:rsidR="00AF1BF8" w:rsidRDefault="00000000">
            <w:pPr>
              <w:pStyle w:val="af7"/>
              <w:jc w:val="center"/>
              <w:rPr>
                <w:color w:val="000000" w:themeColor="text1"/>
                <w:kern w:val="0"/>
                <w:sz w:val="21"/>
                <w:szCs w:val="21"/>
              </w:rPr>
            </w:pPr>
            <w:r>
              <w:rPr>
                <w:color w:val="000000" w:themeColor="text1"/>
                <w:kern w:val="0"/>
                <w:sz w:val="21"/>
                <w:szCs w:val="21"/>
              </w:rPr>
              <w:t>Crossover probability</w:t>
            </w:r>
          </w:p>
        </w:tc>
        <w:tc>
          <w:tcPr>
            <w:tcW w:w="2766" w:type="dxa"/>
          </w:tcPr>
          <w:p w14:paraId="17EB483E"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0.9</w:t>
            </w:r>
          </w:p>
        </w:tc>
      </w:tr>
      <w:tr w:rsidR="00AF1BF8" w14:paraId="3A126A28" w14:textId="77777777" w:rsidTr="00AF1BF8">
        <w:tc>
          <w:tcPr>
            <w:tcW w:w="2765" w:type="dxa"/>
            <w:vMerge/>
          </w:tcPr>
          <w:p w14:paraId="6BCF4695" w14:textId="77777777" w:rsidR="00AF1BF8" w:rsidRDefault="00AF1BF8">
            <w:pPr>
              <w:pStyle w:val="af7"/>
              <w:jc w:val="center"/>
              <w:rPr>
                <w:rStyle w:val="CambriaMathCambriaMath"/>
                <w:spacing w:val="-10"/>
                <w:kern w:val="0"/>
                <w:sz w:val="18"/>
                <w:szCs w:val="18"/>
              </w:rPr>
            </w:pPr>
          </w:p>
        </w:tc>
        <w:tc>
          <w:tcPr>
            <w:tcW w:w="2765" w:type="dxa"/>
          </w:tcPr>
          <w:p w14:paraId="09D3A1AB" w14:textId="77777777" w:rsidR="00AF1BF8" w:rsidRDefault="00000000">
            <w:pPr>
              <w:pStyle w:val="af7"/>
              <w:jc w:val="center"/>
              <w:rPr>
                <w:color w:val="000000" w:themeColor="text1"/>
                <w:kern w:val="0"/>
                <w:sz w:val="21"/>
                <w:szCs w:val="21"/>
              </w:rPr>
            </w:pPr>
            <w:r>
              <w:rPr>
                <w:color w:val="000000" w:themeColor="text1"/>
                <w:kern w:val="0"/>
                <w:sz w:val="21"/>
                <w:szCs w:val="21"/>
              </w:rPr>
              <w:t>Mutation probability</w:t>
            </w:r>
          </w:p>
        </w:tc>
        <w:tc>
          <w:tcPr>
            <w:tcW w:w="2766" w:type="dxa"/>
          </w:tcPr>
          <w:p w14:paraId="16EDC104"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1/3</w:t>
            </w:r>
          </w:p>
        </w:tc>
      </w:tr>
      <w:tr w:rsidR="00AF1BF8" w14:paraId="0A9E1230" w14:textId="77777777" w:rsidTr="00AF1BF8">
        <w:tc>
          <w:tcPr>
            <w:tcW w:w="2765" w:type="dxa"/>
            <w:vMerge/>
          </w:tcPr>
          <w:p w14:paraId="6F7F40BE" w14:textId="77777777" w:rsidR="00AF1BF8" w:rsidRDefault="00AF1BF8">
            <w:pPr>
              <w:pStyle w:val="af7"/>
              <w:jc w:val="center"/>
              <w:rPr>
                <w:rStyle w:val="CambriaMathCambriaMath"/>
                <w:spacing w:val="-10"/>
                <w:kern w:val="0"/>
                <w:sz w:val="18"/>
                <w:szCs w:val="18"/>
              </w:rPr>
            </w:pPr>
          </w:p>
        </w:tc>
        <w:tc>
          <w:tcPr>
            <w:tcW w:w="2765" w:type="dxa"/>
          </w:tcPr>
          <w:p w14:paraId="7FE3AC69" w14:textId="77777777" w:rsidR="00AF1BF8" w:rsidRDefault="00000000">
            <w:pPr>
              <w:pStyle w:val="af7"/>
              <w:jc w:val="center"/>
              <w:rPr>
                <w:color w:val="000000" w:themeColor="text1"/>
                <w:kern w:val="0"/>
                <w:sz w:val="21"/>
                <w:szCs w:val="21"/>
              </w:rPr>
            </w:pPr>
            <w:r>
              <w:rPr>
                <w:color w:val="000000" w:themeColor="text1"/>
                <w:kern w:val="0"/>
                <w:sz w:val="21"/>
                <w:szCs w:val="21"/>
              </w:rPr>
              <w:t>Maximum generations</w:t>
            </w:r>
          </w:p>
        </w:tc>
        <w:tc>
          <w:tcPr>
            <w:tcW w:w="2766" w:type="dxa"/>
          </w:tcPr>
          <w:p w14:paraId="5C5A2DDB" w14:textId="77777777" w:rsidR="00AF1BF8" w:rsidRDefault="00000000">
            <w:pPr>
              <w:pStyle w:val="af7"/>
              <w:jc w:val="center"/>
              <w:rPr>
                <w:color w:val="000000" w:themeColor="text1"/>
                <w:kern w:val="0"/>
                <w:sz w:val="21"/>
                <w:szCs w:val="21"/>
              </w:rPr>
            </w:pPr>
            <w:r>
              <w:rPr>
                <w:rFonts w:hint="eastAsia"/>
                <w:color w:val="000000" w:themeColor="text1"/>
                <w:kern w:val="0"/>
                <w:sz w:val="21"/>
                <w:szCs w:val="21"/>
              </w:rPr>
              <w:t>200</w:t>
            </w:r>
          </w:p>
        </w:tc>
      </w:tr>
    </w:tbl>
    <w:p w14:paraId="6D2C76EE" w14:textId="77777777" w:rsidR="00AF1BF8" w:rsidRDefault="00AF1BF8">
      <w:pPr>
        <w:pStyle w:val="af7"/>
        <w:rPr>
          <w:color w:val="000000" w:themeColor="text1"/>
          <w:sz w:val="21"/>
          <w:szCs w:val="21"/>
        </w:rPr>
      </w:pPr>
    </w:p>
    <w:p w14:paraId="5DDB6AD7" w14:textId="77777777" w:rsidR="00AF1BF8" w:rsidRDefault="00000000">
      <w:pPr>
        <w:pStyle w:val="2"/>
        <w:spacing w:before="10" w:after="10"/>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Text </w:t>
      </w:r>
      <w:proofErr w:type="spellStart"/>
      <w:r>
        <w:rPr>
          <w:rFonts w:ascii="Times New Roman" w:hAnsi="Times New Roman" w:cs="Times New Roman" w:hint="eastAsia"/>
          <w:color w:val="4472C4" w:themeColor="accent1"/>
          <w:sz w:val="24"/>
          <w:szCs w:val="24"/>
        </w:rPr>
        <w:t>A.5.2</w:t>
      </w:r>
      <w:proofErr w:type="spellEnd"/>
      <w:r>
        <w:rPr>
          <w:rFonts w:ascii="Times New Roman" w:hAnsi="Times New Roman" w:cs="Times New Roman"/>
          <w:color w:val="4472C4" w:themeColor="accent1"/>
          <w:sz w:val="24"/>
          <w:szCs w:val="24"/>
        </w:rPr>
        <w:t>. Response surface surrogate models</w:t>
      </w:r>
    </w:p>
    <w:p w14:paraId="459EA6FA" w14:textId="77777777" w:rsidR="00AF1BF8" w:rsidRDefault="00000000">
      <w:pPr>
        <w:ind w:firstLineChars="200" w:firstLine="420"/>
      </w:pPr>
      <w:r>
        <w:t>To reduce the computational burden of directly coupling SUMO with NSGA‑II, second‑order polynomial surrogate models were developed for each process line. The general form of the response surface model was:</w:t>
      </w:r>
    </w:p>
    <w:p w14:paraId="72789BBC" w14:textId="77777777" w:rsidR="00AF1BF8" w:rsidRDefault="00000000">
      <w:pPr>
        <w:ind w:firstLineChars="200" w:firstLine="420"/>
      </w:pPr>
      <m:oMathPara>
        <m:oMath>
          <m:eqArr>
            <m:eqArrPr>
              <m:maxDist m:val="1"/>
              <m:ctrlPr>
                <w:rPr>
                  <w:rFonts w:ascii="Cambria Math" w:hAnsi="Cambria Math"/>
                  <w:i/>
                </w:rPr>
              </m:ctrlPr>
            </m:eqArrPr>
            <m:e>
              <m:r>
                <w:rPr>
                  <w:rFonts w:ascii="Cambria Math" w:hAnsi="Cambria Math"/>
                </w:rPr>
                <m:t>Y=</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DO+</m:t>
              </m:r>
              <m:sSub>
                <m:sSubPr>
                  <m:ctrlPr>
                    <w:rPr>
                      <w:rFonts w:ascii="Cambria Math" w:hAnsi="Cambria Math"/>
                      <w:i/>
                    </w:rPr>
                  </m:ctrlPr>
                </m:sSubPr>
                <m:e>
                  <m:r>
                    <w:rPr>
                      <w:rFonts w:ascii="Cambria Math" w:hAnsi="Cambria Math"/>
                    </w:rPr>
                    <m:t>β</m:t>
                  </m:r>
                </m:e>
                <m:sub>
                  <m:r>
                    <w:rPr>
                      <w:rFonts w:ascii="Cambria Math" w:hAnsi="Cambria Math"/>
                    </w:rPr>
                    <m:t>2</m:t>
                  </m:r>
                </m:sub>
              </m:sSub>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3</m:t>
                  </m:r>
                </m:sub>
              </m:sSub>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11</m:t>
                  </m:r>
                </m:sub>
              </m:sSub>
              <m:sSup>
                <m:sSupPr>
                  <m:ctrlPr>
                    <w:rPr>
                      <w:rFonts w:ascii="Cambria Math" w:hAnsi="Cambria Math"/>
                      <w:i/>
                    </w:rPr>
                  </m:ctrlPr>
                </m:sSupPr>
                <m:e>
                  <m:r>
                    <w:rPr>
                      <w:rFonts w:ascii="Cambria Math" w:hAnsi="Cambria Math"/>
                    </w:rPr>
                    <m:t>DO</m:t>
                  </m:r>
                </m:e>
                <m:sup>
                  <m:r>
                    <w:rPr>
                      <w:rFonts w:ascii="Cambria Math" w:hAnsi="Cambria Math"/>
                    </w:rPr>
                    <m:t>2</m:t>
                  </m:r>
                </m:sup>
              </m:sSup>
              <m:sSub>
                <m:sSubPr>
                  <m:ctrlPr>
                    <w:rPr>
                      <w:rFonts w:ascii="Cambria Math" w:hAnsi="Cambria Math"/>
                      <w:i/>
                    </w:rPr>
                  </m:ctrlPr>
                </m:sSubPr>
                <m:e>
                  <m:r>
                    <w:rPr>
                      <w:rFonts w:ascii="Cambria Math" w:hAnsi="Cambria Math"/>
                    </w:rPr>
                    <m:t>+β</m:t>
                  </m:r>
                </m:e>
                <m:sub>
                  <m:r>
                    <w:rPr>
                      <w:rFonts w:ascii="Cambria Math" w:hAnsi="Cambria Math"/>
                    </w:rPr>
                    <m:t>12</m:t>
                  </m:r>
                </m:sub>
              </m:sSub>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hint="eastAsia"/>
                        </w:rPr>
                        <m:t>int</m:t>
                      </m:r>
                    </m:sub>
                  </m:sSub>
                </m:e>
                <m:sup>
                  <m:r>
                    <w:rPr>
                      <w:rFonts w:ascii="Cambria Math" w:hAnsi="Cambria Math"/>
                    </w:rPr>
                    <m:t>2</m:t>
                  </m:r>
                </m:sup>
              </m:sSup>
              <m:sSub>
                <m:sSubPr>
                  <m:ctrlPr>
                    <w:rPr>
                      <w:rFonts w:ascii="Cambria Math" w:hAnsi="Cambria Math"/>
                      <w:i/>
                    </w:rPr>
                  </m:ctrlPr>
                </m:sSubPr>
                <m:e>
                  <m:r>
                    <w:rPr>
                      <w:rFonts w:ascii="Cambria Math" w:hAnsi="Cambria Math"/>
                    </w:rPr>
                    <m:t>+β</m:t>
                  </m:r>
                </m:e>
                <m:sub>
                  <m:r>
                    <w:rPr>
                      <w:rFonts w:ascii="Cambria Math" w:hAnsi="Cambria Math"/>
                    </w:rPr>
                    <m:t>13</m:t>
                  </m:r>
                </m:sub>
              </m:sSub>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ext</m:t>
                      </m:r>
                    </m:sub>
                  </m:sSub>
                </m:e>
                <m:sup>
                  <m:r>
                    <w:rPr>
                      <w:rFonts w:ascii="Cambria Math" w:hAnsi="Cambria Math"/>
                    </w:rPr>
                    <m:t>2</m:t>
                  </m:r>
                </m:sup>
              </m:sSup>
              <m:ctrlPr>
                <w:rPr>
                  <w:rFonts w:ascii="Cambria Math" w:eastAsia="Cambria Math" w:hAnsi="Cambria Math" w:cs="Cambria Math"/>
                  <w:i/>
                </w:rPr>
              </m:ctrlPr>
            </m:e>
            <m:e>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DO</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2</m:t>
                  </m:r>
                </m:sub>
              </m:sSub>
              <m:r>
                <w:rPr>
                  <w:rFonts w:ascii="Cambria Math" w:hAnsi="Cambria Math"/>
                </w:rPr>
                <m:t>DO</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3</m:t>
                  </m:r>
                </m:sub>
              </m:sSub>
              <m:sSub>
                <m:sSubPr>
                  <m:ctrlPr>
                    <w:rPr>
                      <w:rFonts w:ascii="Cambria Math" w:hAnsi="Cambria Math"/>
                      <w:i/>
                    </w:rPr>
                  </m:ctrlPr>
                </m:sSubPr>
                <m:e>
                  <m:r>
                    <w:rPr>
                      <w:rFonts w:ascii="Cambria Math" w:hAnsi="Cambria Math"/>
                    </w:rPr>
                    <m:t>R</m:t>
                  </m:r>
                </m:e>
                <m:sub>
                  <m:r>
                    <w:rPr>
                      <w:rFonts w:ascii="Cambria Math" w:hAnsi="Cambria Math"/>
                    </w:rPr>
                    <m:t>ext</m:t>
                  </m:r>
                </m:sub>
              </m:sSub>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m:t>
              </m:r>
              <m:d>
                <m:dPr>
                  <m:ctrlPr>
                    <w:rPr>
                      <w:rFonts w:ascii="Cambria Math" w:hAnsi="Cambria Math"/>
                      <w:i/>
                    </w:rPr>
                  </m:ctrlPr>
                </m:dPr>
                <m:e>
                  <m:r>
                    <w:rPr>
                      <w:rFonts w:ascii="Cambria Math" w:hAnsi="Cambria Math"/>
                    </w:rPr>
                    <m:t>10</m:t>
                  </m:r>
                </m:e>
              </m:d>
            </m:e>
          </m:eqArr>
        </m:oMath>
      </m:oMathPara>
    </w:p>
    <w:p w14:paraId="17FB701D" w14:textId="236334DC" w:rsidR="00AF1BF8" w:rsidRDefault="00000000">
      <w:pPr>
        <w:ind w:firstLineChars="200" w:firstLine="420"/>
      </w:pPr>
      <w:r>
        <w:lastRenderedPageBreak/>
        <w:t>W</w:t>
      </w:r>
      <w:r>
        <w:rPr>
          <w:rFonts w:hint="eastAsia"/>
        </w:rPr>
        <w:t xml:space="preserve">here </w:t>
      </w:r>
      <w:r>
        <w:t>represents each response variable, including</w:t>
      </w:r>
      <w:r w:rsidR="0006696A">
        <w:rPr>
          <w:rFonts w:hint="eastAsia"/>
        </w:rPr>
        <w:t xml:space="preserve"> </w:t>
      </w:r>
      <w:proofErr w:type="spellStart"/>
      <w:r w:rsidR="0006696A">
        <w:rPr>
          <w:rFonts w:hint="eastAsia"/>
        </w:rPr>
        <w:t>WQ</w:t>
      </w:r>
      <w:proofErr w:type="spellEnd"/>
      <w:r>
        <w:t xml:space="preserve">, operating cost, or GHG emissions. The coefficients </w:t>
      </w:r>
      <w:r>
        <w:rPr>
          <w:rFonts w:ascii="Cambria Math" w:hAnsi="Cambria Math" w:cs="Cambria Math"/>
        </w:rPr>
        <w:t>𝛽</w:t>
      </w:r>
      <w:r>
        <w:rPr>
          <w:rFonts w:hint="eastAsia"/>
        </w:rPr>
        <w:t xml:space="preserve"> </w:t>
      </w:r>
      <w:r>
        <w:t>were estimated from the Box</w:t>
      </w:r>
      <w:r w:rsidR="0006696A">
        <w:rPr>
          <w:rFonts w:hint="eastAsia"/>
        </w:rPr>
        <w:t>-</w:t>
      </w:r>
      <w:r>
        <w:t xml:space="preserve">Behnken simulation results. The variables DO, </w:t>
      </w:r>
      <m:oMath>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 xml:space="preserve"> </m:t>
        </m:r>
      </m:oMath>
      <w:r>
        <w:t xml:space="preserve">and </w:t>
      </w:r>
      <m:oMath>
        <m:sSub>
          <m:sSubPr>
            <m:ctrlPr>
              <w:rPr>
                <w:rFonts w:ascii="Cambria Math" w:hAnsi="Cambria Math"/>
                <w:i/>
              </w:rPr>
            </m:ctrlPr>
          </m:sSubPr>
          <m:e>
            <m:r>
              <w:rPr>
                <w:rFonts w:ascii="Cambria Math" w:hAnsi="Cambria Math"/>
              </w:rPr>
              <m:t>R</m:t>
            </m:r>
          </m:e>
          <m:sub>
            <m:r>
              <w:rPr>
                <w:rFonts w:ascii="Cambria Math" w:hAnsi="Cambria Math"/>
              </w:rPr>
              <m:t>ext</m:t>
            </m:r>
          </m:sub>
        </m:sSub>
      </m:oMath>
      <w:r>
        <w:rPr>
          <w:rFonts w:hint="eastAsia"/>
        </w:rPr>
        <w:t xml:space="preserve"> </w:t>
      </w:r>
      <w:r>
        <w:t xml:space="preserve">are expressed in mg/L, %, and %, respectively. Operating cost is expressed in </w:t>
      </w:r>
      <w:r>
        <w:rPr>
          <w:rFonts w:hint="eastAsia"/>
        </w:rPr>
        <w:t>10</w:t>
      </w:r>
      <w:r>
        <w:rPr>
          <w:rFonts w:hint="eastAsia"/>
          <w:vertAlign w:val="superscript"/>
        </w:rPr>
        <w:t>4</w:t>
      </w:r>
      <w:r>
        <w:rPr>
          <w:rFonts w:hint="eastAsia"/>
        </w:rPr>
        <w:t xml:space="preserve"> </w:t>
      </w:r>
      <w:r>
        <w:t>CNY, and GHG emissions are expressed in t CO</w:t>
      </w:r>
      <w:r>
        <w:rPr>
          <w:rFonts w:hint="eastAsia"/>
          <w:vertAlign w:val="subscript"/>
        </w:rPr>
        <w:t>2</w:t>
      </w:r>
      <w:r>
        <w:t>‑eq.</w:t>
      </w:r>
      <w:r>
        <w:rPr>
          <w:rFonts w:hint="eastAsia"/>
        </w:rPr>
        <w:t xml:space="preserve"> </w:t>
      </w:r>
      <w:r>
        <w:t>Linear terms describe individual parameter effects, quadratic terms describe nonlinear responses, and interaction terms describe coupled effects between two parameters.</w:t>
      </w:r>
    </w:p>
    <w:p w14:paraId="2408C2E8" w14:textId="77777777" w:rsidR="00AF1BF8" w:rsidRDefault="00000000">
      <w:pPr>
        <w:pStyle w:val="2"/>
        <w:spacing w:before="10" w:after="10"/>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Text </w:t>
      </w:r>
      <w:proofErr w:type="spellStart"/>
      <w:r>
        <w:rPr>
          <w:rFonts w:ascii="Times New Roman" w:hAnsi="Times New Roman" w:cs="Times New Roman" w:hint="eastAsia"/>
          <w:color w:val="4472C4" w:themeColor="accent1"/>
          <w:sz w:val="24"/>
          <w:szCs w:val="24"/>
        </w:rPr>
        <w:t>A.5.3</w:t>
      </w:r>
      <w:proofErr w:type="spellEnd"/>
      <w:r>
        <w:rPr>
          <w:rFonts w:ascii="Times New Roman" w:hAnsi="Times New Roman" w:cs="Times New Roman"/>
          <w:color w:val="4472C4" w:themeColor="accent1"/>
          <w:sz w:val="24"/>
          <w:szCs w:val="24"/>
        </w:rPr>
        <w:t>. Fitted surrogate model equations</w:t>
      </w:r>
    </w:p>
    <w:p w14:paraId="7F2A04DC" w14:textId="77777777" w:rsidR="00AF1BF8" w:rsidRDefault="00000000">
      <w:pPr>
        <w:ind w:firstLineChars="200" w:firstLine="420"/>
      </w:pPr>
      <w:r>
        <w:t>The fitted surrogate models used for multi‑objective optimization are listed below. Terms with negligible coefficients were not retained in the final expressions.</w:t>
      </w:r>
    </w:p>
    <w:p w14:paraId="0A09702D" w14:textId="77777777" w:rsidR="00AF1BF8" w:rsidRDefault="00000000">
      <w:r>
        <w:rPr>
          <w:rFonts w:hint="eastAsia"/>
        </w:rPr>
        <w:t>For the AAO process:</w:t>
      </w:r>
    </w:p>
    <w:p w14:paraId="27211264" w14:textId="77777777" w:rsidR="00AF1BF8" w:rsidRDefault="00000000">
      <m:oMathPara>
        <m:oMath>
          <m:eqArr>
            <m:eqArrPr>
              <m:maxDist m:val="1"/>
              <m:ctrlPr>
                <w:rPr>
                  <w:rFonts w:ascii="Cambria Math" w:hAnsi="Cambria Math"/>
                  <w:i/>
                </w:rPr>
              </m:ctrlPr>
            </m:eqArrPr>
            <m:e>
              <m:sSub>
                <m:sSubPr>
                  <m:ctrlPr>
                    <w:rPr>
                      <w:rFonts w:ascii="Cambria Math" w:hAnsi="Cambria Math"/>
                      <w:i/>
                    </w:rPr>
                  </m:ctrlPr>
                </m:sSubPr>
                <m:e>
                  <m:r>
                    <w:rPr>
                      <w:rFonts w:ascii="Cambria Math" w:hAnsi="Cambria Math"/>
                    </w:rPr>
                    <m:t>TN</m:t>
                  </m:r>
                </m:e>
                <m:sub>
                  <m:r>
                    <w:rPr>
                      <w:rFonts w:ascii="Cambria Math" w:hAnsi="Cambria Math"/>
                    </w:rPr>
                    <m:t>AAO</m:t>
                  </m:r>
                </m:sub>
              </m:sSub>
              <m:r>
                <w:rPr>
                  <w:rFonts w:ascii="Cambria Math" w:hAnsi="Cambria Math"/>
                </w:rPr>
                <m:t>=25.13-0.5DO-0.0060</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-0.150</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+0.13</m:t>
              </m:r>
              <m:sSup>
                <m:sSupPr>
                  <m:ctrlPr>
                    <w:rPr>
                      <w:rFonts w:ascii="Cambria Math" w:hAnsi="Cambria Math"/>
                      <w:i/>
                    </w:rPr>
                  </m:ctrlPr>
                </m:sSupPr>
                <m:e>
                  <m:r>
                    <w:rPr>
                      <w:rFonts w:ascii="Cambria Math" w:hAnsi="Cambria Math"/>
                    </w:rPr>
                    <m:t>DO</m:t>
                  </m:r>
                </m:e>
                <m:sup>
                  <m:r>
                    <w:rPr>
                      <w:rFonts w:ascii="Cambria Math" w:hAnsi="Cambria Math"/>
                    </w:rPr>
                    <m:t>2</m:t>
                  </m:r>
                </m:sup>
              </m:sSup>
              <m:ctrlPr>
                <w:rPr>
                  <w:rFonts w:ascii="Cambria Math" w:eastAsia="Cambria Math" w:hAnsi="Cambria Math" w:cs="Cambria Math"/>
                  <w:i/>
                </w:rPr>
              </m:ctrlPr>
            </m:e>
            <m:e>
              <m:r>
                <w:rPr>
                  <w:rFonts w:ascii="Cambria Math" w:hAnsi="Cambria Math"/>
                </w:rPr>
                <m:t>+0.00007</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hint="eastAsia"/>
                        </w:rPr>
                        <m:t>int</m:t>
                      </m:r>
                    </m:sub>
                  </m:sSub>
                </m:e>
                <m:sup>
                  <m:r>
                    <w:rPr>
                      <w:rFonts w:ascii="Cambria Math" w:hAnsi="Cambria Math"/>
                    </w:rPr>
                    <m:t>2</m:t>
                  </m:r>
                </m:sup>
              </m:sSup>
              <m:r>
                <w:rPr>
                  <w:rFonts w:ascii="Cambria Math" w:hAnsi="Cambria Math"/>
                </w:rPr>
                <m:t>+0.0008</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ext</m:t>
                      </m:r>
                    </m:sub>
                  </m:sSub>
                </m:e>
                <m:sup>
                  <m:r>
                    <w:rPr>
                      <w:rFonts w:ascii="Cambria Math" w:hAnsi="Cambria Math"/>
                    </w:rPr>
                    <m:t>2</m:t>
                  </m:r>
                </m:sup>
              </m:sSup>
              <m:r>
                <w:rPr>
                  <w:rFonts w:ascii="Cambria Math" w:hAnsi="Cambria Math"/>
                </w:rPr>
                <m:t>+0.003DO</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-0.0099DO</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+0.0002</m:t>
              </m:r>
              <m:sSub>
                <m:sSubPr>
                  <m:ctrlPr>
                    <w:rPr>
                      <w:rFonts w:ascii="Cambria Math" w:hAnsi="Cambria Math"/>
                      <w:i/>
                    </w:rPr>
                  </m:ctrlPr>
                </m:sSubPr>
                <m:e>
                  <m:r>
                    <w:rPr>
                      <w:rFonts w:ascii="Cambria Math" w:hAnsi="Cambria Math"/>
                    </w:rPr>
                    <m:t>R</m:t>
                  </m:r>
                </m:e>
                <m:sub>
                  <m:r>
                    <w:rPr>
                      <w:rFonts w:ascii="Cambria Math" w:hAnsi="Cambria Math"/>
                    </w:rPr>
                    <m:t>ext</m:t>
                  </m:r>
                </m:sub>
              </m:sSub>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m:t>
              </m:r>
              <m:d>
                <m:dPr>
                  <m:ctrlPr>
                    <w:rPr>
                      <w:rFonts w:ascii="Cambria Math" w:hAnsi="Cambria Math"/>
                      <w:i/>
                    </w:rPr>
                  </m:ctrlPr>
                </m:dPr>
                <m:e>
                  <m:r>
                    <w:rPr>
                      <w:rFonts w:ascii="Cambria Math" w:hAnsi="Cambria Math"/>
                    </w:rPr>
                    <m:t>11</m:t>
                  </m:r>
                </m:e>
              </m:d>
            </m:e>
          </m:eqArr>
        </m:oMath>
      </m:oMathPara>
    </w:p>
    <w:p w14:paraId="3ACB47F7" w14:textId="77777777" w:rsidR="00AF1BF8" w:rsidRDefault="00000000">
      <m:oMathPara>
        <m:oMath>
          <m:eqArr>
            <m:eqArrPr>
              <m:maxDist m:val="1"/>
              <m:ctrlPr>
                <w:rPr>
                  <w:rFonts w:ascii="Cambria Math" w:hAnsi="Cambria Math"/>
                  <w:i/>
                </w:rPr>
              </m:ctrlPr>
            </m:eqArrPr>
            <m:e>
              <m:sSub>
                <m:sSubPr>
                  <m:ctrlPr>
                    <w:rPr>
                      <w:rFonts w:ascii="Cambria Math" w:hAnsi="Cambria Math"/>
                      <w:i/>
                    </w:rPr>
                  </m:ctrlPr>
                </m:sSubPr>
                <m:e>
                  <m:sSup>
                    <m:sSupPr>
                      <m:ctrlPr>
                        <w:rPr>
                          <w:rFonts w:ascii="Cambria Math" w:hAnsi="Cambria Math"/>
                          <w:i/>
                        </w:rPr>
                      </m:ctrlPr>
                    </m:sSupPr>
                    <m:e>
                      <m:sSub>
                        <m:sSubPr>
                          <m:ctrlPr>
                            <w:rPr>
                              <w:rFonts w:ascii="Cambria Math" w:hAnsi="Cambria Math"/>
                              <w:i/>
                            </w:rPr>
                          </m:ctrlPr>
                        </m:sSubPr>
                        <m:e>
                          <m:r>
                            <w:rPr>
                              <w:rFonts w:ascii="Cambria Math" w:hAnsi="Cambria Math"/>
                            </w:rPr>
                            <m:t>NH</m:t>
                          </m:r>
                        </m:e>
                        <m:sub>
                          <m:r>
                            <w:rPr>
                              <w:rFonts w:ascii="Cambria Math" w:hAnsi="Cambria Math"/>
                            </w:rPr>
                            <m:t>4</m:t>
                          </m:r>
                        </m:sub>
                      </m:sSub>
                    </m:e>
                    <m:sup>
                      <m:r>
                        <w:rPr>
                          <w:rFonts w:ascii="Cambria Math" w:hAnsi="Cambria Math"/>
                        </w:rPr>
                        <m:t>+</m:t>
                      </m:r>
                    </m:sup>
                  </m:sSup>
                  <m:r>
                    <w:rPr>
                      <w:rFonts w:ascii="Cambria Math" w:hAnsi="Cambria Math"/>
                    </w:rPr>
                    <m:t>-N</m:t>
                  </m:r>
                </m:e>
                <m:sub>
                  <m:r>
                    <w:rPr>
                      <w:rFonts w:ascii="Cambria Math" w:hAnsi="Cambria Math"/>
                    </w:rPr>
                    <m:t>AAO</m:t>
                  </m:r>
                </m:sub>
              </m:sSub>
              <m:r>
                <w:rPr>
                  <w:rFonts w:ascii="Cambria Math" w:hAnsi="Cambria Math"/>
                </w:rPr>
                <m:t>=10.46-1.20DO-0.0054</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-0.120</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+0.12</m:t>
              </m:r>
              <m:sSup>
                <m:sSupPr>
                  <m:ctrlPr>
                    <w:rPr>
                      <w:rFonts w:ascii="Cambria Math" w:hAnsi="Cambria Math"/>
                      <w:i/>
                    </w:rPr>
                  </m:ctrlPr>
                </m:sSupPr>
                <m:e>
                  <m:r>
                    <w:rPr>
                      <w:rFonts w:ascii="Cambria Math" w:hAnsi="Cambria Math"/>
                    </w:rPr>
                    <m:t>DO</m:t>
                  </m:r>
                </m:e>
                <m:sup>
                  <m:r>
                    <w:rPr>
                      <w:rFonts w:ascii="Cambria Math" w:hAnsi="Cambria Math"/>
                    </w:rPr>
                    <m:t>2</m:t>
                  </m:r>
                </m:sup>
              </m:sSup>
              <m:ctrlPr>
                <w:rPr>
                  <w:rFonts w:ascii="Cambria Math" w:eastAsia="Cambria Math" w:hAnsi="Cambria Math" w:cs="Cambria Math"/>
                  <w:i/>
                </w:rPr>
              </m:ctrlPr>
            </m:e>
            <m:e>
              <m:r>
                <w:rPr>
                  <w:rFonts w:ascii="Cambria Math" w:hAnsi="Cambria Math"/>
                </w:rPr>
                <m:t>+0.00051</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hint="eastAsia"/>
                        </w:rPr>
                        <m:t>int</m:t>
                      </m:r>
                    </m:sub>
                  </m:sSub>
                </m:e>
                <m:sup>
                  <m:r>
                    <w:rPr>
                      <w:rFonts w:ascii="Cambria Math" w:hAnsi="Cambria Math"/>
                    </w:rPr>
                    <m:t>2</m:t>
                  </m:r>
                </m:sup>
              </m:sSup>
              <m:r>
                <w:rPr>
                  <w:rFonts w:ascii="Cambria Math" w:hAnsi="Cambria Math"/>
                </w:rPr>
                <m:t>+0.00012DO</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-0.0033DO</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+0.0003</m:t>
              </m:r>
              <m:sSub>
                <m:sSubPr>
                  <m:ctrlPr>
                    <w:rPr>
                      <w:rFonts w:ascii="Cambria Math" w:hAnsi="Cambria Math"/>
                      <w:i/>
                    </w:rPr>
                  </m:ctrlPr>
                </m:sSubPr>
                <m:e>
                  <m:r>
                    <w:rPr>
                      <w:rFonts w:ascii="Cambria Math" w:hAnsi="Cambria Math"/>
                    </w:rPr>
                    <m:t>R</m:t>
                  </m:r>
                </m:e>
                <m:sub>
                  <m:r>
                    <w:rPr>
                      <w:rFonts w:ascii="Cambria Math" w:hAnsi="Cambria Math"/>
                    </w:rPr>
                    <m:t>ext</m:t>
                  </m:r>
                </m:sub>
              </m:sSub>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m:t>
              </m:r>
              <m:d>
                <m:dPr>
                  <m:ctrlPr>
                    <w:rPr>
                      <w:rFonts w:ascii="Cambria Math" w:hAnsi="Cambria Math"/>
                      <w:i/>
                    </w:rPr>
                  </m:ctrlPr>
                </m:dPr>
                <m:e>
                  <m:r>
                    <w:rPr>
                      <w:rFonts w:ascii="Cambria Math" w:hAnsi="Cambria Math"/>
                    </w:rPr>
                    <m:t>12</m:t>
                  </m:r>
                </m:e>
              </m:d>
            </m:e>
          </m:eqArr>
        </m:oMath>
      </m:oMathPara>
    </w:p>
    <w:p w14:paraId="2394AD11" w14:textId="77777777" w:rsidR="00AF1BF8" w:rsidRDefault="00000000">
      <m:oMathPara>
        <m:oMath>
          <m:eqArr>
            <m:eqArrPr>
              <m:maxDist m:val="1"/>
              <m:ctrlPr>
                <w:rPr>
                  <w:rFonts w:ascii="Cambria Math" w:hAnsi="Cambria Math"/>
                  <w:i/>
                </w:rPr>
              </m:ctrlPr>
            </m:eqArrPr>
            <m:e>
              <m:sSub>
                <m:sSubPr>
                  <m:ctrlPr>
                    <w:rPr>
                      <w:rFonts w:ascii="Cambria Math" w:hAnsi="Cambria Math"/>
                      <w:i/>
                    </w:rPr>
                  </m:ctrlPr>
                </m:sSubPr>
                <m:e>
                  <m:r>
                    <w:rPr>
                      <w:rFonts w:ascii="Cambria Math" w:hAnsi="Cambria Math"/>
                    </w:rPr>
                    <m:t>Cost</m:t>
                  </m:r>
                </m:e>
                <m:sub>
                  <m:r>
                    <w:rPr>
                      <w:rFonts w:ascii="Cambria Math" w:hAnsi="Cambria Math"/>
                    </w:rPr>
                    <m:t>AAO</m:t>
                  </m:r>
                </m:sub>
              </m:sSub>
              <m:r>
                <w:rPr>
                  <w:rFonts w:ascii="Cambria Math" w:hAnsi="Cambria Math"/>
                </w:rPr>
                <m:t>=7.02+0.05DO-0.002</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+0.0033</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+0.0098</m:t>
              </m:r>
              <m:sSup>
                <m:sSupPr>
                  <m:ctrlPr>
                    <w:rPr>
                      <w:rFonts w:ascii="Cambria Math" w:hAnsi="Cambria Math"/>
                      <w:i/>
                    </w:rPr>
                  </m:ctrlPr>
                </m:sSupPr>
                <m:e>
                  <m:r>
                    <w:rPr>
                      <w:rFonts w:ascii="Cambria Math" w:hAnsi="Cambria Math"/>
                    </w:rPr>
                    <m:t>DO</m:t>
                  </m:r>
                </m:e>
                <m:sup>
                  <m:r>
                    <w:rPr>
                      <w:rFonts w:ascii="Cambria Math" w:hAnsi="Cambria Math"/>
                    </w:rPr>
                    <m:t>2</m:t>
                  </m:r>
                </m:sup>
              </m:sSup>
              <m:ctrlPr>
                <w:rPr>
                  <w:rFonts w:ascii="Cambria Math" w:eastAsia="Cambria Math" w:hAnsi="Cambria Math" w:cs="Cambria Math"/>
                  <w:i/>
                </w:rPr>
              </m:ctrlPr>
            </m:e>
            <m:e>
              <m:r>
                <w:rPr>
                  <w:rFonts w:ascii="Cambria Math" w:hAnsi="Cambria Math"/>
                </w:rPr>
                <m:t>+0.0001</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hint="eastAsia"/>
                        </w:rPr>
                        <m:t>int</m:t>
                      </m:r>
                    </m:sub>
                  </m:sSub>
                </m:e>
                <m:sup>
                  <m:r>
                    <w:rPr>
                      <w:rFonts w:ascii="Cambria Math" w:hAnsi="Cambria Math"/>
                    </w:rPr>
                    <m:t>2</m:t>
                  </m:r>
                </m:sup>
              </m:sSup>
              <m:r>
                <w:rPr>
                  <w:rFonts w:ascii="Cambria Math" w:hAnsi="Cambria Math"/>
                </w:rPr>
                <m:t>+0.000057</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ext</m:t>
                      </m:r>
                    </m:sub>
                  </m:sSub>
                </m:e>
                <m:sup>
                  <m:r>
                    <w:rPr>
                      <w:rFonts w:ascii="Cambria Math" w:hAnsi="Cambria Math"/>
                    </w:rPr>
                    <m:t>2</m:t>
                  </m:r>
                </m:sup>
              </m:sSup>
              <m:r>
                <w:rPr>
                  <w:rFonts w:ascii="Cambria Math" w:hAnsi="Cambria Math"/>
                </w:rPr>
                <m:t>+0.00007DO</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-0.000134DO</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+0.00003</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m:t>
              </m:r>
              <m:d>
                <m:dPr>
                  <m:ctrlPr>
                    <w:rPr>
                      <w:rFonts w:ascii="Cambria Math" w:hAnsi="Cambria Math"/>
                      <w:i/>
                    </w:rPr>
                  </m:ctrlPr>
                </m:dPr>
                <m:e>
                  <m:r>
                    <w:rPr>
                      <w:rFonts w:ascii="Cambria Math" w:hAnsi="Cambria Math"/>
                    </w:rPr>
                    <m:t>13</m:t>
                  </m:r>
                </m:e>
              </m:d>
            </m:e>
          </m:eqArr>
        </m:oMath>
      </m:oMathPara>
    </w:p>
    <w:p w14:paraId="19C032F4" w14:textId="77777777" w:rsidR="00AF1BF8" w:rsidRDefault="00000000">
      <m:oMathPara>
        <m:oMath>
          <m:eqArr>
            <m:eqArrPr>
              <m:maxDist m:val="1"/>
              <m:ctrlPr>
                <w:rPr>
                  <w:rFonts w:ascii="Cambria Math" w:hAnsi="Cambria Math"/>
                  <w:i/>
                </w:rPr>
              </m:ctrlPr>
            </m:eqArrPr>
            <m:e>
              <m:sSub>
                <m:sSubPr>
                  <m:ctrlPr>
                    <w:rPr>
                      <w:rFonts w:ascii="Cambria Math" w:hAnsi="Cambria Math"/>
                      <w:i/>
                    </w:rPr>
                  </m:ctrlPr>
                </m:sSubPr>
                <m:e>
                  <m:r>
                    <w:rPr>
                      <w:rFonts w:ascii="Cambria Math" w:hAnsi="Cambria Math"/>
                    </w:rPr>
                    <m:t>GHG</m:t>
                  </m:r>
                </m:e>
                <m:sub>
                  <m:r>
                    <w:rPr>
                      <w:rFonts w:ascii="Cambria Math" w:hAnsi="Cambria Math"/>
                    </w:rPr>
                    <m:t>AAO</m:t>
                  </m:r>
                </m:sub>
              </m:sSub>
              <m:r>
                <w:rPr>
                  <w:rFonts w:ascii="Cambria Math" w:hAnsi="Cambria Math"/>
                </w:rPr>
                <m:t>=77.54-0.89DO-0.17</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-0.11</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+0.27</m:t>
              </m:r>
              <m:sSup>
                <m:sSupPr>
                  <m:ctrlPr>
                    <w:rPr>
                      <w:rFonts w:ascii="Cambria Math" w:hAnsi="Cambria Math"/>
                      <w:i/>
                    </w:rPr>
                  </m:ctrlPr>
                </m:sSupPr>
                <m:e>
                  <m:r>
                    <w:rPr>
                      <w:rFonts w:ascii="Cambria Math" w:hAnsi="Cambria Math"/>
                    </w:rPr>
                    <m:t>DO</m:t>
                  </m:r>
                </m:e>
                <m:sup>
                  <m:r>
                    <w:rPr>
                      <w:rFonts w:ascii="Cambria Math" w:hAnsi="Cambria Math"/>
                    </w:rPr>
                    <m:t>2</m:t>
                  </m:r>
                </m:sup>
              </m:sSup>
              <m:ctrlPr>
                <w:rPr>
                  <w:rFonts w:ascii="Cambria Math" w:eastAsia="Cambria Math" w:hAnsi="Cambria Math" w:cs="Cambria Math"/>
                  <w:i/>
                </w:rPr>
              </m:ctrlPr>
            </m:e>
            <m:e>
              <m:r>
                <w:rPr>
                  <w:rFonts w:ascii="Cambria Math" w:hAnsi="Cambria Math"/>
                </w:rPr>
                <m:t>+0.00084</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hint="eastAsia"/>
                        </w:rPr>
                        <m:t>int</m:t>
                      </m:r>
                    </m:sub>
                  </m:sSub>
                </m:e>
                <m:sup>
                  <m:r>
                    <w:rPr>
                      <w:rFonts w:ascii="Cambria Math" w:hAnsi="Cambria Math"/>
                    </w:rPr>
                    <m:t>2</m:t>
                  </m:r>
                </m:sup>
              </m:sSup>
              <m:r>
                <w:rPr>
                  <w:rFonts w:ascii="Cambria Math" w:hAnsi="Cambria Math"/>
                </w:rPr>
                <m:t>+0.0011</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ext</m:t>
                      </m:r>
                    </m:sub>
                  </m:sSub>
                </m:e>
                <m:sup>
                  <m:r>
                    <w:rPr>
                      <w:rFonts w:ascii="Cambria Math" w:hAnsi="Cambria Math"/>
                    </w:rPr>
                    <m:t>2</m:t>
                  </m:r>
                </m:sup>
              </m:sSup>
              <m:r>
                <w:rPr>
                  <w:rFonts w:ascii="Cambria Math" w:hAnsi="Cambria Math"/>
                </w:rPr>
                <m:t>+0.00254DO</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+0.0016DO</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+0.000</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m:t>
              </m:r>
              <m:d>
                <m:dPr>
                  <m:ctrlPr>
                    <w:rPr>
                      <w:rFonts w:ascii="Cambria Math" w:hAnsi="Cambria Math"/>
                      <w:i/>
                    </w:rPr>
                  </m:ctrlPr>
                </m:dPr>
                <m:e>
                  <m:r>
                    <w:rPr>
                      <w:rFonts w:ascii="Cambria Math" w:hAnsi="Cambria Math"/>
                    </w:rPr>
                    <m:t>14</m:t>
                  </m:r>
                </m:e>
              </m:d>
            </m:e>
          </m:eqArr>
        </m:oMath>
      </m:oMathPara>
    </w:p>
    <w:p w14:paraId="7D6F82F1" w14:textId="77777777" w:rsidR="00AF1BF8" w:rsidRDefault="00000000">
      <w:r>
        <w:rPr>
          <w:rFonts w:hint="eastAsia"/>
        </w:rPr>
        <w:t>For the AO process:</w:t>
      </w:r>
    </w:p>
    <w:bookmarkEnd w:id="6"/>
    <w:p w14:paraId="39FF629E" w14:textId="77777777" w:rsidR="00AF1BF8" w:rsidRDefault="00000000">
      <m:oMathPara>
        <m:oMath>
          <m:eqArr>
            <m:eqArrPr>
              <m:maxDist m:val="1"/>
              <m:ctrlPr>
                <w:rPr>
                  <w:rFonts w:ascii="Cambria Math" w:hAnsi="Cambria Math"/>
                  <w:i/>
                </w:rPr>
              </m:ctrlPr>
            </m:eqArrPr>
            <m:e>
              <m:sSub>
                <m:sSubPr>
                  <m:ctrlPr>
                    <w:rPr>
                      <w:rFonts w:ascii="Cambria Math" w:hAnsi="Cambria Math"/>
                      <w:i/>
                    </w:rPr>
                  </m:ctrlPr>
                </m:sSubPr>
                <m:e>
                  <m:r>
                    <w:rPr>
                      <w:rFonts w:ascii="Cambria Math" w:hAnsi="Cambria Math"/>
                    </w:rPr>
                    <m:t>TN</m:t>
                  </m:r>
                </m:e>
                <m:sub>
                  <m:r>
                    <w:rPr>
                      <w:rFonts w:ascii="Cambria Math" w:hAnsi="Cambria Math"/>
                    </w:rPr>
                    <m:t>AO</m:t>
                  </m:r>
                </m:sub>
              </m:sSub>
              <m:r>
                <w:rPr>
                  <w:rFonts w:ascii="Cambria Math" w:hAnsi="Cambria Math"/>
                </w:rPr>
                <m:t>=31.94-3.08DO-0.049</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-0.250</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+0.70</m:t>
              </m:r>
              <m:sSup>
                <m:sSupPr>
                  <m:ctrlPr>
                    <w:rPr>
                      <w:rFonts w:ascii="Cambria Math" w:hAnsi="Cambria Math"/>
                      <w:i/>
                    </w:rPr>
                  </m:ctrlPr>
                </m:sSupPr>
                <m:e>
                  <m:r>
                    <w:rPr>
                      <w:rFonts w:ascii="Cambria Math" w:hAnsi="Cambria Math"/>
                    </w:rPr>
                    <m:t>DO</m:t>
                  </m:r>
                </m:e>
                <m:sup>
                  <m:r>
                    <w:rPr>
                      <w:rFonts w:ascii="Cambria Math" w:hAnsi="Cambria Math"/>
                    </w:rPr>
                    <m:t>2</m:t>
                  </m:r>
                </m:sup>
              </m:sSup>
              <m:ctrlPr>
                <w:rPr>
                  <w:rFonts w:ascii="Cambria Math" w:eastAsia="Cambria Math" w:hAnsi="Cambria Math" w:cs="Cambria Math"/>
                  <w:i/>
                </w:rPr>
              </m:ctrlPr>
            </m:e>
            <m:e>
              <m:r>
                <w:rPr>
                  <w:rFonts w:ascii="Cambria Math" w:hAnsi="Cambria Math"/>
                </w:rPr>
                <m:t>+0.0001</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hint="eastAsia"/>
                        </w:rPr>
                        <m:t>int</m:t>
                      </m:r>
                    </m:sub>
                  </m:sSub>
                </m:e>
                <m:sup>
                  <m:r>
                    <w:rPr>
                      <w:rFonts w:ascii="Cambria Math" w:hAnsi="Cambria Math"/>
                    </w:rPr>
                    <m:t>2</m:t>
                  </m:r>
                </m:sup>
              </m:sSup>
              <m:r>
                <w:rPr>
                  <w:rFonts w:ascii="Cambria Math" w:hAnsi="Cambria Math"/>
                </w:rPr>
                <m:t>+0.0016</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ext</m:t>
                      </m:r>
                    </m:sub>
                  </m:sSub>
                </m:e>
                <m:sup>
                  <m:r>
                    <w:rPr>
                      <w:rFonts w:ascii="Cambria Math" w:hAnsi="Cambria Math"/>
                    </w:rPr>
                    <m:t>2</m:t>
                  </m:r>
                </m:sup>
              </m:sSup>
              <m:r>
                <w:rPr>
                  <w:rFonts w:ascii="Cambria Math" w:hAnsi="Cambria Math"/>
                </w:rPr>
                <m:t>+0.006DO</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-0.016DO</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-0.00015</m:t>
              </m:r>
              <m:sSub>
                <m:sSubPr>
                  <m:ctrlPr>
                    <w:rPr>
                      <w:rFonts w:ascii="Cambria Math" w:hAnsi="Cambria Math"/>
                      <w:i/>
                    </w:rPr>
                  </m:ctrlPr>
                </m:sSubPr>
                <m:e>
                  <m:r>
                    <w:rPr>
                      <w:rFonts w:ascii="Cambria Math" w:hAnsi="Cambria Math"/>
                    </w:rPr>
                    <m:t>R</m:t>
                  </m:r>
                </m:e>
                <m:sub>
                  <m:r>
                    <w:rPr>
                      <w:rFonts w:ascii="Cambria Math" w:hAnsi="Cambria Math"/>
                    </w:rPr>
                    <m:t>ext</m:t>
                  </m:r>
                </m:sub>
              </m:sSub>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m:t>
              </m:r>
              <m:d>
                <m:dPr>
                  <m:ctrlPr>
                    <w:rPr>
                      <w:rFonts w:ascii="Cambria Math" w:hAnsi="Cambria Math"/>
                      <w:i/>
                    </w:rPr>
                  </m:ctrlPr>
                </m:dPr>
                <m:e>
                  <m:r>
                    <w:rPr>
                      <w:rFonts w:ascii="Cambria Math" w:hAnsi="Cambria Math"/>
                    </w:rPr>
                    <m:t>15</m:t>
                  </m:r>
                </m:e>
              </m:d>
            </m:e>
          </m:eqArr>
        </m:oMath>
      </m:oMathPara>
    </w:p>
    <w:p w14:paraId="15772609" w14:textId="77777777" w:rsidR="00AF1BF8" w:rsidRDefault="00000000">
      <m:oMathPara>
        <m:oMath>
          <m:eqArr>
            <m:eqArrPr>
              <m:maxDist m:val="1"/>
              <m:ctrlPr>
                <w:rPr>
                  <w:rFonts w:ascii="Cambria Math" w:hAnsi="Cambria Math"/>
                  <w:i/>
                </w:rPr>
              </m:ctrlPr>
            </m:eqArrPr>
            <m:e>
              <m:sSub>
                <m:sSubPr>
                  <m:ctrlPr>
                    <w:rPr>
                      <w:rFonts w:ascii="Cambria Math" w:hAnsi="Cambria Math"/>
                      <w:i/>
                    </w:rPr>
                  </m:ctrlPr>
                </m:sSubPr>
                <m:e>
                  <m:sSup>
                    <m:sSupPr>
                      <m:ctrlPr>
                        <w:rPr>
                          <w:rFonts w:ascii="Cambria Math" w:hAnsi="Cambria Math"/>
                          <w:i/>
                        </w:rPr>
                      </m:ctrlPr>
                    </m:sSupPr>
                    <m:e>
                      <m:sSub>
                        <m:sSubPr>
                          <m:ctrlPr>
                            <w:rPr>
                              <w:rFonts w:ascii="Cambria Math" w:hAnsi="Cambria Math"/>
                              <w:i/>
                            </w:rPr>
                          </m:ctrlPr>
                        </m:sSubPr>
                        <m:e>
                          <m:r>
                            <w:rPr>
                              <w:rFonts w:ascii="Cambria Math" w:hAnsi="Cambria Math"/>
                            </w:rPr>
                            <m:t>NH</m:t>
                          </m:r>
                        </m:e>
                        <m:sub>
                          <m:r>
                            <w:rPr>
                              <w:rFonts w:ascii="Cambria Math" w:hAnsi="Cambria Math"/>
                            </w:rPr>
                            <m:t>4</m:t>
                          </m:r>
                        </m:sub>
                      </m:sSub>
                    </m:e>
                    <m:sup>
                      <m:r>
                        <w:rPr>
                          <w:rFonts w:ascii="Cambria Math" w:hAnsi="Cambria Math"/>
                        </w:rPr>
                        <m:t>+</m:t>
                      </m:r>
                    </m:sup>
                  </m:sSup>
                  <m:r>
                    <w:rPr>
                      <w:rFonts w:ascii="Cambria Math" w:hAnsi="Cambria Math"/>
                    </w:rPr>
                    <m:t>-N</m:t>
                  </m:r>
                </m:e>
                <m:sub>
                  <m:r>
                    <w:rPr>
                      <w:rFonts w:ascii="Cambria Math" w:hAnsi="Cambria Math"/>
                    </w:rPr>
                    <m:t>AO</m:t>
                  </m:r>
                </m:sub>
              </m:sSub>
              <m:r>
                <w:rPr>
                  <w:rFonts w:ascii="Cambria Math" w:hAnsi="Cambria Math"/>
                </w:rPr>
                <m:t>=8.71-1.17DO-0.0017</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-0.110</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+0.12</m:t>
              </m:r>
              <m:sSup>
                <m:sSupPr>
                  <m:ctrlPr>
                    <w:rPr>
                      <w:rFonts w:ascii="Cambria Math" w:hAnsi="Cambria Math"/>
                      <w:i/>
                    </w:rPr>
                  </m:ctrlPr>
                </m:sSupPr>
                <m:e>
                  <m:r>
                    <w:rPr>
                      <w:rFonts w:ascii="Cambria Math" w:hAnsi="Cambria Math"/>
                    </w:rPr>
                    <m:t>DO</m:t>
                  </m:r>
                </m:e>
                <m:sup>
                  <m:r>
                    <w:rPr>
                      <w:rFonts w:ascii="Cambria Math" w:hAnsi="Cambria Math"/>
                    </w:rPr>
                    <m:t>2</m:t>
                  </m:r>
                </m:sup>
              </m:sSup>
              <m:ctrlPr>
                <w:rPr>
                  <w:rFonts w:ascii="Cambria Math" w:eastAsia="Cambria Math" w:hAnsi="Cambria Math" w:cs="Cambria Math"/>
                  <w:i/>
                </w:rPr>
              </m:ctrlPr>
            </m:e>
            <m:e>
              <m:r>
                <w:rPr>
                  <w:rFonts w:ascii="Cambria Math" w:hAnsi="Cambria Math"/>
                </w:rPr>
                <m:t>+0.00047</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hint="eastAsia"/>
                        </w:rPr>
                        <m:t>int</m:t>
                      </m:r>
                    </m:sub>
                  </m:sSub>
                </m:e>
                <m:sup>
                  <m:r>
                    <w:rPr>
                      <w:rFonts w:ascii="Cambria Math" w:hAnsi="Cambria Math"/>
                    </w:rPr>
                    <m:t>2</m:t>
                  </m:r>
                </m:sup>
              </m:sSup>
              <m:r>
                <w:rPr>
                  <w:rFonts w:ascii="Cambria Math" w:hAnsi="Cambria Math"/>
                </w:rPr>
                <m:t>-0.000014DO</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+0.0039DO</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+0.000011</m:t>
              </m:r>
              <m:sSub>
                <m:sSubPr>
                  <m:ctrlPr>
                    <w:rPr>
                      <w:rFonts w:ascii="Cambria Math" w:hAnsi="Cambria Math"/>
                      <w:i/>
                    </w:rPr>
                  </m:ctrlPr>
                </m:sSubPr>
                <m:e>
                  <m:r>
                    <w:rPr>
                      <w:rFonts w:ascii="Cambria Math" w:hAnsi="Cambria Math"/>
                    </w:rPr>
                    <m:t>R</m:t>
                  </m:r>
                </m:e>
                <m:sub>
                  <m:r>
                    <w:rPr>
                      <w:rFonts w:ascii="Cambria Math" w:hAnsi="Cambria Math"/>
                    </w:rPr>
                    <m:t>ext</m:t>
                  </m:r>
                </m:sub>
              </m:sSub>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m:t>
              </m:r>
              <m:d>
                <m:dPr>
                  <m:ctrlPr>
                    <w:rPr>
                      <w:rFonts w:ascii="Cambria Math" w:hAnsi="Cambria Math"/>
                      <w:i/>
                    </w:rPr>
                  </m:ctrlPr>
                </m:dPr>
                <m:e>
                  <m:r>
                    <w:rPr>
                      <w:rFonts w:ascii="Cambria Math" w:hAnsi="Cambria Math"/>
                    </w:rPr>
                    <m:t>16</m:t>
                  </m:r>
                </m:e>
              </m:d>
            </m:e>
          </m:eqArr>
        </m:oMath>
      </m:oMathPara>
    </w:p>
    <w:p w14:paraId="16FAEA8F" w14:textId="77777777" w:rsidR="00AF1BF8" w:rsidRDefault="00000000">
      <m:oMathPara>
        <m:oMath>
          <m:eqArr>
            <m:eqArrPr>
              <m:maxDist m:val="1"/>
              <m:ctrlPr>
                <w:rPr>
                  <w:rFonts w:ascii="Cambria Math" w:hAnsi="Cambria Math"/>
                  <w:i/>
                </w:rPr>
              </m:ctrlPr>
            </m:eqArrPr>
            <m:e>
              <m:sSub>
                <m:sSubPr>
                  <m:ctrlPr>
                    <w:rPr>
                      <w:rFonts w:ascii="Cambria Math" w:hAnsi="Cambria Math"/>
                      <w:i/>
                    </w:rPr>
                  </m:ctrlPr>
                </m:sSubPr>
                <m:e>
                  <m:r>
                    <w:rPr>
                      <w:rFonts w:ascii="Cambria Math" w:hAnsi="Cambria Math"/>
                    </w:rPr>
                    <m:t>Cost</m:t>
                  </m:r>
                </m:e>
                <m:sub>
                  <m:r>
                    <w:rPr>
                      <w:rFonts w:ascii="Cambria Math" w:hAnsi="Cambria Math"/>
                    </w:rPr>
                    <m:t>AO</m:t>
                  </m:r>
                </m:sub>
              </m:sSub>
              <m:r>
                <w:rPr>
                  <w:rFonts w:ascii="Cambria Math" w:hAnsi="Cambria Math"/>
                </w:rPr>
                <m:t>=11.39+0.017DO-0.067</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-0.0041</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+0.025</m:t>
              </m:r>
              <m:sSup>
                <m:sSupPr>
                  <m:ctrlPr>
                    <w:rPr>
                      <w:rFonts w:ascii="Cambria Math" w:hAnsi="Cambria Math"/>
                      <w:i/>
                    </w:rPr>
                  </m:ctrlPr>
                </m:sSupPr>
                <m:e>
                  <m:r>
                    <w:rPr>
                      <w:rFonts w:ascii="Cambria Math" w:hAnsi="Cambria Math"/>
                    </w:rPr>
                    <m:t>DO</m:t>
                  </m:r>
                </m:e>
                <m:sup>
                  <m:r>
                    <w:rPr>
                      <w:rFonts w:ascii="Cambria Math" w:hAnsi="Cambria Math"/>
                    </w:rPr>
                    <m:t>2</m:t>
                  </m:r>
                </m:sup>
              </m:sSup>
              <m:ctrlPr>
                <w:rPr>
                  <w:rFonts w:ascii="Cambria Math" w:eastAsia="Cambria Math" w:hAnsi="Cambria Math" w:cs="Cambria Math"/>
                  <w:i/>
                </w:rPr>
              </m:ctrlPr>
            </m:e>
            <m:e>
              <m:r>
                <w:rPr>
                  <w:rFonts w:ascii="Cambria Math" w:hAnsi="Cambria Math"/>
                </w:rPr>
                <m:t>+0.0003</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hint="eastAsia"/>
                        </w:rPr>
                        <m:t>int</m:t>
                      </m:r>
                    </m:sub>
                  </m:sSub>
                </m:e>
                <m:sup>
                  <m:r>
                    <w:rPr>
                      <w:rFonts w:ascii="Cambria Math" w:hAnsi="Cambria Math"/>
                    </w:rPr>
                    <m:t>2</m:t>
                  </m:r>
                </m:sup>
              </m:sSup>
              <m:r>
                <w:rPr>
                  <w:rFonts w:ascii="Cambria Math" w:hAnsi="Cambria Math"/>
                </w:rPr>
                <m:t>+0.00007</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ext</m:t>
                      </m:r>
                    </m:sub>
                  </m:sSub>
                </m:e>
                <m:sup>
                  <m:r>
                    <w:rPr>
                      <w:rFonts w:ascii="Cambria Math" w:hAnsi="Cambria Math"/>
                    </w:rPr>
                    <m:t>2</m:t>
                  </m:r>
                </m:sup>
              </m:sSup>
              <m:r>
                <w:rPr>
                  <w:rFonts w:ascii="Cambria Math" w:hAnsi="Cambria Math"/>
                </w:rPr>
                <m:t>+0.00007DO</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-0.00014DO</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-0.00031</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m:t>
              </m:r>
              <m:d>
                <m:dPr>
                  <m:ctrlPr>
                    <w:rPr>
                      <w:rFonts w:ascii="Cambria Math" w:hAnsi="Cambria Math"/>
                      <w:i/>
                    </w:rPr>
                  </m:ctrlPr>
                </m:dPr>
                <m:e>
                  <m:r>
                    <w:rPr>
                      <w:rFonts w:ascii="Cambria Math" w:hAnsi="Cambria Math"/>
                    </w:rPr>
                    <m:t>17</m:t>
                  </m:r>
                </m:e>
              </m:d>
            </m:e>
          </m:eqArr>
        </m:oMath>
      </m:oMathPara>
    </w:p>
    <w:p w14:paraId="330527C6" w14:textId="77777777" w:rsidR="00AF1BF8" w:rsidRDefault="00000000">
      <m:oMathPara>
        <m:oMath>
          <m:eqArr>
            <m:eqArrPr>
              <m:maxDist m:val="1"/>
              <m:ctrlPr>
                <w:rPr>
                  <w:rFonts w:ascii="Cambria Math" w:hAnsi="Cambria Math"/>
                  <w:i/>
                </w:rPr>
              </m:ctrlPr>
            </m:eqArrPr>
            <m:e>
              <m:sSub>
                <m:sSubPr>
                  <m:ctrlPr>
                    <w:rPr>
                      <w:rFonts w:ascii="Cambria Math" w:hAnsi="Cambria Math"/>
                      <w:i/>
                    </w:rPr>
                  </m:ctrlPr>
                </m:sSubPr>
                <m:e>
                  <m:r>
                    <w:rPr>
                      <w:rFonts w:ascii="Cambria Math" w:hAnsi="Cambria Math"/>
                    </w:rPr>
                    <m:t>GHG</m:t>
                  </m:r>
                </m:e>
                <m:sub>
                  <m:r>
                    <w:rPr>
                      <w:rFonts w:ascii="Cambria Math" w:hAnsi="Cambria Math"/>
                    </w:rPr>
                    <m:t>AO</m:t>
                  </m:r>
                </m:sub>
              </m:sSub>
              <m:r>
                <w:rPr>
                  <w:rFonts w:ascii="Cambria Math" w:hAnsi="Cambria Math"/>
                </w:rPr>
                <m:t>=136.20-4.85DO-0.58</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-0.55</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+0.91</m:t>
              </m:r>
              <m:sSup>
                <m:sSupPr>
                  <m:ctrlPr>
                    <w:rPr>
                      <w:rFonts w:ascii="Cambria Math" w:hAnsi="Cambria Math"/>
                      <w:i/>
                    </w:rPr>
                  </m:ctrlPr>
                </m:sSupPr>
                <m:e>
                  <m:r>
                    <w:rPr>
                      <w:rFonts w:ascii="Cambria Math" w:hAnsi="Cambria Math"/>
                    </w:rPr>
                    <m:t>DO</m:t>
                  </m:r>
                </m:e>
                <m:sup>
                  <m:r>
                    <w:rPr>
                      <w:rFonts w:ascii="Cambria Math" w:hAnsi="Cambria Math"/>
                    </w:rPr>
                    <m:t>2</m:t>
                  </m:r>
                </m:sup>
              </m:sSup>
              <m:ctrlPr>
                <w:rPr>
                  <w:rFonts w:ascii="Cambria Math" w:eastAsia="Cambria Math" w:hAnsi="Cambria Math" w:cs="Cambria Math"/>
                  <w:i/>
                </w:rPr>
              </m:ctrlPr>
            </m:e>
            <m:e>
              <m:r>
                <w:rPr>
                  <w:rFonts w:ascii="Cambria Math" w:hAnsi="Cambria Math"/>
                </w:rPr>
                <m:t>+0.0026</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hint="eastAsia"/>
                        </w:rPr>
                        <m:t>int</m:t>
                      </m:r>
                    </m:sub>
                  </m:sSub>
                </m:e>
                <m:sup>
                  <m:r>
                    <w:rPr>
                      <w:rFonts w:ascii="Cambria Math" w:hAnsi="Cambria Math"/>
                    </w:rPr>
                    <m:t>2</m:t>
                  </m:r>
                </m:sup>
              </m:sSup>
              <m:r>
                <w:rPr>
                  <w:rFonts w:ascii="Cambria Math" w:hAnsi="Cambria Math"/>
                </w:rPr>
                <m:t>+0.0032</m:t>
              </m:r>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ext</m:t>
                      </m:r>
                    </m:sub>
                  </m:sSub>
                </m:e>
                <m:sup>
                  <m:r>
                    <w:rPr>
                      <w:rFonts w:ascii="Cambria Math" w:hAnsi="Cambria Math"/>
                    </w:rPr>
                    <m:t>2</m:t>
                  </m:r>
                </m:sup>
              </m:sSup>
              <m:r>
                <w:rPr>
                  <w:rFonts w:ascii="Cambria Math" w:hAnsi="Cambria Math"/>
                </w:rPr>
                <m:t>+0.0058DO</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+0.0028DO</m:t>
              </m:r>
              <m:sSub>
                <m:sSubPr>
                  <m:ctrlPr>
                    <w:rPr>
                      <w:rFonts w:ascii="Cambria Math" w:hAnsi="Cambria Math"/>
                      <w:i/>
                    </w:rPr>
                  </m:ctrlPr>
                </m:sSubPr>
                <m:e>
                  <m:r>
                    <w:rPr>
                      <w:rFonts w:ascii="Cambria Math" w:hAnsi="Cambria Math"/>
                    </w:rPr>
                    <m:t>R</m:t>
                  </m:r>
                </m:e>
                <m:sub>
                  <m:r>
                    <w:rPr>
                      <w:rFonts w:ascii="Cambria Math" w:hAnsi="Cambria Math"/>
                    </w:rPr>
                    <m:t>ext</m:t>
                  </m:r>
                </m:sub>
              </m:sSub>
              <m:r>
                <w:rPr>
                  <w:rFonts w:ascii="Cambria Math" w:hAnsi="Cambria Math"/>
                </w:rPr>
                <m:t>-0.0028</m:t>
              </m:r>
              <m:sSub>
                <m:sSubPr>
                  <m:ctrlPr>
                    <w:rPr>
                      <w:rFonts w:ascii="Cambria Math" w:hAnsi="Cambria Math"/>
                      <w:i/>
                    </w:rPr>
                  </m:ctrlPr>
                </m:sSubPr>
                <m:e>
                  <m:r>
                    <w:rPr>
                      <w:rFonts w:ascii="Cambria Math" w:hAnsi="Cambria Math"/>
                    </w:rPr>
                    <m:t>R</m:t>
                  </m:r>
                </m:e>
                <m:sub>
                  <m:r>
                    <w:rPr>
                      <w:rFonts w:ascii="Cambria Math" w:hAnsi="Cambria Math" w:hint="eastAsia"/>
                    </w:rPr>
                    <m:t>int</m:t>
                  </m:r>
                </m:sub>
              </m:sSub>
              <m:r>
                <w:rPr>
                  <w:rFonts w:ascii="Cambria Math" w:hAnsi="Cambria Math"/>
                </w:rPr>
                <m:t>#</m:t>
              </m:r>
              <m:d>
                <m:dPr>
                  <m:ctrlPr>
                    <w:rPr>
                      <w:rFonts w:ascii="Cambria Math" w:hAnsi="Cambria Math"/>
                      <w:i/>
                    </w:rPr>
                  </m:ctrlPr>
                </m:dPr>
                <m:e>
                  <m:r>
                    <w:rPr>
                      <w:rFonts w:ascii="Cambria Math" w:hAnsi="Cambria Math"/>
                    </w:rPr>
                    <m:t>18</m:t>
                  </m:r>
                </m:e>
              </m:d>
            </m:e>
          </m:eqArr>
        </m:oMath>
      </m:oMathPara>
    </w:p>
    <w:p w14:paraId="67D396C4" w14:textId="77777777" w:rsidR="00AF1BF8" w:rsidRDefault="00000000">
      <w:pPr>
        <w:keepNext/>
        <w:keepLines/>
        <w:spacing w:before="10" w:after="10"/>
        <w:outlineLvl w:val="1"/>
        <w:rPr>
          <w:rFonts w:eastAsiaTheme="majorEastAsia" w:cs="Times New Roman"/>
          <w:color w:val="4472C4" w:themeColor="accent1"/>
          <w:sz w:val="24"/>
          <w:szCs w:val="24"/>
        </w:rPr>
      </w:pPr>
      <w:r>
        <w:rPr>
          <w:rFonts w:eastAsiaTheme="majorEastAsia" w:cs="Times New Roman"/>
          <w:color w:val="4472C4" w:themeColor="accent1"/>
          <w:sz w:val="24"/>
          <w:szCs w:val="24"/>
        </w:rPr>
        <w:t xml:space="preserve">Text </w:t>
      </w:r>
      <w:proofErr w:type="spellStart"/>
      <w:r>
        <w:rPr>
          <w:rFonts w:eastAsiaTheme="majorEastAsia" w:cs="Times New Roman" w:hint="eastAsia"/>
          <w:color w:val="4472C4" w:themeColor="accent1"/>
          <w:sz w:val="24"/>
          <w:szCs w:val="24"/>
        </w:rPr>
        <w:t>A.5.4</w:t>
      </w:r>
      <w:proofErr w:type="spellEnd"/>
      <w:r>
        <w:rPr>
          <w:rFonts w:eastAsiaTheme="majorEastAsia" w:cs="Times New Roman"/>
          <w:color w:val="4472C4" w:themeColor="accent1"/>
          <w:sz w:val="24"/>
          <w:szCs w:val="24"/>
        </w:rPr>
        <w:t>. Model adequacy of response surface models</w:t>
      </w:r>
    </w:p>
    <w:p w14:paraId="3B4BD41D" w14:textId="77777777" w:rsidR="00AF1BF8" w:rsidRDefault="00000000">
      <w:pPr>
        <w:ind w:firstLineChars="200" w:firstLine="420"/>
      </w:pPr>
      <w:r>
        <w:t xml:space="preserve">The response surface models showed acceptable fitting performance for subsequent optimization. The coefficients of determination were generally close to 1, and the coefficients of variation were below 10%, indicating good model reliability. The predicted </w:t>
      </w:r>
      <w:r>
        <w:rPr>
          <w:i/>
          <w:iCs/>
        </w:rPr>
        <w:t>R</w:t>
      </w:r>
      <w:r>
        <w:rPr>
          <w:vertAlign w:val="superscript"/>
        </w:rPr>
        <w:t>2</w:t>
      </w:r>
      <w:r>
        <w:rPr>
          <w:rFonts w:hint="eastAsia"/>
        </w:rPr>
        <w:t xml:space="preserve"> </w:t>
      </w:r>
      <w:r>
        <w:t>values of the TN models were lower than those of the other responses, suggesting that TN was affected by more complex interactions under I/I disturbance</w:t>
      </w:r>
      <w:r>
        <w:rPr>
          <w:rFonts w:hint="eastAsia"/>
        </w:rPr>
        <w:t xml:space="preserve"> (</w:t>
      </w:r>
      <w:r>
        <w:rPr>
          <w:rFonts w:hint="eastAsia"/>
          <w:color w:val="4472C4" w:themeColor="accent1"/>
        </w:rPr>
        <w:t xml:space="preserve">Table </w:t>
      </w:r>
      <w:proofErr w:type="spellStart"/>
      <w:r>
        <w:rPr>
          <w:rFonts w:hint="eastAsia"/>
          <w:color w:val="4472C4" w:themeColor="accent1"/>
        </w:rPr>
        <w:t>A12</w:t>
      </w:r>
      <w:proofErr w:type="spellEnd"/>
      <w:r>
        <w:rPr>
          <w:rFonts w:hint="eastAsia"/>
        </w:rPr>
        <w:t>)</w:t>
      </w:r>
      <w:r>
        <w:t>. Nevertheless, the overall fitting statistics and significance tests indicated that the models were sufficient for identifying operational trends and Pareto‑optimal regions.</w:t>
      </w:r>
    </w:p>
    <w:p w14:paraId="6715407D" w14:textId="77777777" w:rsidR="00AF1BF8" w:rsidRDefault="00000000">
      <w:pPr>
        <w:ind w:firstLineChars="200" w:firstLine="420"/>
        <w:jc w:val="center"/>
      </w:pPr>
      <w:r>
        <w:rPr>
          <w:color w:val="4472C4" w:themeColor="accent1"/>
        </w:rPr>
        <w:lastRenderedPageBreak/>
        <w:t xml:space="preserve">Table </w:t>
      </w:r>
      <w:proofErr w:type="spellStart"/>
      <w:r>
        <w:rPr>
          <w:color w:val="4472C4" w:themeColor="accent1"/>
        </w:rPr>
        <w:t>A1</w:t>
      </w:r>
      <w:r>
        <w:rPr>
          <w:rFonts w:hint="eastAsia"/>
          <w:color w:val="4472C4" w:themeColor="accent1"/>
        </w:rPr>
        <w:t>2</w:t>
      </w:r>
      <w:proofErr w:type="spellEnd"/>
      <w:r>
        <w:t xml:space="preserve"> Goodness‑of‑fit statistics of response surface surrogate models.</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836"/>
        <w:gridCol w:w="864"/>
        <w:gridCol w:w="864"/>
        <w:gridCol w:w="829"/>
        <w:gridCol w:w="1141"/>
        <w:gridCol w:w="1238"/>
        <w:gridCol w:w="1109"/>
      </w:tblGrid>
      <w:tr w:rsidR="00AF1BF8" w14:paraId="100D6479" w14:textId="77777777">
        <w:tc>
          <w:tcPr>
            <w:tcW w:w="1415" w:type="dxa"/>
            <w:tcBorders>
              <w:top w:val="single" w:sz="12" w:space="0" w:color="auto"/>
              <w:bottom w:val="single" w:sz="4" w:space="0" w:color="auto"/>
            </w:tcBorders>
            <w:vAlign w:val="center"/>
          </w:tcPr>
          <w:p w14:paraId="3557E117" w14:textId="77777777" w:rsidR="00AF1BF8" w:rsidRDefault="00000000">
            <w:pPr>
              <w:jc w:val="center"/>
              <w:rPr>
                <w:kern w:val="0"/>
                <w:szCs w:val="21"/>
              </w:rPr>
            </w:pPr>
            <w:r>
              <w:rPr>
                <w:kern w:val="0"/>
                <w:szCs w:val="21"/>
              </w:rPr>
              <w:t>Model</w:t>
            </w:r>
          </w:p>
        </w:tc>
        <w:tc>
          <w:tcPr>
            <w:tcW w:w="836" w:type="dxa"/>
            <w:tcBorders>
              <w:top w:val="single" w:sz="12" w:space="0" w:color="auto"/>
              <w:bottom w:val="single" w:sz="4" w:space="0" w:color="auto"/>
            </w:tcBorders>
            <w:vAlign w:val="center"/>
          </w:tcPr>
          <w:p w14:paraId="0762F57E" w14:textId="77777777" w:rsidR="00AF1BF8" w:rsidRDefault="00000000">
            <w:pPr>
              <w:jc w:val="center"/>
              <w:rPr>
                <w:kern w:val="0"/>
                <w:szCs w:val="21"/>
              </w:rPr>
            </w:pPr>
            <w:r>
              <w:rPr>
                <w:kern w:val="0"/>
                <w:szCs w:val="21"/>
              </w:rPr>
              <w:t>Std. Dev.</w:t>
            </w:r>
          </w:p>
        </w:tc>
        <w:tc>
          <w:tcPr>
            <w:tcW w:w="864" w:type="dxa"/>
            <w:tcBorders>
              <w:top w:val="single" w:sz="12" w:space="0" w:color="auto"/>
              <w:bottom w:val="single" w:sz="4" w:space="0" w:color="auto"/>
            </w:tcBorders>
            <w:vAlign w:val="center"/>
          </w:tcPr>
          <w:p w14:paraId="7A7096D8" w14:textId="77777777" w:rsidR="00AF1BF8" w:rsidRDefault="00000000">
            <w:pPr>
              <w:jc w:val="center"/>
              <w:rPr>
                <w:kern w:val="0"/>
                <w:szCs w:val="21"/>
              </w:rPr>
            </w:pPr>
            <w:r>
              <w:rPr>
                <w:kern w:val="0"/>
                <w:szCs w:val="21"/>
              </w:rPr>
              <w:t>Mean</w:t>
            </w:r>
          </w:p>
        </w:tc>
        <w:tc>
          <w:tcPr>
            <w:tcW w:w="864" w:type="dxa"/>
            <w:tcBorders>
              <w:top w:val="single" w:sz="12" w:space="0" w:color="auto"/>
              <w:bottom w:val="single" w:sz="4" w:space="0" w:color="auto"/>
            </w:tcBorders>
            <w:vAlign w:val="center"/>
          </w:tcPr>
          <w:p w14:paraId="4C57E5E3" w14:textId="77777777" w:rsidR="00AF1BF8" w:rsidRDefault="00000000">
            <w:pPr>
              <w:jc w:val="center"/>
              <w:rPr>
                <w:kern w:val="0"/>
                <w:szCs w:val="21"/>
              </w:rPr>
            </w:pPr>
            <w:r>
              <w:rPr>
                <w:kern w:val="0"/>
                <w:szCs w:val="21"/>
              </w:rPr>
              <w:t>C.V. (%)</w:t>
            </w:r>
          </w:p>
        </w:tc>
        <w:tc>
          <w:tcPr>
            <w:tcW w:w="829" w:type="dxa"/>
            <w:tcBorders>
              <w:top w:val="single" w:sz="12" w:space="0" w:color="auto"/>
              <w:bottom w:val="single" w:sz="4" w:space="0" w:color="auto"/>
            </w:tcBorders>
            <w:vAlign w:val="center"/>
          </w:tcPr>
          <w:p w14:paraId="631B1466" w14:textId="77777777" w:rsidR="00AF1BF8" w:rsidRDefault="00000000">
            <w:pPr>
              <w:jc w:val="center"/>
              <w:rPr>
                <w:kern w:val="0"/>
                <w:szCs w:val="21"/>
              </w:rPr>
            </w:pPr>
            <w:r>
              <w:rPr>
                <w:rFonts w:hint="eastAsia"/>
                <w:i/>
                <w:iCs/>
                <w:kern w:val="0"/>
                <w:szCs w:val="21"/>
              </w:rPr>
              <w:t>R</w:t>
            </w:r>
            <w:r>
              <w:rPr>
                <w:rFonts w:hint="eastAsia"/>
                <w:kern w:val="0"/>
                <w:szCs w:val="21"/>
                <w:vertAlign w:val="superscript"/>
              </w:rPr>
              <w:t>2</w:t>
            </w:r>
          </w:p>
        </w:tc>
        <w:tc>
          <w:tcPr>
            <w:tcW w:w="1141" w:type="dxa"/>
            <w:tcBorders>
              <w:top w:val="single" w:sz="12" w:space="0" w:color="auto"/>
              <w:bottom w:val="single" w:sz="4" w:space="0" w:color="auto"/>
            </w:tcBorders>
            <w:vAlign w:val="center"/>
          </w:tcPr>
          <w:p w14:paraId="20EA6C37" w14:textId="77777777" w:rsidR="00AF1BF8" w:rsidRDefault="00000000">
            <w:pPr>
              <w:jc w:val="center"/>
              <w:rPr>
                <w:kern w:val="0"/>
                <w:szCs w:val="21"/>
              </w:rPr>
            </w:pPr>
            <w:r>
              <w:rPr>
                <w:kern w:val="0"/>
                <w:szCs w:val="21"/>
              </w:rPr>
              <w:t>Adjusted</w:t>
            </w:r>
            <w:r>
              <w:rPr>
                <w:rFonts w:hint="eastAsia"/>
                <w:kern w:val="0"/>
                <w:szCs w:val="21"/>
              </w:rPr>
              <w:t xml:space="preserve"> </w:t>
            </w:r>
            <w:r>
              <w:rPr>
                <w:rFonts w:hint="eastAsia"/>
                <w:i/>
                <w:iCs/>
                <w:kern w:val="0"/>
                <w:szCs w:val="21"/>
              </w:rPr>
              <w:t>R</w:t>
            </w:r>
            <w:r>
              <w:rPr>
                <w:rFonts w:hint="eastAsia"/>
                <w:kern w:val="0"/>
                <w:szCs w:val="21"/>
                <w:vertAlign w:val="superscript"/>
              </w:rPr>
              <w:t>2</w:t>
            </w:r>
          </w:p>
        </w:tc>
        <w:tc>
          <w:tcPr>
            <w:tcW w:w="1238" w:type="dxa"/>
            <w:tcBorders>
              <w:top w:val="single" w:sz="12" w:space="0" w:color="auto"/>
              <w:bottom w:val="single" w:sz="4" w:space="0" w:color="auto"/>
            </w:tcBorders>
            <w:vAlign w:val="center"/>
          </w:tcPr>
          <w:p w14:paraId="5C4647AE" w14:textId="77777777" w:rsidR="00AF1BF8" w:rsidRDefault="00000000">
            <w:pPr>
              <w:jc w:val="center"/>
              <w:rPr>
                <w:kern w:val="0"/>
                <w:szCs w:val="21"/>
              </w:rPr>
            </w:pPr>
            <w:r>
              <w:rPr>
                <w:rFonts w:hint="eastAsia"/>
                <w:kern w:val="0"/>
                <w:szCs w:val="21"/>
              </w:rPr>
              <w:t xml:space="preserve">Predicted </w:t>
            </w:r>
            <w:r>
              <w:rPr>
                <w:rFonts w:hint="eastAsia"/>
                <w:i/>
                <w:iCs/>
                <w:kern w:val="0"/>
                <w:szCs w:val="21"/>
              </w:rPr>
              <w:t>R</w:t>
            </w:r>
            <w:r>
              <w:rPr>
                <w:rFonts w:hint="eastAsia"/>
                <w:kern w:val="0"/>
                <w:szCs w:val="21"/>
                <w:vertAlign w:val="superscript"/>
              </w:rPr>
              <w:t>2</w:t>
            </w:r>
          </w:p>
        </w:tc>
        <w:tc>
          <w:tcPr>
            <w:tcW w:w="1109" w:type="dxa"/>
            <w:tcBorders>
              <w:top w:val="single" w:sz="12" w:space="0" w:color="auto"/>
              <w:bottom w:val="single" w:sz="4" w:space="0" w:color="auto"/>
            </w:tcBorders>
            <w:vAlign w:val="center"/>
          </w:tcPr>
          <w:p w14:paraId="0F38C5EA" w14:textId="77777777" w:rsidR="00AF1BF8" w:rsidRDefault="00000000">
            <w:pPr>
              <w:jc w:val="center"/>
              <w:rPr>
                <w:kern w:val="0"/>
                <w:szCs w:val="21"/>
              </w:rPr>
            </w:pPr>
            <w:proofErr w:type="spellStart"/>
            <w:r>
              <w:rPr>
                <w:kern w:val="0"/>
                <w:szCs w:val="21"/>
              </w:rPr>
              <w:t>Adeq</w:t>
            </w:r>
            <w:proofErr w:type="spellEnd"/>
            <w:r>
              <w:rPr>
                <w:kern w:val="0"/>
                <w:szCs w:val="21"/>
              </w:rPr>
              <w:t>. Precision</w:t>
            </w:r>
          </w:p>
        </w:tc>
      </w:tr>
      <w:tr w:rsidR="00AF1BF8" w14:paraId="53861154" w14:textId="77777777">
        <w:tc>
          <w:tcPr>
            <w:tcW w:w="1415" w:type="dxa"/>
            <w:tcBorders>
              <w:top w:val="single" w:sz="4" w:space="0" w:color="auto"/>
            </w:tcBorders>
            <w:vAlign w:val="center"/>
          </w:tcPr>
          <w:p w14:paraId="6CD42DDA" w14:textId="77777777" w:rsidR="00AF1BF8" w:rsidRDefault="00000000">
            <w:pPr>
              <w:jc w:val="center"/>
              <w:rPr>
                <w:kern w:val="0"/>
                <w:szCs w:val="21"/>
              </w:rPr>
            </w:pPr>
            <w:r>
              <w:rPr>
                <w:kern w:val="0"/>
                <w:szCs w:val="21"/>
              </w:rPr>
              <w:t>AAO‑TN</w:t>
            </w:r>
          </w:p>
        </w:tc>
        <w:tc>
          <w:tcPr>
            <w:tcW w:w="836" w:type="dxa"/>
            <w:tcBorders>
              <w:top w:val="single" w:sz="4" w:space="0" w:color="auto"/>
            </w:tcBorders>
            <w:vAlign w:val="center"/>
          </w:tcPr>
          <w:p w14:paraId="22EFF15E" w14:textId="77777777" w:rsidR="00AF1BF8" w:rsidRDefault="00000000">
            <w:pPr>
              <w:jc w:val="center"/>
              <w:rPr>
                <w:kern w:val="0"/>
                <w:szCs w:val="21"/>
              </w:rPr>
            </w:pPr>
            <w:r>
              <w:rPr>
                <w:rFonts w:hint="eastAsia"/>
                <w:kern w:val="0"/>
                <w:szCs w:val="21"/>
              </w:rPr>
              <w:t>0.2615</w:t>
            </w:r>
          </w:p>
        </w:tc>
        <w:tc>
          <w:tcPr>
            <w:tcW w:w="864" w:type="dxa"/>
            <w:tcBorders>
              <w:top w:val="single" w:sz="4" w:space="0" w:color="auto"/>
            </w:tcBorders>
            <w:vAlign w:val="center"/>
          </w:tcPr>
          <w:p w14:paraId="6A0B6FA6" w14:textId="77777777" w:rsidR="00AF1BF8" w:rsidRDefault="00000000">
            <w:pPr>
              <w:jc w:val="center"/>
              <w:rPr>
                <w:kern w:val="0"/>
                <w:szCs w:val="21"/>
              </w:rPr>
            </w:pPr>
            <w:r>
              <w:rPr>
                <w:rFonts w:hint="eastAsia"/>
                <w:kern w:val="0"/>
                <w:szCs w:val="21"/>
              </w:rPr>
              <w:t>12.60</w:t>
            </w:r>
          </w:p>
        </w:tc>
        <w:tc>
          <w:tcPr>
            <w:tcW w:w="864" w:type="dxa"/>
            <w:tcBorders>
              <w:top w:val="single" w:sz="4" w:space="0" w:color="auto"/>
            </w:tcBorders>
            <w:vAlign w:val="center"/>
          </w:tcPr>
          <w:p w14:paraId="53C71E9A" w14:textId="77777777" w:rsidR="00AF1BF8" w:rsidRDefault="00000000">
            <w:pPr>
              <w:jc w:val="center"/>
              <w:rPr>
                <w:kern w:val="0"/>
                <w:szCs w:val="21"/>
              </w:rPr>
            </w:pPr>
            <w:r>
              <w:rPr>
                <w:rFonts w:hint="eastAsia"/>
                <w:kern w:val="0"/>
                <w:szCs w:val="21"/>
              </w:rPr>
              <w:t>2.0700</w:t>
            </w:r>
          </w:p>
        </w:tc>
        <w:tc>
          <w:tcPr>
            <w:tcW w:w="829" w:type="dxa"/>
            <w:tcBorders>
              <w:top w:val="single" w:sz="4" w:space="0" w:color="auto"/>
            </w:tcBorders>
            <w:vAlign w:val="center"/>
          </w:tcPr>
          <w:p w14:paraId="18EDD7FC" w14:textId="77777777" w:rsidR="00AF1BF8" w:rsidRDefault="00000000">
            <w:pPr>
              <w:jc w:val="center"/>
              <w:rPr>
                <w:kern w:val="0"/>
                <w:szCs w:val="21"/>
              </w:rPr>
            </w:pPr>
            <w:r>
              <w:rPr>
                <w:rFonts w:hint="eastAsia"/>
                <w:kern w:val="0"/>
                <w:szCs w:val="21"/>
              </w:rPr>
              <w:t>0.9842</w:t>
            </w:r>
          </w:p>
        </w:tc>
        <w:tc>
          <w:tcPr>
            <w:tcW w:w="1141" w:type="dxa"/>
            <w:tcBorders>
              <w:top w:val="single" w:sz="4" w:space="0" w:color="auto"/>
            </w:tcBorders>
            <w:vAlign w:val="center"/>
          </w:tcPr>
          <w:p w14:paraId="77839072" w14:textId="77777777" w:rsidR="00AF1BF8" w:rsidRDefault="00000000">
            <w:pPr>
              <w:jc w:val="center"/>
              <w:rPr>
                <w:kern w:val="0"/>
                <w:szCs w:val="21"/>
              </w:rPr>
            </w:pPr>
            <w:r>
              <w:rPr>
                <w:rFonts w:hint="eastAsia"/>
                <w:kern w:val="0"/>
                <w:szCs w:val="21"/>
              </w:rPr>
              <w:t>0.9557</w:t>
            </w:r>
          </w:p>
        </w:tc>
        <w:tc>
          <w:tcPr>
            <w:tcW w:w="1238" w:type="dxa"/>
            <w:tcBorders>
              <w:top w:val="single" w:sz="4" w:space="0" w:color="auto"/>
            </w:tcBorders>
            <w:vAlign w:val="center"/>
          </w:tcPr>
          <w:p w14:paraId="0D496492" w14:textId="77777777" w:rsidR="00AF1BF8" w:rsidRDefault="00000000">
            <w:pPr>
              <w:jc w:val="center"/>
              <w:rPr>
                <w:kern w:val="0"/>
                <w:szCs w:val="21"/>
              </w:rPr>
            </w:pPr>
            <w:r>
              <w:rPr>
                <w:rFonts w:hint="eastAsia"/>
                <w:kern w:val="0"/>
                <w:szCs w:val="21"/>
              </w:rPr>
              <w:t>0.7471</w:t>
            </w:r>
          </w:p>
        </w:tc>
        <w:tc>
          <w:tcPr>
            <w:tcW w:w="1109" w:type="dxa"/>
            <w:tcBorders>
              <w:top w:val="single" w:sz="4" w:space="0" w:color="auto"/>
            </w:tcBorders>
            <w:vAlign w:val="center"/>
          </w:tcPr>
          <w:p w14:paraId="53A3F1F4" w14:textId="77777777" w:rsidR="00AF1BF8" w:rsidRDefault="00000000">
            <w:pPr>
              <w:jc w:val="center"/>
              <w:rPr>
                <w:kern w:val="0"/>
                <w:szCs w:val="21"/>
              </w:rPr>
            </w:pPr>
            <w:r>
              <w:rPr>
                <w:rFonts w:hint="eastAsia"/>
                <w:kern w:val="0"/>
                <w:szCs w:val="21"/>
              </w:rPr>
              <w:t>18.9634</w:t>
            </w:r>
          </w:p>
        </w:tc>
      </w:tr>
      <w:tr w:rsidR="00AF1BF8" w14:paraId="3E9F06A8" w14:textId="77777777">
        <w:tc>
          <w:tcPr>
            <w:tcW w:w="1415" w:type="dxa"/>
            <w:vAlign w:val="center"/>
          </w:tcPr>
          <w:p w14:paraId="5953AEBD" w14:textId="77777777" w:rsidR="00AF1BF8" w:rsidRDefault="00000000">
            <w:pPr>
              <w:jc w:val="center"/>
              <w:rPr>
                <w:kern w:val="0"/>
                <w:szCs w:val="21"/>
              </w:rPr>
            </w:pPr>
            <w:r>
              <w:rPr>
                <w:kern w:val="0"/>
                <w:szCs w:val="21"/>
              </w:rPr>
              <w:t>AO‑TN</w:t>
            </w:r>
          </w:p>
        </w:tc>
        <w:tc>
          <w:tcPr>
            <w:tcW w:w="836" w:type="dxa"/>
            <w:vAlign w:val="center"/>
          </w:tcPr>
          <w:p w14:paraId="7A635FB9" w14:textId="77777777" w:rsidR="00AF1BF8" w:rsidRDefault="00000000">
            <w:pPr>
              <w:jc w:val="center"/>
              <w:rPr>
                <w:kern w:val="0"/>
                <w:szCs w:val="21"/>
              </w:rPr>
            </w:pPr>
            <w:r>
              <w:rPr>
                <w:rFonts w:hint="eastAsia"/>
                <w:kern w:val="0"/>
                <w:szCs w:val="21"/>
              </w:rPr>
              <w:t>0.9499</w:t>
            </w:r>
          </w:p>
        </w:tc>
        <w:tc>
          <w:tcPr>
            <w:tcW w:w="864" w:type="dxa"/>
            <w:vAlign w:val="center"/>
          </w:tcPr>
          <w:p w14:paraId="515C3EF5" w14:textId="77777777" w:rsidR="00AF1BF8" w:rsidRDefault="00000000">
            <w:pPr>
              <w:jc w:val="center"/>
              <w:rPr>
                <w:kern w:val="0"/>
                <w:szCs w:val="21"/>
              </w:rPr>
            </w:pPr>
            <w:r>
              <w:rPr>
                <w:rFonts w:hint="eastAsia"/>
                <w:kern w:val="0"/>
                <w:szCs w:val="21"/>
              </w:rPr>
              <w:t>14.22</w:t>
            </w:r>
          </w:p>
        </w:tc>
        <w:tc>
          <w:tcPr>
            <w:tcW w:w="864" w:type="dxa"/>
            <w:vAlign w:val="center"/>
          </w:tcPr>
          <w:p w14:paraId="5AE8157E" w14:textId="77777777" w:rsidR="00AF1BF8" w:rsidRDefault="00000000">
            <w:pPr>
              <w:jc w:val="center"/>
              <w:rPr>
                <w:kern w:val="0"/>
                <w:szCs w:val="21"/>
              </w:rPr>
            </w:pPr>
            <w:r>
              <w:rPr>
                <w:rFonts w:hint="eastAsia"/>
                <w:kern w:val="0"/>
                <w:szCs w:val="21"/>
              </w:rPr>
              <w:t>6.6800</w:t>
            </w:r>
          </w:p>
        </w:tc>
        <w:tc>
          <w:tcPr>
            <w:tcW w:w="829" w:type="dxa"/>
            <w:vAlign w:val="center"/>
          </w:tcPr>
          <w:p w14:paraId="148D7079" w14:textId="77777777" w:rsidR="00AF1BF8" w:rsidRDefault="00000000">
            <w:pPr>
              <w:jc w:val="center"/>
              <w:rPr>
                <w:kern w:val="0"/>
                <w:szCs w:val="21"/>
              </w:rPr>
            </w:pPr>
            <w:r>
              <w:rPr>
                <w:rFonts w:hint="eastAsia"/>
                <w:kern w:val="0"/>
                <w:szCs w:val="21"/>
              </w:rPr>
              <w:t>0.9670</w:t>
            </w:r>
          </w:p>
        </w:tc>
        <w:tc>
          <w:tcPr>
            <w:tcW w:w="1141" w:type="dxa"/>
            <w:vAlign w:val="center"/>
          </w:tcPr>
          <w:p w14:paraId="11208270" w14:textId="77777777" w:rsidR="00AF1BF8" w:rsidRDefault="00000000">
            <w:pPr>
              <w:jc w:val="center"/>
              <w:rPr>
                <w:kern w:val="0"/>
                <w:szCs w:val="21"/>
              </w:rPr>
            </w:pPr>
            <w:r>
              <w:rPr>
                <w:rFonts w:hint="eastAsia"/>
                <w:kern w:val="0"/>
                <w:szCs w:val="21"/>
              </w:rPr>
              <w:t>0.9075</w:t>
            </w:r>
          </w:p>
        </w:tc>
        <w:tc>
          <w:tcPr>
            <w:tcW w:w="1238" w:type="dxa"/>
            <w:vAlign w:val="center"/>
          </w:tcPr>
          <w:p w14:paraId="2738CA2C" w14:textId="77777777" w:rsidR="00AF1BF8" w:rsidRDefault="00000000">
            <w:pPr>
              <w:jc w:val="center"/>
              <w:rPr>
                <w:kern w:val="0"/>
                <w:szCs w:val="21"/>
              </w:rPr>
            </w:pPr>
            <w:r>
              <w:rPr>
                <w:rFonts w:hint="eastAsia"/>
                <w:kern w:val="0"/>
                <w:szCs w:val="21"/>
              </w:rPr>
              <w:t>0.7716</w:t>
            </w:r>
          </w:p>
        </w:tc>
        <w:tc>
          <w:tcPr>
            <w:tcW w:w="1109" w:type="dxa"/>
            <w:vAlign w:val="center"/>
          </w:tcPr>
          <w:p w14:paraId="48B0B866" w14:textId="77777777" w:rsidR="00AF1BF8" w:rsidRDefault="00000000">
            <w:pPr>
              <w:jc w:val="center"/>
              <w:rPr>
                <w:kern w:val="0"/>
                <w:szCs w:val="21"/>
              </w:rPr>
            </w:pPr>
            <w:r>
              <w:rPr>
                <w:rFonts w:hint="eastAsia"/>
                <w:kern w:val="0"/>
                <w:szCs w:val="21"/>
              </w:rPr>
              <w:t>11.1570</w:t>
            </w:r>
          </w:p>
        </w:tc>
      </w:tr>
      <w:tr w:rsidR="00AF1BF8" w14:paraId="0B43B572" w14:textId="77777777">
        <w:tc>
          <w:tcPr>
            <w:tcW w:w="1415" w:type="dxa"/>
            <w:vAlign w:val="center"/>
          </w:tcPr>
          <w:p w14:paraId="75CF408E" w14:textId="77777777" w:rsidR="00AF1BF8" w:rsidRDefault="00000000">
            <w:pPr>
              <w:jc w:val="center"/>
              <w:rPr>
                <w:kern w:val="0"/>
                <w:szCs w:val="21"/>
              </w:rPr>
            </w:pPr>
            <w:r>
              <w:rPr>
                <w:kern w:val="0"/>
                <w:szCs w:val="21"/>
              </w:rPr>
              <w:t>AAO‑NH</w:t>
            </w:r>
            <w:r>
              <w:rPr>
                <w:rFonts w:hint="eastAsia"/>
                <w:kern w:val="0"/>
                <w:szCs w:val="21"/>
                <w:vertAlign w:val="subscript"/>
              </w:rPr>
              <w:t>4</w:t>
            </w:r>
            <w:r>
              <w:rPr>
                <w:rFonts w:hint="eastAsia"/>
                <w:kern w:val="0"/>
                <w:szCs w:val="21"/>
                <w:vertAlign w:val="superscript"/>
              </w:rPr>
              <w:t>+</w:t>
            </w:r>
            <w:r>
              <w:rPr>
                <w:kern w:val="0"/>
                <w:szCs w:val="21"/>
              </w:rPr>
              <w:t>‑N</w:t>
            </w:r>
          </w:p>
        </w:tc>
        <w:tc>
          <w:tcPr>
            <w:tcW w:w="836" w:type="dxa"/>
            <w:vAlign w:val="center"/>
          </w:tcPr>
          <w:p w14:paraId="2AEC8C83" w14:textId="77777777" w:rsidR="00AF1BF8" w:rsidRDefault="00000000">
            <w:pPr>
              <w:jc w:val="center"/>
              <w:rPr>
                <w:kern w:val="0"/>
                <w:szCs w:val="21"/>
              </w:rPr>
            </w:pPr>
            <w:r>
              <w:rPr>
                <w:rFonts w:hint="eastAsia"/>
                <w:kern w:val="0"/>
                <w:szCs w:val="21"/>
              </w:rPr>
              <w:t>0.0607</w:t>
            </w:r>
          </w:p>
        </w:tc>
        <w:tc>
          <w:tcPr>
            <w:tcW w:w="864" w:type="dxa"/>
            <w:vAlign w:val="center"/>
          </w:tcPr>
          <w:p w14:paraId="4FD73A0E" w14:textId="77777777" w:rsidR="00AF1BF8" w:rsidRDefault="00000000">
            <w:pPr>
              <w:jc w:val="center"/>
              <w:rPr>
                <w:kern w:val="0"/>
                <w:szCs w:val="21"/>
              </w:rPr>
            </w:pPr>
            <w:r>
              <w:rPr>
                <w:rFonts w:hint="eastAsia"/>
                <w:kern w:val="0"/>
                <w:szCs w:val="21"/>
              </w:rPr>
              <w:t>2.84</w:t>
            </w:r>
          </w:p>
        </w:tc>
        <w:tc>
          <w:tcPr>
            <w:tcW w:w="864" w:type="dxa"/>
            <w:vAlign w:val="center"/>
          </w:tcPr>
          <w:p w14:paraId="0EDB1B55" w14:textId="77777777" w:rsidR="00AF1BF8" w:rsidRDefault="00000000">
            <w:pPr>
              <w:jc w:val="center"/>
              <w:rPr>
                <w:kern w:val="0"/>
                <w:szCs w:val="21"/>
              </w:rPr>
            </w:pPr>
            <w:r>
              <w:rPr>
                <w:rFonts w:hint="eastAsia"/>
                <w:kern w:val="0"/>
                <w:szCs w:val="21"/>
              </w:rPr>
              <w:t>2.1400</w:t>
            </w:r>
          </w:p>
        </w:tc>
        <w:tc>
          <w:tcPr>
            <w:tcW w:w="829" w:type="dxa"/>
            <w:vAlign w:val="center"/>
          </w:tcPr>
          <w:p w14:paraId="06B4431B" w14:textId="77777777" w:rsidR="00AF1BF8" w:rsidRDefault="00000000">
            <w:pPr>
              <w:jc w:val="center"/>
              <w:rPr>
                <w:kern w:val="0"/>
                <w:szCs w:val="21"/>
              </w:rPr>
            </w:pPr>
            <w:r>
              <w:rPr>
                <w:rFonts w:hint="eastAsia"/>
                <w:kern w:val="0"/>
                <w:szCs w:val="21"/>
              </w:rPr>
              <w:t>0.9983</w:t>
            </w:r>
          </w:p>
        </w:tc>
        <w:tc>
          <w:tcPr>
            <w:tcW w:w="1141" w:type="dxa"/>
            <w:vAlign w:val="center"/>
          </w:tcPr>
          <w:p w14:paraId="4C7F1144" w14:textId="77777777" w:rsidR="00AF1BF8" w:rsidRDefault="00000000">
            <w:pPr>
              <w:jc w:val="center"/>
              <w:rPr>
                <w:kern w:val="0"/>
                <w:szCs w:val="21"/>
              </w:rPr>
            </w:pPr>
            <w:r>
              <w:rPr>
                <w:rFonts w:hint="eastAsia"/>
                <w:kern w:val="0"/>
                <w:szCs w:val="21"/>
              </w:rPr>
              <w:t>0.9953</w:t>
            </w:r>
          </w:p>
        </w:tc>
        <w:tc>
          <w:tcPr>
            <w:tcW w:w="1238" w:type="dxa"/>
            <w:vAlign w:val="center"/>
          </w:tcPr>
          <w:p w14:paraId="41C628DB" w14:textId="77777777" w:rsidR="00AF1BF8" w:rsidRDefault="00000000">
            <w:pPr>
              <w:jc w:val="center"/>
              <w:rPr>
                <w:kern w:val="0"/>
                <w:szCs w:val="21"/>
              </w:rPr>
            </w:pPr>
            <w:r>
              <w:rPr>
                <w:rFonts w:hint="eastAsia"/>
                <w:kern w:val="0"/>
                <w:szCs w:val="21"/>
              </w:rPr>
              <w:t>0.9729</w:t>
            </w:r>
          </w:p>
        </w:tc>
        <w:tc>
          <w:tcPr>
            <w:tcW w:w="1109" w:type="dxa"/>
            <w:vAlign w:val="center"/>
          </w:tcPr>
          <w:p w14:paraId="6A1A3A83" w14:textId="77777777" w:rsidR="00AF1BF8" w:rsidRDefault="00000000">
            <w:pPr>
              <w:jc w:val="center"/>
              <w:rPr>
                <w:kern w:val="0"/>
                <w:szCs w:val="21"/>
              </w:rPr>
            </w:pPr>
            <w:r>
              <w:rPr>
                <w:rFonts w:hint="eastAsia"/>
                <w:kern w:val="0"/>
                <w:szCs w:val="21"/>
              </w:rPr>
              <w:t>58.9699</w:t>
            </w:r>
          </w:p>
        </w:tc>
      </w:tr>
      <w:tr w:rsidR="00AF1BF8" w14:paraId="416B10C6" w14:textId="77777777">
        <w:tc>
          <w:tcPr>
            <w:tcW w:w="1415" w:type="dxa"/>
            <w:vAlign w:val="center"/>
          </w:tcPr>
          <w:p w14:paraId="3F948193" w14:textId="77777777" w:rsidR="00AF1BF8" w:rsidRDefault="00000000">
            <w:pPr>
              <w:jc w:val="center"/>
              <w:rPr>
                <w:kern w:val="0"/>
                <w:szCs w:val="21"/>
              </w:rPr>
            </w:pPr>
            <w:r>
              <w:rPr>
                <w:kern w:val="0"/>
                <w:szCs w:val="21"/>
              </w:rPr>
              <w:t>AO‑NH</w:t>
            </w:r>
            <w:r>
              <w:rPr>
                <w:rFonts w:hint="eastAsia"/>
                <w:kern w:val="0"/>
                <w:szCs w:val="21"/>
                <w:vertAlign w:val="subscript"/>
              </w:rPr>
              <w:t>4</w:t>
            </w:r>
            <w:r>
              <w:rPr>
                <w:rFonts w:hint="eastAsia"/>
                <w:kern w:val="0"/>
                <w:szCs w:val="21"/>
                <w:vertAlign w:val="superscript"/>
              </w:rPr>
              <w:t>+</w:t>
            </w:r>
            <w:r>
              <w:rPr>
                <w:kern w:val="0"/>
                <w:szCs w:val="21"/>
              </w:rPr>
              <w:t>‑N</w:t>
            </w:r>
          </w:p>
        </w:tc>
        <w:tc>
          <w:tcPr>
            <w:tcW w:w="836" w:type="dxa"/>
            <w:vAlign w:val="center"/>
          </w:tcPr>
          <w:p w14:paraId="3F3BAFDB" w14:textId="77777777" w:rsidR="00AF1BF8" w:rsidRDefault="00000000">
            <w:pPr>
              <w:jc w:val="center"/>
              <w:rPr>
                <w:kern w:val="0"/>
                <w:szCs w:val="21"/>
              </w:rPr>
            </w:pPr>
            <w:r>
              <w:rPr>
                <w:rFonts w:hint="eastAsia"/>
                <w:kern w:val="0"/>
                <w:szCs w:val="21"/>
              </w:rPr>
              <w:t>0.0878</w:t>
            </w:r>
          </w:p>
        </w:tc>
        <w:tc>
          <w:tcPr>
            <w:tcW w:w="864" w:type="dxa"/>
            <w:vAlign w:val="center"/>
          </w:tcPr>
          <w:p w14:paraId="6FD63B06" w14:textId="77777777" w:rsidR="00AF1BF8" w:rsidRDefault="00000000">
            <w:pPr>
              <w:jc w:val="center"/>
              <w:rPr>
                <w:kern w:val="0"/>
                <w:szCs w:val="21"/>
              </w:rPr>
            </w:pPr>
            <w:r>
              <w:rPr>
                <w:rFonts w:hint="eastAsia"/>
                <w:kern w:val="0"/>
                <w:szCs w:val="21"/>
              </w:rPr>
              <w:t>2.26</w:t>
            </w:r>
          </w:p>
        </w:tc>
        <w:tc>
          <w:tcPr>
            <w:tcW w:w="864" w:type="dxa"/>
            <w:vAlign w:val="center"/>
          </w:tcPr>
          <w:p w14:paraId="08A3468D" w14:textId="77777777" w:rsidR="00AF1BF8" w:rsidRDefault="00000000">
            <w:pPr>
              <w:jc w:val="center"/>
              <w:rPr>
                <w:kern w:val="0"/>
                <w:szCs w:val="21"/>
              </w:rPr>
            </w:pPr>
            <w:r>
              <w:rPr>
                <w:rFonts w:hint="eastAsia"/>
                <w:kern w:val="0"/>
                <w:szCs w:val="21"/>
              </w:rPr>
              <w:t>3.8900</w:t>
            </w:r>
          </w:p>
        </w:tc>
        <w:tc>
          <w:tcPr>
            <w:tcW w:w="829" w:type="dxa"/>
            <w:vAlign w:val="center"/>
          </w:tcPr>
          <w:p w14:paraId="7AD63BF4" w14:textId="77777777" w:rsidR="00AF1BF8" w:rsidRDefault="00000000">
            <w:pPr>
              <w:jc w:val="center"/>
              <w:rPr>
                <w:kern w:val="0"/>
                <w:szCs w:val="21"/>
              </w:rPr>
            </w:pPr>
            <w:r>
              <w:rPr>
                <w:rFonts w:hint="eastAsia"/>
                <w:kern w:val="0"/>
                <w:szCs w:val="21"/>
              </w:rPr>
              <w:t>0.9954</w:t>
            </w:r>
          </w:p>
        </w:tc>
        <w:tc>
          <w:tcPr>
            <w:tcW w:w="1141" w:type="dxa"/>
            <w:vAlign w:val="center"/>
          </w:tcPr>
          <w:p w14:paraId="07C6EA58" w14:textId="77777777" w:rsidR="00AF1BF8" w:rsidRDefault="00000000">
            <w:pPr>
              <w:jc w:val="center"/>
              <w:rPr>
                <w:kern w:val="0"/>
                <w:szCs w:val="21"/>
              </w:rPr>
            </w:pPr>
            <w:r>
              <w:rPr>
                <w:rFonts w:hint="eastAsia"/>
                <w:kern w:val="0"/>
                <w:szCs w:val="21"/>
              </w:rPr>
              <w:t>0.9872</w:t>
            </w:r>
          </w:p>
        </w:tc>
        <w:tc>
          <w:tcPr>
            <w:tcW w:w="1238" w:type="dxa"/>
            <w:vAlign w:val="center"/>
          </w:tcPr>
          <w:p w14:paraId="7518D841" w14:textId="77777777" w:rsidR="00AF1BF8" w:rsidRDefault="00000000">
            <w:pPr>
              <w:jc w:val="center"/>
              <w:rPr>
                <w:kern w:val="0"/>
                <w:szCs w:val="21"/>
              </w:rPr>
            </w:pPr>
            <w:r>
              <w:rPr>
                <w:rFonts w:hint="eastAsia"/>
                <w:kern w:val="0"/>
                <w:szCs w:val="21"/>
              </w:rPr>
              <w:t>0.9270</w:t>
            </w:r>
          </w:p>
        </w:tc>
        <w:tc>
          <w:tcPr>
            <w:tcW w:w="1109" w:type="dxa"/>
            <w:vAlign w:val="center"/>
          </w:tcPr>
          <w:p w14:paraId="552D2ED9" w14:textId="77777777" w:rsidR="00AF1BF8" w:rsidRDefault="00000000">
            <w:pPr>
              <w:jc w:val="center"/>
              <w:rPr>
                <w:kern w:val="0"/>
                <w:szCs w:val="21"/>
              </w:rPr>
            </w:pPr>
            <w:r>
              <w:rPr>
                <w:rFonts w:hint="eastAsia"/>
                <w:kern w:val="0"/>
                <w:szCs w:val="21"/>
              </w:rPr>
              <w:t>36.8073</w:t>
            </w:r>
          </w:p>
        </w:tc>
      </w:tr>
      <w:tr w:rsidR="00AF1BF8" w14:paraId="1B6C03F1" w14:textId="77777777">
        <w:tc>
          <w:tcPr>
            <w:tcW w:w="1415" w:type="dxa"/>
            <w:vAlign w:val="center"/>
          </w:tcPr>
          <w:p w14:paraId="436F62E2" w14:textId="77777777" w:rsidR="00AF1BF8" w:rsidRDefault="00000000">
            <w:pPr>
              <w:jc w:val="center"/>
              <w:rPr>
                <w:kern w:val="0"/>
                <w:szCs w:val="21"/>
              </w:rPr>
            </w:pPr>
            <w:r>
              <w:rPr>
                <w:kern w:val="0"/>
                <w:szCs w:val="21"/>
              </w:rPr>
              <w:t>AAO‑Cost</w:t>
            </w:r>
          </w:p>
        </w:tc>
        <w:tc>
          <w:tcPr>
            <w:tcW w:w="836" w:type="dxa"/>
            <w:vAlign w:val="center"/>
          </w:tcPr>
          <w:p w14:paraId="2331419C" w14:textId="77777777" w:rsidR="00AF1BF8" w:rsidRDefault="00000000">
            <w:pPr>
              <w:jc w:val="center"/>
              <w:rPr>
                <w:kern w:val="0"/>
                <w:szCs w:val="21"/>
              </w:rPr>
            </w:pPr>
            <w:r>
              <w:rPr>
                <w:rFonts w:hint="eastAsia"/>
                <w:kern w:val="0"/>
                <w:szCs w:val="21"/>
              </w:rPr>
              <w:t>0.0145</w:t>
            </w:r>
          </w:p>
        </w:tc>
        <w:tc>
          <w:tcPr>
            <w:tcW w:w="864" w:type="dxa"/>
            <w:vAlign w:val="center"/>
          </w:tcPr>
          <w:p w14:paraId="33AEB86B" w14:textId="77777777" w:rsidR="00AF1BF8" w:rsidRDefault="00000000">
            <w:pPr>
              <w:jc w:val="center"/>
              <w:rPr>
                <w:kern w:val="0"/>
                <w:szCs w:val="21"/>
              </w:rPr>
            </w:pPr>
            <w:r>
              <w:rPr>
                <w:rFonts w:hint="eastAsia"/>
                <w:kern w:val="0"/>
                <w:szCs w:val="21"/>
              </w:rPr>
              <w:t>10.62</w:t>
            </w:r>
          </w:p>
        </w:tc>
        <w:tc>
          <w:tcPr>
            <w:tcW w:w="864" w:type="dxa"/>
            <w:vAlign w:val="center"/>
          </w:tcPr>
          <w:p w14:paraId="50E5A3EE" w14:textId="77777777" w:rsidR="00AF1BF8" w:rsidRDefault="00000000">
            <w:pPr>
              <w:jc w:val="center"/>
              <w:rPr>
                <w:kern w:val="0"/>
                <w:szCs w:val="21"/>
              </w:rPr>
            </w:pPr>
            <w:r>
              <w:rPr>
                <w:rFonts w:hint="eastAsia"/>
                <w:kern w:val="0"/>
                <w:szCs w:val="21"/>
              </w:rPr>
              <w:t>0.1366</w:t>
            </w:r>
          </w:p>
        </w:tc>
        <w:tc>
          <w:tcPr>
            <w:tcW w:w="829" w:type="dxa"/>
            <w:vAlign w:val="center"/>
          </w:tcPr>
          <w:p w14:paraId="14CED11B" w14:textId="77777777" w:rsidR="00AF1BF8" w:rsidRDefault="00000000">
            <w:pPr>
              <w:jc w:val="center"/>
              <w:rPr>
                <w:kern w:val="0"/>
                <w:szCs w:val="21"/>
              </w:rPr>
            </w:pPr>
            <w:r>
              <w:rPr>
                <w:rFonts w:hint="eastAsia"/>
                <w:kern w:val="0"/>
                <w:szCs w:val="21"/>
              </w:rPr>
              <w:t>1.0000</w:t>
            </w:r>
          </w:p>
        </w:tc>
        <w:tc>
          <w:tcPr>
            <w:tcW w:w="1141" w:type="dxa"/>
            <w:vAlign w:val="center"/>
          </w:tcPr>
          <w:p w14:paraId="5D38C502" w14:textId="77777777" w:rsidR="00AF1BF8" w:rsidRDefault="00000000">
            <w:pPr>
              <w:jc w:val="center"/>
              <w:rPr>
                <w:kern w:val="0"/>
                <w:szCs w:val="21"/>
              </w:rPr>
            </w:pPr>
            <w:r>
              <w:rPr>
                <w:rFonts w:hint="eastAsia"/>
                <w:kern w:val="0"/>
                <w:szCs w:val="21"/>
              </w:rPr>
              <w:t>1.0000</w:t>
            </w:r>
          </w:p>
        </w:tc>
        <w:tc>
          <w:tcPr>
            <w:tcW w:w="1238" w:type="dxa"/>
            <w:vAlign w:val="center"/>
          </w:tcPr>
          <w:p w14:paraId="65EAD383" w14:textId="77777777" w:rsidR="00AF1BF8" w:rsidRDefault="00000000">
            <w:pPr>
              <w:jc w:val="center"/>
              <w:rPr>
                <w:kern w:val="0"/>
                <w:szCs w:val="21"/>
              </w:rPr>
            </w:pPr>
            <w:r>
              <w:rPr>
                <w:rFonts w:hint="eastAsia"/>
                <w:kern w:val="0"/>
                <w:szCs w:val="21"/>
              </w:rPr>
              <w:t>0.9999</w:t>
            </w:r>
          </w:p>
        </w:tc>
        <w:tc>
          <w:tcPr>
            <w:tcW w:w="1109" w:type="dxa"/>
            <w:vAlign w:val="center"/>
          </w:tcPr>
          <w:p w14:paraId="7CC1371B" w14:textId="77777777" w:rsidR="00AF1BF8" w:rsidRDefault="00000000">
            <w:pPr>
              <w:jc w:val="center"/>
              <w:rPr>
                <w:kern w:val="0"/>
                <w:szCs w:val="21"/>
              </w:rPr>
            </w:pPr>
            <w:r>
              <w:rPr>
                <w:rFonts w:hint="eastAsia"/>
                <w:kern w:val="0"/>
                <w:szCs w:val="21"/>
              </w:rPr>
              <w:t>900.7151</w:t>
            </w:r>
          </w:p>
        </w:tc>
      </w:tr>
      <w:tr w:rsidR="00AF1BF8" w14:paraId="62EEAC3F" w14:textId="77777777">
        <w:tc>
          <w:tcPr>
            <w:tcW w:w="1415" w:type="dxa"/>
            <w:vAlign w:val="center"/>
          </w:tcPr>
          <w:p w14:paraId="19DFF537" w14:textId="77777777" w:rsidR="00AF1BF8" w:rsidRDefault="00000000">
            <w:pPr>
              <w:jc w:val="center"/>
              <w:rPr>
                <w:kern w:val="0"/>
                <w:szCs w:val="21"/>
              </w:rPr>
            </w:pPr>
            <w:r>
              <w:rPr>
                <w:kern w:val="0"/>
                <w:szCs w:val="21"/>
              </w:rPr>
              <w:t>AO‑Cost</w:t>
            </w:r>
          </w:p>
        </w:tc>
        <w:tc>
          <w:tcPr>
            <w:tcW w:w="836" w:type="dxa"/>
            <w:vAlign w:val="center"/>
          </w:tcPr>
          <w:p w14:paraId="3FCF0F74" w14:textId="77777777" w:rsidR="00AF1BF8" w:rsidRDefault="00000000">
            <w:pPr>
              <w:jc w:val="center"/>
              <w:rPr>
                <w:kern w:val="0"/>
                <w:szCs w:val="21"/>
              </w:rPr>
            </w:pPr>
            <w:r>
              <w:rPr>
                <w:rFonts w:hint="eastAsia"/>
                <w:kern w:val="0"/>
                <w:szCs w:val="21"/>
              </w:rPr>
              <w:t>0.0196</w:t>
            </w:r>
          </w:p>
        </w:tc>
        <w:tc>
          <w:tcPr>
            <w:tcW w:w="864" w:type="dxa"/>
            <w:vAlign w:val="center"/>
          </w:tcPr>
          <w:p w14:paraId="0590B221" w14:textId="77777777" w:rsidR="00AF1BF8" w:rsidRDefault="00000000">
            <w:pPr>
              <w:jc w:val="center"/>
              <w:rPr>
                <w:kern w:val="0"/>
                <w:szCs w:val="21"/>
              </w:rPr>
            </w:pPr>
            <w:r>
              <w:rPr>
                <w:rFonts w:hint="eastAsia"/>
                <w:kern w:val="0"/>
                <w:szCs w:val="21"/>
              </w:rPr>
              <w:t>17.64</w:t>
            </w:r>
          </w:p>
        </w:tc>
        <w:tc>
          <w:tcPr>
            <w:tcW w:w="864" w:type="dxa"/>
            <w:vAlign w:val="center"/>
          </w:tcPr>
          <w:p w14:paraId="1B0E5F6D" w14:textId="77777777" w:rsidR="00AF1BF8" w:rsidRDefault="00000000">
            <w:pPr>
              <w:jc w:val="center"/>
              <w:rPr>
                <w:kern w:val="0"/>
                <w:szCs w:val="21"/>
              </w:rPr>
            </w:pPr>
            <w:r>
              <w:rPr>
                <w:rFonts w:hint="eastAsia"/>
                <w:kern w:val="0"/>
                <w:szCs w:val="21"/>
              </w:rPr>
              <w:t>0.1108</w:t>
            </w:r>
          </w:p>
        </w:tc>
        <w:tc>
          <w:tcPr>
            <w:tcW w:w="829" w:type="dxa"/>
            <w:vAlign w:val="center"/>
          </w:tcPr>
          <w:p w14:paraId="116F9E5C" w14:textId="77777777" w:rsidR="00AF1BF8" w:rsidRDefault="00000000">
            <w:pPr>
              <w:jc w:val="center"/>
              <w:rPr>
                <w:kern w:val="0"/>
                <w:szCs w:val="21"/>
              </w:rPr>
            </w:pPr>
            <w:r>
              <w:rPr>
                <w:rFonts w:hint="eastAsia"/>
                <w:kern w:val="0"/>
                <w:szCs w:val="21"/>
              </w:rPr>
              <w:t>1.0000</w:t>
            </w:r>
          </w:p>
        </w:tc>
        <w:tc>
          <w:tcPr>
            <w:tcW w:w="1141" w:type="dxa"/>
            <w:vAlign w:val="center"/>
          </w:tcPr>
          <w:p w14:paraId="021AE706" w14:textId="77777777" w:rsidR="00AF1BF8" w:rsidRDefault="00000000">
            <w:pPr>
              <w:jc w:val="center"/>
              <w:rPr>
                <w:kern w:val="0"/>
                <w:szCs w:val="21"/>
              </w:rPr>
            </w:pPr>
            <w:r>
              <w:rPr>
                <w:rFonts w:hint="eastAsia"/>
                <w:kern w:val="0"/>
                <w:szCs w:val="21"/>
              </w:rPr>
              <w:t>1.0000</w:t>
            </w:r>
          </w:p>
        </w:tc>
        <w:tc>
          <w:tcPr>
            <w:tcW w:w="1238" w:type="dxa"/>
            <w:vAlign w:val="center"/>
          </w:tcPr>
          <w:p w14:paraId="5D1D7C1D" w14:textId="77777777" w:rsidR="00AF1BF8" w:rsidRDefault="00000000">
            <w:pPr>
              <w:jc w:val="center"/>
              <w:rPr>
                <w:kern w:val="0"/>
                <w:szCs w:val="21"/>
              </w:rPr>
            </w:pPr>
            <w:r>
              <w:rPr>
                <w:rFonts w:hint="eastAsia"/>
                <w:kern w:val="0"/>
                <w:szCs w:val="21"/>
              </w:rPr>
              <w:t>1.0000</w:t>
            </w:r>
          </w:p>
        </w:tc>
        <w:tc>
          <w:tcPr>
            <w:tcW w:w="1109" w:type="dxa"/>
            <w:vAlign w:val="center"/>
          </w:tcPr>
          <w:p w14:paraId="4F2F4173" w14:textId="77777777" w:rsidR="00AF1BF8" w:rsidRDefault="00000000">
            <w:pPr>
              <w:jc w:val="center"/>
              <w:rPr>
                <w:kern w:val="0"/>
                <w:szCs w:val="21"/>
              </w:rPr>
            </w:pPr>
            <w:r>
              <w:rPr>
                <w:rFonts w:hint="eastAsia"/>
                <w:kern w:val="0"/>
                <w:szCs w:val="21"/>
              </w:rPr>
              <w:t>1623.6872</w:t>
            </w:r>
          </w:p>
        </w:tc>
      </w:tr>
      <w:tr w:rsidR="00AF1BF8" w14:paraId="686EBA52" w14:textId="77777777">
        <w:tc>
          <w:tcPr>
            <w:tcW w:w="1415" w:type="dxa"/>
            <w:vAlign w:val="center"/>
          </w:tcPr>
          <w:p w14:paraId="7952D40F" w14:textId="77777777" w:rsidR="00AF1BF8" w:rsidRDefault="00000000">
            <w:pPr>
              <w:jc w:val="center"/>
              <w:rPr>
                <w:kern w:val="0"/>
                <w:szCs w:val="21"/>
              </w:rPr>
            </w:pPr>
            <w:r>
              <w:rPr>
                <w:kern w:val="0"/>
                <w:szCs w:val="21"/>
              </w:rPr>
              <w:t>AAO‑</w:t>
            </w:r>
            <w:r>
              <w:rPr>
                <w:rFonts w:hint="eastAsia"/>
                <w:kern w:val="0"/>
                <w:szCs w:val="21"/>
              </w:rPr>
              <w:t>GHG</w:t>
            </w:r>
          </w:p>
        </w:tc>
        <w:tc>
          <w:tcPr>
            <w:tcW w:w="836" w:type="dxa"/>
            <w:vAlign w:val="center"/>
          </w:tcPr>
          <w:p w14:paraId="799E4838" w14:textId="77777777" w:rsidR="00AF1BF8" w:rsidRDefault="00000000">
            <w:pPr>
              <w:jc w:val="center"/>
              <w:rPr>
                <w:kern w:val="0"/>
                <w:szCs w:val="21"/>
              </w:rPr>
            </w:pPr>
            <w:r>
              <w:rPr>
                <w:rFonts w:hint="eastAsia"/>
                <w:kern w:val="0"/>
                <w:szCs w:val="21"/>
              </w:rPr>
              <w:t>0.1851</w:t>
            </w:r>
          </w:p>
        </w:tc>
        <w:tc>
          <w:tcPr>
            <w:tcW w:w="864" w:type="dxa"/>
            <w:vAlign w:val="center"/>
          </w:tcPr>
          <w:p w14:paraId="48458773" w14:textId="77777777" w:rsidR="00AF1BF8" w:rsidRDefault="00000000">
            <w:pPr>
              <w:jc w:val="center"/>
              <w:rPr>
                <w:kern w:val="0"/>
                <w:szCs w:val="21"/>
              </w:rPr>
            </w:pPr>
            <w:r>
              <w:rPr>
                <w:rFonts w:hint="eastAsia"/>
                <w:kern w:val="0"/>
                <w:szCs w:val="21"/>
              </w:rPr>
              <w:t>102.03</w:t>
            </w:r>
          </w:p>
        </w:tc>
        <w:tc>
          <w:tcPr>
            <w:tcW w:w="864" w:type="dxa"/>
            <w:vAlign w:val="center"/>
          </w:tcPr>
          <w:p w14:paraId="2E6A3167" w14:textId="77777777" w:rsidR="00AF1BF8" w:rsidRDefault="00000000">
            <w:pPr>
              <w:jc w:val="center"/>
              <w:rPr>
                <w:kern w:val="0"/>
                <w:szCs w:val="21"/>
              </w:rPr>
            </w:pPr>
            <w:r>
              <w:rPr>
                <w:rFonts w:hint="eastAsia"/>
                <w:kern w:val="0"/>
                <w:szCs w:val="21"/>
              </w:rPr>
              <w:t>0.1815</w:t>
            </w:r>
          </w:p>
        </w:tc>
        <w:tc>
          <w:tcPr>
            <w:tcW w:w="829" w:type="dxa"/>
            <w:vAlign w:val="center"/>
          </w:tcPr>
          <w:p w14:paraId="3AF6021A" w14:textId="77777777" w:rsidR="00AF1BF8" w:rsidRDefault="00000000">
            <w:pPr>
              <w:jc w:val="center"/>
              <w:rPr>
                <w:kern w:val="0"/>
                <w:szCs w:val="21"/>
              </w:rPr>
            </w:pPr>
            <w:r>
              <w:rPr>
                <w:rFonts w:hint="eastAsia"/>
                <w:kern w:val="0"/>
                <w:szCs w:val="21"/>
              </w:rPr>
              <w:t>1.0000</w:t>
            </w:r>
          </w:p>
        </w:tc>
        <w:tc>
          <w:tcPr>
            <w:tcW w:w="1141" w:type="dxa"/>
            <w:vAlign w:val="center"/>
          </w:tcPr>
          <w:p w14:paraId="0ABB7671" w14:textId="77777777" w:rsidR="00AF1BF8" w:rsidRDefault="00000000">
            <w:pPr>
              <w:jc w:val="center"/>
              <w:rPr>
                <w:kern w:val="0"/>
                <w:szCs w:val="21"/>
              </w:rPr>
            </w:pPr>
            <w:r>
              <w:rPr>
                <w:rFonts w:hint="eastAsia"/>
                <w:kern w:val="0"/>
                <w:szCs w:val="21"/>
              </w:rPr>
              <w:t>1.0000</w:t>
            </w:r>
          </w:p>
        </w:tc>
        <w:tc>
          <w:tcPr>
            <w:tcW w:w="1238" w:type="dxa"/>
            <w:vAlign w:val="center"/>
          </w:tcPr>
          <w:p w14:paraId="54BB7C1B" w14:textId="77777777" w:rsidR="00AF1BF8" w:rsidRDefault="00000000">
            <w:pPr>
              <w:jc w:val="center"/>
              <w:rPr>
                <w:kern w:val="0"/>
                <w:szCs w:val="21"/>
              </w:rPr>
            </w:pPr>
            <w:r>
              <w:rPr>
                <w:rFonts w:hint="eastAsia"/>
                <w:kern w:val="0"/>
                <w:szCs w:val="21"/>
              </w:rPr>
              <w:t>0.9998</w:t>
            </w:r>
          </w:p>
        </w:tc>
        <w:tc>
          <w:tcPr>
            <w:tcW w:w="1109" w:type="dxa"/>
            <w:vAlign w:val="center"/>
          </w:tcPr>
          <w:p w14:paraId="3794F459" w14:textId="77777777" w:rsidR="00AF1BF8" w:rsidRDefault="00000000">
            <w:pPr>
              <w:jc w:val="center"/>
              <w:rPr>
                <w:kern w:val="0"/>
                <w:szCs w:val="21"/>
              </w:rPr>
            </w:pPr>
            <w:r>
              <w:rPr>
                <w:rFonts w:hint="eastAsia"/>
                <w:kern w:val="0"/>
                <w:szCs w:val="21"/>
              </w:rPr>
              <w:t>58.6727</w:t>
            </w:r>
          </w:p>
        </w:tc>
      </w:tr>
      <w:tr w:rsidR="00AF1BF8" w14:paraId="3F252CE2" w14:textId="77777777">
        <w:tc>
          <w:tcPr>
            <w:tcW w:w="1415" w:type="dxa"/>
            <w:tcBorders>
              <w:bottom w:val="single" w:sz="12" w:space="0" w:color="auto"/>
            </w:tcBorders>
            <w:vAlign w:val="center"/>
          </w:tcPr>
          <w:p w14:paraId="7AEEBA45" w14:textId="77777777" w:rsidR="00AF1BF8" w:rsidRDefault="00000000">
            <w:pPr>
              <w:jc w:val="center"/>
              <w:rPr>
                <w:kern w:val="0"/>
                <w:szCs w:val="21"/>
              </w:rPr>
            </w:pPr>
            <w:r>
              <w:rPr>
                <w:kern w:val="0"/>
                <w:szCs w:val="21"/>
              </w:rPr>
              <w:t>AO‑</w:t>
            </w:r>
            <w:r>
              <w:rPr>
                <w:rFonts w:hint="eastAsia"/>
                <w:kern w:val="0"/>
                <w:szCs w:val="21"/>
              </w:rPr>
              <w:t>GHG</w:t>
            </w:r>
          </w:p>
        </w:tc>
        <w:tc>
          <w:tcPr>
            <w:tcW w:w="836" w:type="dxa"/>
            <w:tcBorders>
              <w:bottom w:val="single" w:sz="12" w:space="0" w:color="auto"/>
            </w:tcBorders>
            <w:vAlign w:val="center"/>
          </w:tcPr>
          <w:p w14:paraId="336CEB25" w14:textId="77777777" w:rsidR="00AF1BF8" w:rsidRDefault="00000000">
            <w:pPr>
              <w:jc w:val="center"/>
              <w:rPr>
                <w:kern w:val="0"/>
                <w:szCs w:val="21"/>
              </w:rPr>
            </w:pPr>
            <w:r>
              <w:rPr>
                <w:rFonts w:hint="eastAsia"/>
                <w:kern w:val="0"/>
                <w:szCs w:val="21"/>
              </w:rPr>
              <w:t>1.04</w:t>
            </w:r>
          </w:p>
        </w:tc>
        <w:tc>
          <w:tcPr>
            <w:tcW w:w="864" w:type="dxa"/>
            <w:tcBorders>
              <w:bottom w:val="single" w:sz="12" w:space="0" w:color="auto"/>
            </w:tcBorders>
            <w:vAlign w:val="center"/>
          </w:tcPr>
          <w:p w14:paraId="7485AA81" w14:textId="77777777" w:rsidR="00AF1BF8" w:rsidRDefault="00000000">
            <w:pPr>
              <w:jc w:val="center"/>
              <w:rPr>
                <w:kern w:val="0"/>
                <w:szCs w:val="21"/>
              </w:rPr>
            </w:pPr>
            <w:r>
              <w:rPr>
                <w:rFonts w:hint="eastAsia"/>
                <w:kern w:val="0"/>
                <w:szCs w:val="21"/>
              </w:rPr>
              <w:t>161.29</w:t>
            </w:r>
          </w:p>
        </w:tc>
        <w:tc>
          <w:tcPr>
            <w:tcW w:w="864" w:type="dxa"/>
            <w:tcBorders>
              <w:bottom w:val="single" w:sz="12" w:space="0" w:color="auto"/>
            </w:tcBorders>
            <w:vAlign w:val="center"/>
          </w:tcPr>
          <w:p w14:paraId="46EAFC51" w14:textId="77777777" w:rsidR="00AF1BF8" w:rsidRDefault="00000000">
            <w:pPr>
              <w:jc w:val="center"/>
              <w:rPr>
                <w:kern w:val="0"/>
                <w:szCs w:val="21"/>
              </w:rPr>
            </w:pPr>
            <w:r>
              <w:rPr>
                <w:rFonts w:hint="eastAsia"/>
                <w:kern w:val="0"/>
                <w:szCs w:val="21"/>
              </w:rPr>
              <w:t>0.6442</w:t>
            </w:r>
          </w:p>
        </w:tc>
        <w:tc>
          <w:tcPr>
            <w:tcW w:w="829" w:type="dxa"/>
            <w:tcBorders>
              <w:bottom w:val="single" w:sz="12" w:space="0" w:color="auto"/>
            </w:tcBorders>
            <w:vAlign w:val="center"/>
          </w:tcPr>
          <w:p w14:paraId="3FDE872B" w14:textId="77777777" w:rsidR="00AF1BF8" w:rsidRDefault="00000000">
            <w:pPr>
              <w:jc w:val="center"/>
              <w:rPr>
                <w:kern w:val="0"/>
                <w:szCs w:val="21"/>
              </w:rPr>
            </w:pPr>
            <w:r>
              <w:rPr>
                <w:rFonts w:hint="eastAsia"/>
                <w:kern w:val="0"/>
                <w:szCs w:val="21"/>
              </w:rPr>
              <w:t>0.9999</w:t>
            </w:r>
          </w:p>
        </w:tc>
        <w:tc>
          <w:tcPr>
            <w:tcW w:w="1141" w:type="dxa"/>
            <w:tcBorders>
              <w:bottom w:val="single" w:sz="12" w:space="0" w:color="auto"/>
            </w:tcBorders>
            <w:vAlign w:val="center"/>
          </w:tcPr>
          <w:p w14:paraId="56F44AFF" w14:textId="77777777" w:rsidR="00AF1BF8" w:rsidRDefault="00000000">
            <w:pPr>
              <w:jc w:val="center"/>
              <w:rPr>
                <w:kern w:val="0"/>
                <w:szCs w:val="21"/>
              </w:rPr>
            </w:pPr>
            <w:r>
              <w:rPr>
                <w:rFonts w:hint="eastAsia"/>
                <w:kern w:val="0"/>
                <w:szCs w:val="21"/>
              </w:rPr>
              <w:t>0.9999</w:t>
            </w:r>
          </w:p>
        </w:tc>
        <w:tc>
          <w:tcPr>
            <w:tcW w:w="1238" w:type="dxa"/>
            <w:tcBorders>
              <w:bottom w:val="single" w:sz="12" w:space="0" w:color="auto"/>
            </w:tcBorders>
            <w:vAlign w:val="center"/>
          </w:tcPr>
          <w:p w14:paraId="74EDF253" w14:textId="77777777" w:rsidR="00AF1BF8" w:rsidRDefault="00000000">
            <w:pPr>
              <w:jc w:val="center"/>
              <w:rPr>
                <w:kern w:val="0"/>
                <w:szCs w:val="21"/>
              </w:rPr>
            </w:pPr>
            <w:r>
              <w:rPr>
                <w:rFonts w:hint="eastAsia"/>
                <w:kern w:val="0"/>
                <w:szCs w:val="21"/>
              </w:rPr>
              <w:t>0.9992</w:t>
            </w:r>
          </w:p>
        </w:tc>
        <w:tc>
          <w:tcPr>
            <w:tcW w:w="1109" w:type="dxa"/>
            <w:tcBorders>
              <w:bottom w:val="single" w:sz="12" w:space="0" w:color="auto"/>
            </w:tcBorders>
            <w:vAlign w:val="center"/>
          </w:tcPr>
          <w:p w14:paraId="67764440" w14:textId="77777777" w:rsidR="00AF1BF8" w:rsidRDefault="00000000">
            <w:pPr>
              <w:jc w:val="center"/>
              <w:rPr>
                <w:kern w:val="0"/>
                <w:szCs w:val="21"/>
              </w:rPr>
            </w:pPr>
            <w:r>
              <w:rPr>
                <w:rFonts w:hint="eastAsia"/>
                <w:kern w:val="0"/>
                <w:szCs w:val="21"/>
              </w:rPr>
              <w:t>262.4666</w:t>
            </w:r>
          </w:p>
        </w:tc>
      </w:tr>
    </w:tbl>
    <w:p w14:paraId="1037A795" w14:textId="77777777" w:rsidR="00AF1BF8" w:rsidRDefault="00000000">
      <w:pPr>
        <w:keepNext/>
        <w:keepLines/>
        <w:outlineLvl w:val="0"/>
        <w:rPr>
          <w:rFonts w:eastAsiaTheme="majorEastAsia" w:cs="Times New Roman"/>
          <w:color w:val="4472C4" w:themeColor="accent1"/>
          <w:sz w:val="28"/>
          <w:szCs w:val="28"/>
        </w:rPr>
      </w:pPr>
      <w:r>
        <w:rPr>
          <w:rFonts w:eastAsiaTheme="majorEastAsia" w:cs="Times New Roman"/>
          <w:color w:val="4472C4" w:themeColor="accent1"/>
          <w:sz w:val="28"/>
          <w:szCs w:val="28"/>
        </w:rPr>
        <w:t xml:space="preserve">Text </w:t>
      </w:r>
      <w:proofErr w:type="spellStart"/>
      <w:r>
        <w:rPr>
          <w:rFonts w:eastAsiaTheme="majorEastAsia" w:cs="Times New Roman" w:hint="eastAsia"/>
          <w:color w:val="4472C4" w:themeColor="accent1"/>
          <w:sz w:val="28"/>
          <w:szCs w:val="28"/>
        </w:rPr>
        <w:t>A.6</w:t>
      </w:r>
      <w:proofErr w:type="spellEnd"/>
      <w:r>
        <w:rPr>
          <w:rFonts w:eastAsiaTheme="majorEastAsia" w:cs="Times New Roman" w:hint="eastAsia"/>
          <w:color w:val="4472C4" w:themeColor="accent1"/>
          <w:sz w:val="28"/>
          <w:szCs w:val="28"/>
        </w:rPr>
        <w:t xml:space="preserve"> </w:t>
      </w:r>
      <w:r>
        <w:rPr>
          <w:rFonts w:eastAsiaTheme="majorEastAsia" w:cs="Times New Roman"/>
          <w:color w:val="4472C4" w:themeColor="accent1"/>
          <w:sz w:val="28"/>
          <w:szCs w:val="28"/>
        </w:rPr>
        <w:t>Machine learning-based quantification of inflow and infiltration</w:t>
      </w:r>
    </w:p>
    <w:p w14:paraId="4224AB90" w14:textId="3E21798E" w:rsidR="00AF1BF8" w:rsidRDefault="00B57233">
      <w:pPr>
        <w:pStyle w:val="af7"/>
        <w:ind w:firstLine="480"/>
      </w:pPr>
      <w:r>
        <w:object w:dxaOrig="6886" w:dyaOrig="5216" w14:anchorId="0708F4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43.7pt;height:260.45pt" o:ole="">
            <v:imagedata r:id="rId8" o:title="" croptop="4048f" cropbottom="2212f" cropleft="2222f" cropright="3907f"/>
          </v:shape>
          <o:OLEObject Type="Embed" ProgID="Origin95.Graph" ShapeID="_x0000_i1032" DrawAspect="Content" ObjectID="_1851613956" r:id="rId9"/>
        </w:object>
      </w:r>
    </w:p>
    <w:p w14:paraId="13D68224" w14:textId="77777777" w:rsidR="00AF1BF8" w:rsidRDefault="00000000">
      <w:pPr>
        <w:jc w:val="center"/>
        <w:rPr>
          <w:szCs w:val="21"/>
        </w:rPr>
      </w:pPr>
      <w:r>
        <w:rPr>
          <w:color w:val="4472C4" w:themeColor="accent1"/>
          <w:szCs w:val="21"/>
        </w:rPr>
        <w:t>Fig.</w:t>
      </w:r>
      <w:r>
        <w:rPr>
          <w:rFonts w:hint="eastAsia"/>
          <w:color w:val="4472C4" w:themeColor="accent1"/>
          <w:szCs w:val="21"/>
        </w:rPr>
        <w:t xml:space="preserve"> </w:t>
      </w:r>
      <w:r>
        <w:rPr>
          <w:color w:val="4472C4" w:themeColor="accent1"/>
          <w:szCs w:val="21"/>
        </w:rPr>
        <w:t>A1</w:t>
      </w:r>
      <w:r>
        <w:rPr>
          <w:szCs w:val="21"/>
        </w:rPr>
        <w:t xml:space="preserve"> 24-hour distribution characteristics of Influent data</w:t>
      </w:r>
    </w:p>
    <w:p w14:paraId="274B55DA" w14:textId="5D9B6DE2" w:rsidR="00AF1BF8" w:rsidRDefault="00B57233">
      <w:pPr>
        <w:pStyle w:val="af7"/>
        <w:jc w:val="center"/>
      </w:pPr>
      <w:r>
        <w:object w:dxaOrig="6758" w:dyaOrig="4939" w14:anchorId="7D969892">
          <v:shape id="_x0000_i1034" type="#_x0000_t75" style="width:338.1pt;height:247.3pt" o:ole="">
            <v:imagedata r:id="rId10" o:title="" cropbottom="3320f" cropright="76f"/>
          </v:shape>
          <o:OLEObject Type="Embed" ProgID="Origin95.Graph" ShapeID="_x0000_i1034" DrawAspect="Content" ObjectID="_1851613957" r:id="rId11"/>
        </w:object>
      </w:r>
    </w:p>
    <w:p w14:paraId="10295D92" w14:textId="77777777" w:rsidR="00AF1BF8" w:rsidRDefault="00000000">
      <w:pPr>
        <w:pStyle w:val="af7"/>
        <w:jc w:val="center"/>
        <w:rPr>
          <w:sz w:val="21"/>
          <w:szCs w:val="21"/>
        </w:rPr>
      </w:pPr>
      <w:bookmarkStart w:id="11" w:name="_Hlk232023432"/>
      <w:r>
        <w:rPr>
          <w:rFonts w:hint="eastAsia"/>
          <w:color w:val="4472C4" w:themeColor="accent1"/>
          <w:sz w:val="21"/>
          <w:szCs w:val="21"/>
        </w:rPr>
        <w:t xml:space="preserve">Fig. </w:t>
      </w:r>
      <w:proofErr w:type="spellStart"/>
      <w:r>
        <w:rPr>
          <w:rFonts w:hint="eastAsia"/>
          <w:color w:val="4472C4" w:themeColor="accent1"/>
          <w:sz w:val="21"/>
          <w:szCs w:val="21"/>
        </w:rPr>
        <w:t>A2</w:t>
      </w:r>
      <w:bookmarkEnd w:id="11"/>
      <w:proofErr w:type="spellEnd"/>
      <w:r>
        <w:rPr>
          <w:sz w:val="21"/>
          <w:szCs w:val="21"/>
        </w:rPr>
        <w:t xml:space="preserve"> Weekly distribution characteristics of influent data</w:t>
      </w:r>
    </w:p>
    <w:p w14:paraId="1DF7678F" w14:textId="77777777" w:rsidR="00AF1BF8" w:rsidRDefault="00AF1BF8">
      <w:pPr>
        <w:pStyle w:val="af7"/>
        <w:jc w:val="center"/>
        <w:rPr>
          <w:sz w:val="21"/>
          <w:szCs w:val="21"/>
        </w:rPr>
      </w:pPr>
    </w:p>
    <w:p w14:paraId="374C914C" w14:textId="77777777" w:rsidR="00AF1BF8" w:rsidRDefault="00000000">
      <w:pPr>
        <w:pStyle w:val="af7"/>
        <w:spacing w:line="360" w:lineRule="auto"/>
        <w:jc w:val="center"/>
        <w:rPr>
          <w:sz w:val="21"/>
          <w:szCs w:val="21"/>
        </w:rPr>
      </w:pPr>
      <w:r>
        <w:rPr>
          <w:color w:val="4472C4" w:themeColor="accent1"/>
          <w:sz w:val="21"/>
          <w:szCs w:val="21"/>
        </w:rPr>
        <w:t xml:space="preserve">Table </w:t>
      </w:r>
      <w:proofErr w:type="spellStart"/>
      <w:r>
        <w:rPr>
          <w:color w:val="4472C4" w:themeColor="accent1"/>
          <w:sz w:val="21"/>
          <w:szCs w:val="21"/>
        </w:rPr>
        <w:t>A1</w:t>
      </w:r>
      <w:r>
        <w:rPr>
          <w:rFonts w:hint="eastAsia"/>
          <w:color w:val="4472C4" w:themeColor="accent1"/>
          <w:sz w:val="21"/>
          <w:szCs w:val="21"/>
        </w:rPr>
        <w:t>3</w:t>
      </w:r>
      <w:proofErr w:type="spellEnd"/>
      <w:r>
        <w:rPr>
          <w:sz w:val="21"/>
          <w:szCs w:val="21"/>
        </w:rPr>
        <w:t xml:space="preserve"> Summary of performance evaluation of three models</w:t>
      </w:r>
    </w:p>
    <w:tbl>
      <w:tblPr>
        <w:tblStyle w:val="af"/>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800"/>
        <w:gridCol w:w="2077"/>
        <w:gridCol w:w="1801"/>
        <w:gridCol w:w="968"/>
        <w:gridCol w:w="1660"/>
      </w:tblGrid>
      <w:tr w:rsidR="00AF1BF8" w14:paraId="554B18EE" w14:textId="77777777">
        <w:tc>
          <w:tcPr>
            <w:tcW w:w="1084" w:type="pct"/>
            <w:tcBorders>
              <w:top w:val="single" w:sz="12" w:space="0" w:color="auto"/>
              <w:bottom w:val="single" w:sz="4" w:space="0" w:color="auto"/>
            </w:tcBorders>
            <w:vAlign w:val="center"/>
          </w:tcPr>
          <w:p w14:paraId="0F6EDADE" w14:textId="77777777" w:rsidR="00AF1BF8" w:rsidRDefault="00000000">
            <w:pPr>
              <w:pStyle w:val="af7"/>
              <w:jc w:val="center"/>
              <w:rPr>
                <w:kern w:val="0"/>
                <w:sz w:val="21"/>
                <w:szCs w:val="21"/>
              </w:rPr>
            </w:pPr>
            <w:r>
              <w:rPr>
                <w:rFonts w:hint="eastAsia"/>
                <w:kern w:val="0"/>
                <w:sz w:val="21"/>
                <w:szCs w:val="21"/>
              </w:rPr>
              <w:t>Model</w:t>
            </w:r>
          </w:p>
        </w:tc>
        <w:tc>
          <w:tcPr>
            <w:tcW w:w="1250" w:type="pct"/>
            <w:tcBorders>
              <w:top w:val="single" w:sz="12" w:space="0" w:color="auto"/>
              <w:bottom w:val="single" w:sz="4" w:space="0" w:color="auto"/>
            </w:tcBorders>
            <w:vAlign w:val="center"/>
          </w:tcPr>
          <w:p w14:paraId="2ACF2A5A" w14:textId="77777777" w:rsidR="00AF1BF8" w:rsidRDefault="00000000">
            <w:pPr>
              <w:pStyle w:val="af7"/>
              <w:jc w:val="center"/>
              <w:rPr>
                <w:kern w:val="0"/>
                <w:sz w:val="21"/>
                <w:szCs w:val="21"/>
              </w:rPr>
            </w:pPr>
            <w:proofErr w:type="spellStart"/>
            <w:r>
              <w:rPr>
                <w:rFonts w:hint="eastAsia"/>
                <w:kern w:val="0"/>
                <w:sz w:val="21"/>
                <w:szCs w:val="21"/>
              </w:rPr>
              <w:t>RMSE</w:t>
            </w:r>
            <w:proofErr w:type="spellEnd"/>
          </w:p>
        </w:tc>
        <w:tc>
          <w:tcPr>
            <w:tcW w:w="1084" w:type="pct"/>
            <w:tcBorders>
              <w:top w:val="single" w:sz="12" w:space="0" w:color="auto"/>
              <w:bottom w:val="single" w:sz="4" w:space="0" w:color="auto"/>
            </w:tcBorders>
            <w:vAlign w:val="center"/>
          </w:tcPr>
          <w:p w14:paraId="68987EE8" w14:textId="77777777" w:rsidR="00AF1BF8" w:rsidRDefault="00000000">
            <w:pPr>
              <w:pStyle w:val="af7"/>
              <w:jc w:val="center"/>
              <w:rPr>
                <w:kern w:val="0"/>
                <w:sz w:val="21"/>
                <w:szCs w:val="21"/>
              </w:rPr>
            </w:pPr>
            <w:r>
              <w:rPr>
                <w:rFonts w:hint="eastAsia"/>
                <w:kern w:val="0"/>
                <w:sz w:val="21"/>
                <w:szCs w:val="21"/>
              </w:rPr>
              <w:t>MAE</w:t>
            </w:r>
          </w:p>
        </w:tc>
        <w:tc>
          <w:tcPr>
            <w:tcW w:w="583" w:type="pct"/>
            <w:tcBorders>
              <w:top w:val="single" w:sz="12" w:space="0" w:color="auto"/>
              <w:bottom w:val="single" w:sz="4" w:space="0" w:color="auto"/>
            </w:tcBorders>
          </w:tcPr>
          <w:p w14:paraId="3D497DAC" w14:textId="77777777" w:rsidR="00AF1BF8" w:rsidRDefault="00000000">
            <w:pPr>
              <w:pStyle w:val="af7"/>
              <w:jc w:val="center"/>
              <w:rPr>
                <w:kern w:val="0"/>
                <w:sz w:val="21"/>
                <w:szCs w:val="21"/>
                <w:vertAlign w:val="subscript"/>
              </w:rPr>
            </w:pPr>
            <w:proofErr w:type="spellStart"/>
            <w:r>
              <w:rPr>
                <w:rFonts w:hint="eastAsia"/>
                <w:kern w:val="0"/>
                <w:sz w:val="21"/>
                <w:szCs w:val="21"/>
              </w:rPr>
              <w:t>R</w:t>
            </w:r>
            <w:r>
              <w:rPr>
                <w:rFonts w:hint="eastAsia"/>
                <w:kern w:val="0"/>
                <w:sz w:val="21"/>
                <w:szCs w:val="21"/>
                <w:vertAlign w:val="subscript"/>
              </w:rPr>
              <w:t>1</w:t>
            </w:r>
            <w:proofErr w:type="spellEnd"/>
          </w:p>
        </w:tc>
        <w:tc>
          <w:tcPr>
            <w:tcW w:w="999" w:type="pct"/>
            <w:tcBorders>
              <w:top w:val="single" w:sz="12" w:space="0" w:color="auto"/>
              <w:bottom w:val="single" w:sz="4" w:space="0" w:color="auto"/>
            </w:tcBorders>
          </w:tcPr>
          <w:p w14:paraId="4766FED5" w14:textId="77777777" w:rsidR="00AF1BF8" w:rsidRDefault="00000000">
            <w:pPr>
              <w:pStyle w:val="af7"/>
              <w:jc w:val="center"/>
              <w:rPr>
                <w:kern w:val="0"/>
                <w:sz w:val="21"/>
                <w:szCs w:val="21"/>
                <w:vertAlign w:val="subscript"/>
              </w:rPr>
            </w:pPr>
            <w:r>
              <w:rPr>
                <w:rFonts w:hint="eastAsia"/>
                <w:kern w:val="0"/>
                <w:sz w:val="21"/>
                <w:szCs w:val="21"/>
              </w:rPr>
              <w:t>R</w:t>
            </w:r>
            <w:r>
              <w:rPr>
                <w:rFonts w:hint="eastAsia"/>
                <w:kern w:val="0"/>
                <w:sz w:val="21"/>
                <w:szCs w:val="21"/>
                <w:vertAlign w:val="subscript"/>
              </w:rPr>
              <w:t>2</w:t>
            </w:r>
          </w:p>
        </w:tc>
      </w:tr>
      <w:tr w:rsidR="00AF1BF8" w14:paraId="6B59E439" w14:textId="77777777">
        <w:tc>
          <w:tcPr>
            <w:tcW w:w="1084" w:type="pct"/>
            <w:tcBorders>
              <w:top w:val="single" w:sz="4" w:space="0" w:color="auto"/>
            </w:tcBorders>
            <w:vAlign w:val="center"/>
          </w:tcPr>
          <w:p w14:paraId="3D083D59" w14:textId="77777777" w:rsidR="00AF1BF8" w:rsidRDefault="00000000">
            <w:pPr>
              <w:pStyle w:val="af7"/>
              <w:jc w:val="center"/>
              <w:rPr>
                <w:kern w:val="0"/>
                <w:sz w:val="21"/>
                <w:szCs w:val="21"/>
              </w:rPr>
            </w:pPr>
            <w:r>
              <w:rPr>
                <w:rFonts w:hint="eastAsia"/>
                <w:kern w:val="0"/>
                <w:sz w:val="21"/>
                <w:szCs w:val="21"/>
              </w:rPr>
              <w:t>RF</w:t>
            </w:r>
          </w:p>
        </w:tc>
        <w:tc>
          <w:tcPr>
            <w:tcW w:w="1250" w:type="pct"/>
            <w:tcBorders>
              <w:top w:val="single" w:sz="4" w:space="0" w:color="auto"/>
            </w:tcBorders>
            <w:vAlign w:val="center"/>
          </w:tcPr>
          <w:p w14:paraId="002665D7" w14:textId="77777777" w:rsidR="00AF1BF8" w:rsidRDefault="00000000">
            <w:pPr>
              <w:pStyle w:val="af7"/>
              <w:jc w:val="center"/>
              <w:rPr>
                <w:kern w:val="0"/>
                <w:sz w:val="21"/>
                <w:szCs w:val="21"/>
              </w:rPr>
            </w:pPr>
            <w:r>
              <w:rPr>
                <w:rFonts w:hint="eastAsia"/>
                <w:kern w:val="0"/>
                <w:sz w:val="21"/>
                <w:szCs w:val="21"/>
              </w:rPr>
              <w:t>686.27</w:t>
            </w:r>
          </w:p>
        </w:tc>
        <w:tc>
          <w:tcPr>
            <w:tcW w:w="1084" w:type="pct"/>
            <w:tcBorders>
              <w:top w:val="single" w:sz="4" w:space="0" w:color="auto"/>
            </w:tcBorders>
            <w:vAlign w:val="center"/>
          </w:tcPr>
          <w:p w14:paraId="5C1D88CC" w14:textId="77777777" w:rsidR="00AF1BF8" w:rsidRDefault="00000000">
            <w:pPr>
              <w:pStyle w:val="af7"/>
              <w:jc w:val="center"/>
              <w:rPr>
                <w:kern w:val="0"/>
                <w:sz w:val="21"/>
                <w:szCs w:val="21"/>
              </w:rPr>
            </w:pPr>
            <w:r>
              <w:rPr>
                <w:rFonts w:hint="eastAsia"/>
                <w:kern w:val="0"/>
                <w:sz w:val="21"/>
                <w:szCs w:val="21"/>
              </w:rPr>
              <w:t>514.08</w:t>
            </w:r>
          </w:p>
        </w:tc>
        <w:tc>
          <w:tcPr>
            <w:tcW w:w="583" w:type="pct"/>
            <w:tcBorders>
              <w:top w:val="single" w:sz="4" w:space="0" w:color="auto"/>
            </w:tcBorders>
          </w:tcPr>
          <w:p w14:paraId="7415F3F1" w14:textId="77777777" w:rsidR="00AF1BF8" w:rsidRDefault="00000000">
            <w:pPr>
              <w:pStyle w:val="af7"/>
              <w:jc w:val="center"/>
              <w:rPr>
                <w:kern w:val="0"/>
                <w:sz w:val="21"/>
                <w:szCs w:val="21"/>
              </w:rPr>
            </w:pPr>
            <w:r>
              <w:rPr>
                <w:rFonts w:hint="eastAsia"/>
                <w:kern w:val="0"/>
                <w:sz w:val="21"/>
                <w:szCs w:val="21"/>
              </w:rPr>
              <w:t>0.94</w:t>
            </w:r>
          </w:p>
        </w:tc>
        <w:tc>
          <w:tcPr>
            <w:tcW w:w="999" w:type="pct"/>
            <w:tcBorders>
              <w:top w:val="single" w:sz="4" w:space="0" w:color="auto"/>
            </w:tcBorders>
          </w:tcPr>
          <w:p w14:paraId="093C5A1E" w14:textId="77777777" w:rsidR="00AF1BF8" w:rsidRDefault="00000000">
            <w:pPr>
              <w:pStyle w:val="af7"/>
              <w:jc w:val="center"/>
              <w:rPr>
                <w:kern w:val="0"/>
                <w:sz w:val="21"/>
                <w:szCs w:val="21"/>
              </w:rPr>
            </w:pPr>
            <w:r>
              <w:rPr>
                <w:rFonts w:hint="eastAsia"/>
                <w:kern w:val="0"/>
                <w:sz w:val="21"/>
                <w:szCs w:val="21"/>
              </w:rPr>
              <w:t>0.96</w:t>
            </w:r>
          </w:p>
        </w:tc>
      </w:tr>
      <w:tr w:rsidR="00AF1BF8" w14:paraId="642B2583" w14:textId="77777777">
        <w:tc>
          <w:tcPr>
            <w:tcW w:w="1084" w:type="pct"/>
            <w:vAlign w:val="center"/>
          </w:tcPr>
          <w:p w14:paraId="729548CD" w14:textId="77777777" w:rsidR="00AF1BF8" w:rsidRDefault="00000000">
            <w:pPr>
              <w:pStyle w:val="af7"/>
              <w:jc w:val="center"/>
              <w:rPr>
                <w:kern w:val="0"/>
                <w:sz w:val="21"/>
                <w:szCs w:val="21"/>
              </w:rPr>
            </w:pPr>
            <w:r>
              <w:rPr>
                <w:rFonts w:hint="eastAsia"/>
                <w:kern w:val="0"/>
                <w:sz w:val="21"/>
                <w:szCs w:val="21"/>
              </w:rPr>
              <w:t>LSTM</w:t>
            </w:r>
          </w:p>
        </w:tc>
        <w:tc>
          <w:tcPr>
            <w:tcW w:w="1250" w:type="pct"/>
            <w:vAlign w:val="center"/>
          </w:tcPr>
          <w:p w14:paraId="6416E877" w14:textId="77777777" w:rsidR="00AF1BF8" w:rsidRDefault="00000000">
            <w:pPr>
              <w:pStyle w:val="af7"/>
              <w:jc w:val="center"/>
              <w:rPr>
                <w:kern w:val="0"/>
                <w:sz w:val="21"/>
                <w:szCs w:val="21"/>
              </w:rPr>
            </w:pPr>
            <w:r>
              <w:rPr>
                <w:rFonts w:hint="eastAsia"/>
                <w:kern w:val="0"/>
                <w:sz w:val="21"/>
                <w:szCs w:val="21"/>
              </w:rPr>
              <w:t>664.74</w:t>
            </w:r>
          </w:p>
        </w:tc>
        <w:tc>
          <w:tcPr>
            <w:tcW w:w="1084" w:type="pct"/>
            <w:vAlign w:val="center"/>
          </w:tcPr>
          <w:p w14:paraId="5DE11125" w14:textId="77777777" w:rsidR="00AF1BF8" w:rsidRDefault="00000000">
            <w:pPr>
              <w:pStyle w:val="af7"/>
              <w:jc w:val="center"/>
              <w:rPr>
                <w:kern w:val="0"/>
                <w:sz w:val="21"/>
                <w:szCs w:val="21"/>
              </w:rPr>
            </w:pPr>
            <w:r>
              <w:rPr>
                <w:rFonts w:hint="eastAsia"/>
                <w:kern w:val="0"/>
                <w:sz w:val="21"/>
                <w:szCs w:val="21"/>
              </w:rPr>
              <w:t>431.56</w:t>
            </w:r>
          </w:p>
        </w:tc>
        <w:tc>
          <w:tcPr>
            <w:tcW w:w="583" w:type="pct"/>
          </w:tcPr>
          <w:p w14:paraId="1E5B9235" w14:textId="77777777" w:rsidR="00AF1BF8" w:rsidRDefault="00000000">
            <w:pPr>
              <w:pStyle w:val="af7"/>
              <w:jc w:val="center"/>
              <w:rPr>
                <w:kern w:val="0"/>
                <w:sz w:val="21"/>
                <w:szCs w:val="21"/>
              </w:rPr>
            </w:pPr>
            <w:r>
              <w:rPr>
                <w:rFonts w:hint="eastAsia"/>
                <w:kern w:val="0"/>
                <w:sz w:val="21"/>
                <w:szCs w:val="21"/>
              </w:rPr>
              <w:t>0.92</w:t>
            </w:r>
          </w:p>
        </w:tc>
        <w:tc>
          <w:tcPr>
            <w:tcW w:w="999" w:type="pct"/>
          </w:tcPr>
          <w:p w14:paraId="3A04C5F5" w14:textId="77777777" w:rsidR="00AF1BF8" w:rsidRDefault="00000000">
            <w:pPr>
              <w:pStyle w:val="af7"/>
              <w:jc w:val="center"/>
              <w:rPr>
                <w:kern w:val="0"/>
                <w:sz w:val="21"/>
                <w:szCs w:val="21"/>
              </w:rPr>
            </w:pPr>
            <w:r>
              <w:rPr>
                <w:rFonts w:hint="eastAsia"/>
                <w:kern w:val="0"/>
                <w:sz w:val="21"/>
                <w:szCs w:val="21"/>
              </w:rPr>
              <w:t>0.98</w:t>
            </w:r>
          </w:p>
        </w:tc>
      </w:tr>
      <w:tr w:rsidR="00AF1BF8" w14:paraId="43B99DFC" w14:textId="77777777">
        <w:tc>
          <w:tcPr>
            <w:tcW w:w="1084" w:type="pct"/>
            <w:tcBorders>
              <w:bottom w:val="single" w:sz="12" w:space="0" w:color="auto"/>
            </w:tcBorders>
            <w:vAlign w:val="center"/>
          </w:tcPr>
          <w:p w14:paraId="664B06CD" w14:textId="77777777" w:rsidR="00AF1BF8" w:rsidRDefault="00000000">
            <w:pPr>
              <w:pStyle w:val="af7"/>
              <w:jc w:val="center"/>
              <w:rPr>
                <w:kern w:val="0"/>
                <w:sz w:val="21"/>
                <w:szCs w:val="21"/>
              </w:rPr>
            </w:pPr>
            <w:r>
              <w:rPr>
                <w:rFonts w:hint="eastAsia"/>
                <w:kern w:val="0"/>
                <w:sz w:val="21"/>
                <w:szCs w:val="21"/>
              </w:rPr>
              <w:t>Prophet</w:t>
            </w:r>
          </w:p>
        </w:tc>
        <w:tc>
          <w:tcPr>
            <w:tcW w:w="1250" w:type="pct"/>
            <w:tcBorders>
              <w:bottom w:val="single" w:sz="12" w:space="0" w:color="auto"/>
            </w:tcBorders>
            <w:vAlign w:val="center"/>
          </w:tcPr>
          <w:p w14:paraId="6750DC1C" w14:textId="77777777" w:rsidR="00AF1BF8" w:rsidRDefault="00000000">
            <w:pPr>
              <w:pStyle w:val="af7"/>
              <w:jc w:val="center"/>
              <w:rPr>
                <w:kern w:val="0"/>
                <w:sz w:val="21"/>
                <w:szCs w:val="21"/>
              </w:rPr>
            </w:pPr>
            <w:r>
              <w:rPr>
                <w:rFonts w:hint="eastAsia"/>
                <w:kern w:val="0"/>
                <w:sz w:val="21"/>
                <w:szCs w:val="21"/>
              </w:rPr>
              <w:t>705.44</w:t>
            </w:r>
          </w:p>
        </w:tc>
        <w:tc>
          <w:tcPr>
            <w:tcW w:w="1084" w:type="pct"/>
            <w:tcBorders>
              <w:bottom w:val="single" w:sz="12" w:space="0" w:color="auto"/>
            </w:tcBorders>
            <w:vAlign w:val="center"/>
          </w:tcPr>
          <w:p w14:paraId="2418FEC2" w14:textId="77777777" w:rsidR="00AF1BF8" w:rsidRDefault="00000000">
            <w:pPr>
              <w:pStyle w:val="af7"/>
              <w:jc w:val="center"/>
              <w:rPr>
                <w:kern w:val="0"/>
                <w:sz w:val="21"/>
                <w:szCs w:val="21"/>
              </w:rPr>
            </w:pPr>
            <w:r>
              <w:rPr>
                <w:rFonts w:hint="eastAsia"/>
                <w:kern w:val="0"/>
                <w:sz w:val="21"/>
                <w:szCs w:val="21"/>
              </w:rPr>
              <w:t>521.26</w:t>
            </w:r>
          </w:p>
        </w:tc>
        <w:tc>
          <w:tcPr>
            <w:tcW w:w="583" w:type="pct"/>
            <w:tcBorders>
              <w:bottom w:val="single" w:sz="12" w:space="0" w:color="auto"/>
            </w:tcBorders>
          </w:tcPr>
          <w:p w14:paraId="6DF2111F" w14:textId="77777777" w:rsidR="00AF1BF8" w:rsidRDefault="00000000">
            <w:pPr>
              <w:pStyle w:val="af7"/>
              <w:jc w:val="center"/>
              <w:rPr>
                <w:kern w:val="0"/>
                <w:sz w:val="21"/>
                <w:szCs w:val="21"/>
              </w:rPr>
            </w:pPr>
            <w:r>
              <w:rPr>
                <w:rFonts w:hint="eastAsia"/>
                <w:kern w:val="0"/>
                <w:sz w:val="21"/>
                <w:szCs w:val="21"/>
              </w:rPr>
              <w:t>0.83</w:t>
            </w:r>
          </w:p>
        </w:tc>
        <w:tc>
          <w:tcPr>
            <w:tcW w:w="999" w:type="pct"/>
            <w:tcBorders>
              <w:bottom w:val="single" w:sz="12" w:space="0" w:color="auto"/>
            </w:tcBorders>
          </w:tcPr>
          <w:p w14:paraId="7A87B863" w14:textId="77777777" w:rsidR="00AF1BF8" w:rsidRDefault="00000000">
            <w:pPr>
              <w:pStyle w:val="af7"/>
              <w:jc w:val="center"/>
              <w:rPr>
                <w:kern w:val="0"/>
                <w:sz w:val="21"/>
                <w:szCs w:val="21"/>
              </w:rPr>
            </w:pPr>
            <w:r>
              <w:rPr>
                <w:rFonts w:hint="eastAsia"/>
                <w:kern w:val="0"/>
                <w:sz w:val="21"/>
                <w:szCs w:val="21"/>
              </w:rPr>
              <w:t>0.81</w:t>
            </w:r>
          </w:p>
        </w:tc>
      </w:tr>
    </w:tbl>
    <w:p w14:paraId="42EE954D" w14:textId="0B8BEA3C" w:rsidR="00AF1BF8" w:rsidRDefault="0006696A" w:rsidP="0006696A">
      <w:pPr>
        <w:pStyle w:val="af7"/>
        <w:ind w:firstLineChars="100" w:firstLine="210"/>
      </w:pPr>
      <w:r w:rsidRPr="0006696A">
        <w:rPr>
          <w:sz w:val="21"/>
          <w:szCs w:val="21"/>
        </w:rPr>
        <w:t xml:space="preserve">Note: </w:t>
      </w:r>
      <w:proofErr w:type="spellStart"/>
      <w:r w:rsidRPr="0006696A">
        <w:rPr>
          <w:sz w:val="21"/>
          <w:szCs w:val="21"/>
        </w:rPr>
        <w:t>R</w:t>
      </w:r>
      <w:r w:rsidRPr="0006696A">
        <w:rPr>
          <w:sz w:val="21"/>
          <w:szCs w:val="21"/>
          <w:vertAlign w:val="subscript"/>
        </w:rPr>
        <w:t>1</w:t>
      </w:r>
      <w:proofErr w:type="spellEnd"/>
      <w:r w:rsidRPr="0006696A">
        <w:rPr>
          <w:sz w:val="21"/>
          <w:szCs w:val="21"/>
        </w:rPr>
        <w:t>, correlation between the predicted and observed values; R</w:t>
      </w:r>
      <w:r w:rsidRPr="0006696A">
        <w:rPr>
          <w:sz w:val="21"/>
          <w:szCs w:val="21"/>
          <w:vertAlign w:val="subscript"/>
        </w:rPr>
        <w:t>2</w:t>
      </w:r>
      <w:r w:rsidRPr="0006696A">
        <w:rPr>
          <w:sz w:val="21"/>
          <w:szCs w:val="21"/>
        </w:rPr>
        <w:t>, correlation between the predicted values and the observed values lagged by one time step.</w:t>
      </w:r>
      <w:r>
        <w:object w:dxaOrig="8505" w:dyaOrig="11480" w14:anchorId="15680D1B">
          <v:shape id="_x0000_i1027" type="#_x0000_t75" style="width:425.1pt;height:574.1pt" o:ole="">
            <v:imagedata r:id="rId12" o:title=""/>
          </v:shape>
          <o:OLEObject Type="Embed" ProgID="Origin95.Graph" ShapeID="_x0000_i1027" DrawAspect="Content" ObjectID="_1851613958" r:id="rId13"/>
        </w:object>
      </w:r>
    </w:p>
    <w:p w14:paraId="55E2931F" w14:textId="77777777" w:rsidR="00AF1BF8" w:rsidRDefault="00000000">
      <w:pPr>
        <w:pStyle w:val="af7"/>
        <w:jc w:val="center"/>
        <w:rPr>
          <w:sz w:val="21"/>
          <w:szCs w:val="21"/>
        </w:rPr>
      </w:pPr>
      <w:r>
        <w:rPr>
          <w:color w:val="4472C4" w:themeColor="accent1"/>
          <w:sz w:val="21"/>
          <w:szCs w:val="21"/>
        </w:rPr>
        <w:t xml:space="preserve">Fig. </w:t>
      </w:r>
      <w:proofErr w:type="spellStart"/>
      <w:r>
        <w:rPr>
          <w:color w:val="4472C4" w:themeColor="accent1"/>
          <w:sz w:val="21"/>
          <w:szCs w:val="21"/>
        </w:rPr>
        <w:t>A3</w:t>
      </w:r>
      <w:proofErr w:type="spellEnd"/>
      <w:r>
        <w:rPr>
          <w:color w:val="4472C4" w:themeColor="accent1"/>
          <w:sz w:val="21"/>
          <w:szCs w:val="21"/>
        </w:rPr>
        <w:t xml:space="preserve"> </w:t>
      </w:r>
      <w:r>
        <w:rPr>
          <w:sz w:val="21"/>
          <w:szCs w:val="21"/>
        </w:rPr>
        <w:t xml:space="preserve">Relationship between predicted wet periods, </w:t>
      </w:r>
      <w:proofErr w:type="spellStart"/>
      <w:r>
        <w:rPr>
          <w:sz w:val="21"/>
          <w:szCs w:val="21"/>
        </w:rPr>
        <w:t>I&amp;I</w:t>
      </w:r>
      <w:proofErr w:type="spellEnd"/>
      <w:r>
        <w:rPr>
          <w:sz w:val="21"/>
          <w:szCs w:val="21"/>
        </w:rPr>
        <w:t xml:space="preserve"> volume, and rainfall for the WWTP in the separate sewer catchment</w:t>
      </w:r>
      <w:r>
        <w:rPr>
          <w:rFonts w:hint="eastAsia"/>
          <w:sz w:val="21"/>
          <w:szCs w:val="21"/>
        </w:rPr>
        <w:t xml:space="preserve">: </w:t>
      </w:r>
      <w:r>
        <w:rPr>
          <w:sz w:val="21"/>
          <w:szCs w:val="21"/>
        </w:rPr>
        <w:t>(a) May; (b) June; (c) July; (d) August; (e) September; (f) An example rainfall event.</w:t>
      </w:r>
    </w:p>
    <w:p w14:paraId="7032F888" w14:textId="77777777" w:rsidR="00AF1BF8" w:rsidRDefault="00AF1BF8">
      <w:pPr>
        <w:pStyle w:val="af7"/>
        <w:jc w:val="center"/>
      </w:pPr>
    </w:p>
    <w:p w14:paraId="6E75654D" w14:textId="77777777" w:rsidR="00AF1BF8" w:rsidRDefault="00000000">
      <w:pPr>
        <w:pStyle w:val="af7"/>
      </w:pPr>
      <w:r>
        <w:object w:dxaOrig="8505" w:dyaOrig="11480" w14:anchorId="53CB8638">
          <v:shape id="_x0000_i1028" type="#_x0000_t75" style="width:425.1pt;height:574.1pt" o:ole="">
            <v:imagedata r:id="rId14" o:title=""/>
          </v:shape>
          <o:OLEObject Type="Embed" ProgID="Origin95.Graph" ShapeID="_x0000_i1028" DrawAspect="Content" ObjectID="_1851613959" r:id="rId15"/>
        </w:object>
      </w:r>
    </w:p>
    <w:p w14:paraId="28BC2A65" w14:textId="77777777" w:rsidR="00AF1BF8" w:rsidRDefault="00000000">
      <w:pPr>
        <w:jc w:val="center"/>
        <w:rPr>
          <w:szCs w:val="21"/>
        </w:rPr>
      </w:pPr>
      <w:r>
        <w:rPr>
          <w:color w:val="4472C4" w:themeColor="accent1"/>
          <w:szCs w:val="21"/>
        </w:rPr>
        <w:t xml:space="preserve">Fig. </w:t>
      </w:r>
      <w:proofErr w:type="spellStart"/>
      <w:r>
        <w:rPr>
          <w:color w:val="4472C4" w:themeColor="accent1"/>
          <w:szCs w:val="21"/>
        </w:rPr>
        <w:t>A4</w:t>
      </w:r>
      <w:proofErr w:type="spellEnd"/>
      <w:r>
        <w:rPr>
          <w:szCs w:val="21"/>
        </w:rPr>
        <w:t xml:space="preserve"> Relationship between predicted wet periods, </w:t>
      </w:r>
      <w:proofErr w:type="spellStart"/>
      <w:r>
        <w:rPr>
          <w:szCs w:val="21"/>
        </w:rPr>
        <w:t>I&amp;I</w:t>
      </w:r>
      <w:proofErr w:type="spellEnd"/>
      <w:r>
        <w:rPr>
          <w:szCs w:val="21"/>
        </w:rPr>
        <w:t xml:space="preserve"> volume, and rainfall for the WWTP in the incompletely separate sewer catchment</w:t>
      </w:r>
      <w:r>
        <w:rPr>
          <w:rFonts w:hint="eastAsia"/>
          <w:szCs w:val="21"/>
        </w:rPr>
        <w:t xml:space="preserve">: </w:t>
      </w:r>
      <w:r>
        <w:rPr>
          <w:szCs w:val="21"/>
        </w:rPr>
        <w:t>(a) May; (b) June; (c) July; (d) August; (e) September; (f) An example rainfall event.</w:t>
      </w:r>
    </w:p>
    <w:p w14:paraId="55B31C10" w14:textId="77777777" w:rsidR="00AF1BF8" w:rsidRDefault="00000000">
      <w:pPr>
        <w:pStyle w:val="1"/>
        <w:spacing w:before="10" w:after="10"/>
        <w:rPr>
          <w:rFonts w:ascii="Times New Roman" w:hAnsi="Times New Roman" w:cs="Times New Roman"/>
          <w:color w:val="4472C4" w:themeColor="accent1"/>
          <w:sz w:val="28"/>
          <w:szCs w:val="28"/>
        </w:rPr>
      </w:pPr>
      <w:bookmarkStart w:id="12" w:name="OLE_LINK12"/>
      <w:r>
        <w:rPr>
          <w:rFonts w:ascii="Times New Roman" w:hAnsi="Times New Roman" w:cs="Times New Roman" w:hint="eastAsia"/>
          <w:color w:val="4472C4" w:themeColor="accent1"/>
          <w:sz w:val="28"/>
          <w:szCs w:val="28"/>
        </w:rPr>
        <w:lastRenderedPageBreak/>
        <w:t xml:space="preserve">Text. </w:t>
      </w:r>
      <w:proofErr w:type="spellStart"/>
      <w:r>
        <w:rPr>
          <w:rFonts w:ascii="Times New Roman" w:hAnsi="Times New Roman" w:cs="Times New Roman"/>
          <w:color w:val="4472C4" w:themeColor="accent1"/>
          <w:sz w:val="28"/>
          <w:szCs w:val="28"/>
        </w:rPr>
        <w:t>A</w:t>
      </w:r>
      <w:r>
        <w:rPr>
          <w:rFonts w:ascii="Times New Roman" w:hAnsi="Times New Roman" w:cs="Times New Roman" w:hint="eastAsia"/>
          <w:color w:val="4472C4" w:themeColor="accent1"/>
          <w:sz w:val="28"/>
          <w:szCs w:val="28"/>
        </w:rPr>
        <w:t>7</w:t>
      </w:r>
      <w:proofErr w:type="spellEnd"/>
      <w:r>
        <w:rPr>
          <w:rFonts w:ascii="Times New Roman" w:hAnsi="Times New Roman" w:cs="Times New Roman"/>
          <w:color w:val="4472C4" w:themeColor="accent1"/>
          <w:sz w:val="28"/>
          <w:szCs w:val="28"/>
        </w:rPr>
        <w:t xml:space="preserve"> Effects of inflow and infiltration on </w:t>
      </w:r>
      <w:r>
        <w:rPr>
          <w:rFonts w:ascii="Times New Roman" w:hAnsi="Times New Roman" w:cs="Times New Roman" w:hint="eastAsia"/>
          <w:color w:val="4472C4" w:themeColor="accent1"/>
          <w:sz w:val="28"/>
          <w:szCs w:val="28"/>
        </w:rPr>
        <w:t>p</w:t>
      </w:r>
      <w:r>
        <w:rPr>
          <w:rFonts w:ascii="Times New Roman" w:hAnsi="Times New Roman" w:cs="Times New Roman"/>
          <w:color w:val="4472C4" w:themeColor="accent1"/>
          <w:sz w:val="28"/>
          <w:szCs w:val="28"/>
        </w:rPr>
        <w:t xml:space="preserve">ollutant </w:t>
      </w:r>
      <w:r>
        <w:rPr>
          <w:rFonts w:ascii="Times New Roman" w:hAnsi="Times New Roman" w:cs="Times New Roman" w:hint="eastAsia"/>
          <w:color w:val="4472C4" w:themeColor="accent1"/>
          <w:sz w:val="28"/>
          <w:szCs w:val="28"/>
        </w:rPr>
        <w:t>r</w:t>
      </w:r>
      <w:r>
        <w:rPr>
          <w:rFonts w:ascii="Times New Roman" w:hAnsi="Times New Roman" w:cs="Times New Roman"/>
          <w:color w:val="4472C4" w:themeColor="accent1"/>
          <w:sz w:val="28"/>
          <w:szCs w:val="28"/>
        </w:rPr>
        <w:t xml:space="preserve">emoval and </w:t>
      </w:r>
      <w:r>
        <w:rPr>
          <w:rFonts w:ascii="Times New Roman" w:hAnsi="Times New Roman" w:cs="Times New Roman" w:hint="eastAsia"/>
          <w:color w:val="4472C4" w:themeColor="accent1"/>
          <w:sz w:val="28"/>
          <w:szCs w:val="28"/>
        </w:rPr>
        <w:t>GHG</w:t>
      </w:r>
      <w:r>
        <w:rPr>
          <w:rFonts w:ascii="Times New Roman" w:hAnsi="Times New Roman" w:cs="Times New Roman"/>
          <w:color w:val="4472C4" w:themeColor="accent1"/>
          <w:sz w:val="28"/>
          <w:szCs w:val="28"/>
        </w:rPr>
        <w:t>–</w:t>
      </w:r>
      <w:r>
        <w:rPr>
          <w:rFonts w:ascii="Times New Roman" w:hAnsi="Times New Roman" w:cs="Times New Roman" w:hint="eastAsia"/>
          <w:color w:val="4472C4" w:themeColor="accent1"/>
          <w:sz w:val="28"/>
          <w:szCs w:val="28"/>
        </w:rPr>
        <w:t>c</w:t>
      </w:r>
      <w:r>
        <w:rPr>
          <w:rFonts w:ascii="Times New Roman" w:hAnsi="Times New Roman" w:cs="Times New Roman"/>
          <w:color w:val="4472C4" w:themeColor="accent1"/>
          <w:sz w:val="28"/>
          <w:szCs w:val="28"/>
        </w:rPr>
        <w:t xml:space="preserve">ost </w:t>
      </w:r>
      <w:r>
        <w:rPr>
          <w:rFonts w:ascii="Times New Roman" w:hAnsi="Times New Roman" w:cs="Times New Roman" w:hint="eastAsia"/>
          <w:color w:val="4472C4" w:themeColor="accent1"/>
          <w:sz w:val="28"/>
          <w:szCs w:val="28"/>
        </w:rPr>
        <w:t>p</w:t>
      </w:r>
      <w:r>
        <w:rPr>
          <w:rFonts w:ascii="Times New Roman" w:hAnsi="Times New Roman" w:cs="Times New Roman"/>
          <w:color w:val="4472C4" w:themeColor="accent1"/>
          <w:sz w:val="28"/>
          <w:szCs w:val="28"/>
        </w:rPr>
        <w:t>erformance</w:t>
      </w:r>
    </w:p>
    <w:bookmarkEnd w:id="12"/>
    <w:p w14:paraId="53487491" w14:textId="77777777" w:rsidR="00AF1BF8" w:rsidRDefault="00000000">
      <w:pPr>
        <w:ind w:firstLineChars="200" w:firstLine="420"/>
      </w:pPr>
      <w:r>
        <w:t xml:space="preserve">The rainfall-induced I/I scenarios were constructed based on the empirical rainfall–I/I relationship established in </w:t>
      </w:r>
      <w:r w:rsidRPr="009D4923">
        <w:rPr>
          <w:color w:val="4472C4" w:themeColor="accent1"/>
        </w:rPr>
        <w:t>Section 3.1</w:t>
      </w:r>
      <w:r>
        <w:t>. In that section, rainfall-induced I/I was first identified as the excess influent flow above the Prophet-predicted baseline domestic wastewater flow. Event-scale analysis showed that total rainfall depth was the dominant driver of I/I, and the normalized I/I volume increased by 154.7 m</w:t>
      </w:r>
      <w:r>
        <w:rPr>
          <w:rFonts w:hint="eastAsia"/>
          <w:vertAlign w:val="superscript"/>
        </w:rPr>
        <w:t>3</w:t>
      </w:r>
      <w:r>
        <w:t>/</w:t>
      </w:r>
      <w:proofErr w:type="spellStart"/>
      <w:r>
        <w:t>km</w:t>
      </w:r>
      <w:r>
        <w:rPr>
          <w:rFonts w:hint="eastAsia"/>
          <w:vertAlign w:val="superscript"/>
        </w:rPr>
        <w:t>2</w:t>
      </w:r>
      <w:proofErr w:type="spellEnd"/>
      <w:r>
        <w:rPr>
          <w:rFonts w:hint="eastAsia"/>
        </w:rPr>
        <w:t xml:space="preserve"> </w:t>
      </w:r>
      <w:r>
        <w:t>for each 1 mm increase in rainfall depth.</w:t>
      </w:r>
    </w:p>
    <w:p w14:paraId="1DACC7F4" w14:textId="5B95C1BE" w:rsidR="00AF1BF8" w:rsidRDefault="00000000">
      <w:pPr>
        <w:ind w:firstLineChars="200" w:firstLine="420"/>
      </w:pPr>
      <w:r>
        <w:t xml:space="preserve">For scenario simulation, four rainfall events representing light rain, moderate rain, heavy rain, and rainstorm were selected according to the rainfall classification criteria. Their 24-h rainfall depths were 9.1, 20.8, 35.4, and 53.2 mm, respectively </w:t>
      </w:r>
      <w:r>
        <w:rPr>
          <w:color w:val="4472C4" w:themeColor="accent1"/>
        </w:rPr>
        <w:t xml:space="preserve">(Table </w:t>
      </w:r>
      <w:proofErr w:type="spellStart"/>
      <w:r>
        <w:rPr>
          <w:color w:val="4472C4" w:themeColor="accent1"/>
        </w:rPr>
        <w:t>A1</w:t>
      </w:r>
      <w:r w:rsidR="009D4923">
        <w:rPr>
          <w:rFonts w:hint="eastAsia"/>
          <w:color w:val="4472C4" w:themeColor="accent1"/>
        </w:rPr>
        <w:t>4</w:t>
      </w:r>
      <w:proofErr w:type="spellEnd"/>
      <w:r>
        <w:t>). The corresponding event-scale I/I volumes were estimated using Eq. (5) in the main text. The I/I volume was then distributed over the 24-h rainfall period according to the hourly rainfall pattern, and a 4-h delay was applied to represent the hydraulic response time between rainfall input and influent flow increase at the WWTP. Finally, the rainfall-induced I/I flow was superimposed on the baseline domestic wastewater flow to generate the scenario-specific 24-h influent flow profiles used in the SUMO simulations (</w:t>
      </w:r>
      <w:r>
        <w:rPr>
          <w:color w:val="4472C4" w:themeColor="accent1"/>
        </w:rPr>
        <w:t xml:space="preserve">Fig. </w:t>
      </w:r>
      <w:proofErr w:type="spellStart"/>
      <w:r>
        <w:rPr>
          <w:color w:val="4472C4" w:themeColor="accent1"/>
        </w:rPr>
        <w:t>A5</w:t>
      </w:r>
      <w:proofErr w:type="spellEnd"/>
      <w:r>
        <w:t>).</w:t>
      </w:r>
    </w:p>
    <w:p w14:paraId="087F96FD" w14:textId="77777777" w:rsidR="00AF1BF8" w:rsidRDefault="00000000">
      <w:pPr>
        <w:pStyle w:val="af7"/>
        <w:spacing w:beforeLines="50" w:before="156" w:afterLines="50" w:after="156"/>
        <w:jc w:val="center"/>
        <w:rPr>
          <w:sz w:val="21"/>
          <w:szCs w:val="21"/>
        </w:rPr>
      </w:pPr>
      <w:r>
        <w:rPr>
          <w:rFonts w:hint="eastAsia"/>
          <w:color w:val="4472C4" w:themeColor="accent1"/>
          <w:sz w:val="21"/>
          <w:szCs w:val="21"/>
        </w:rPr>
        <w:t xml:space="preserve">Table </w:t>
      </w:r>
      <w:proofErr w:type="spellStart"/>
      <w:r>
        <w:rPr>
          <w:rFonts w:hint="eastAsia"/>
          <w:color w:val="4472C4" w:themeColor="accent1"/>
          <w:sz w:val="21"/>
          <w:szCs w:val="21"/>
        </w:rPr>
        <w:t>A14</w:t>
      </w:r>
      <w:proofErr w:type="spellEnd"/>
      <w:r>
        <w:rPr>
          <w:rFonts w:hint="eastAsia"/>
          <w:sz w:val="21"/>
          <w:szCs w:val="21"/>
        </w:rPr>
        <w:t xml:space="preserve"> </w:t>
      </w:r>
      <w:r>
        <w:rPr>
          <w:sz w:val="21"/>
          <w:szCs w:val="21"/>
        </w:rPr>
        <w:t>Rainfall depths used for rainfall-induced I/I scenario construction</w:t>
      </w:r>
    </w:p>
    <w:tbl>
      <w:tblPr>
        <w:tblStyle w:val="af"/>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1134"/>
        <w:gridCol w:w="1442"/>
        <w:gridCol w:w="1660"/>
        <w:gridCol w:w="1660"/>
      </w:tblGrid>
      <w:tr w:rsidR="00AF1BF8" w14:paraId="62A93264" w14:textId="77777777">
        <w:tc>
          <w:tcPr>
            <w:tcW w:w="2410" w:type="dxa"/>
            <w:tcBorders>
              <w:bottom w:val="single" w:sz="4" w:space="0" w:color="auto"/>
            </w:tcBorders>
          </w:tcPr>
          <w:p w14:paraId="21D015FE" w14:textId="77777777" w:rsidR="00AF1BF8" w:rsidRDefault="00000000">
            <w:pPr>
              <w:pStyle w:val="af7"/>
              <w:jc w:val="center"/>
              <w:rPr>
                <w:kern w:val="0"/>
                <w:sz w:val="21"/>
                <w:szCs w:val="21"/>
              </w:rPr>
            </w:pPr>
            <w:r>
              <w:rPr>
                <w:kern w:val="0"/>
                <w:sz w:val="21"/>
                <w:szCs w:val="21"/>
              </w:rPr>
              <w:t>Scenario</w:t>
            </w:r>
          </w:p>
        </w:tc>
        <w:tc>
          <w:tcPr>
            <w:tcW w:w="1134" w:type="dxa"/>
            <w:tcBorders>
              <w:bottom w:val="single" w:sz="4" w:space="0" w:color="auto"/>
            </w:tcBorders>
          </w:tcPr>
          <w:p w14:paraId="46E87FF3" w14:textId="77777777" w:rsidR="00AF1BF8" w:rsidRDefault="00000000">
            <w:pPr>
              <w:pStyle w:val="af7"/>
              <w:jc w:val="center"/>
              <w:rPr>
                <w:kern w:val="0"/>
                <w:sz w:val="21"/>
                <w:szCs w:val="21"/>
              </w:rPr>
            </w:pPr>
            <w:r>
              <w:rPr>
                <w:kern w:val="0"/>
                <w:sz w:val="21"/>
                <w:szCs w:val="21"/>
              </w:rPr>
              <w:t>Light rain</w:t>
            </w:r>
          </w:p>
        </w:tc>
        <w:tc>
          <w:tcPr>
            <w:tcW w:w="1442" w:type="dxa"/>
            <w:tcBorders>
              <w:bottom w:val="single" w:sz="4" w:space="0" w:color="auto"/>
            </w:tcBorders>
          </w:tcPr>
          <w:p w14:paraId="60815C7A" w14:textId="77777777" w:rsidR="00AF1BF8" w:rsidRDefault="00000000">
            <w:pPr>
              <w:pStyle w:val="af7"/>
              <w:jc w:val="center"/>
              <w:rPr>
                <w:kern w:val="0"/>
                <w:sz w:val="21"/>
                <w:szCs w:val="21"/>
              </w:rPr>
            </w:pPr>
            <w:r>
              <w:rPr>
                <w:kern w:val="0"/>
                <w:sz w:val="21"/>
                <w:szCs w:val="21"/>
              </w:rPr>
              <w:t>Moderate rain</w:t>
            </w:r>
          </w:p>
        </w:tc>
        <w:tc>
          <w:tcPr>
            <w:tcW w:w="1660" w:type="dxa"/>
            <w:tcBorders>
              <w:bottom w:val="single" w:sz="4" w:space="0" w:color="auto"/>
            </w:tcBorders>
          </w:tcPr>
          <w:p w14:paraId="5DC58DEF" w14:textId="77777777" w:rsidR="00AF1BF8" w:rsidRDefault="00000000">
            <w:pPr>
              <w:pStyle w:val="af7"/>
              <w:jc w:val="center"/>
              <w:rPr>
                <w:kern w:val="0"/>
                <w:sz w:val="21"/>
                <w:szCs w:val="21"/>
              </w:rPr>
            </w:pPr>
            <w:r>
              <w:rPr>
                <w:kern w:val="0"/>
                <w:sz w:val="21"/>
                <w:szCs w:val="21"/>
              </w:rPr>
              <w:t>Heavy rain</w:t>
            </w:r>
          </w:p>
        </w:tc>
        <w:tc>
          <w:tcPr>
            <w:tcW w:w="1660" w:type="dxa"/>
            <w:tcBorders>
              <w:bottom w:val="single" w:sz="4" w:space="0" w:color="auto"/>
            </w:tcBorders>
          </w:tcPr>
          <w:p w14:paraId="7EE2ECF3" w14:textId="77777777" w:rsidR="00AF1BF8" w:rsidRDefault="00000000">
            <w:pPr>
              <w:pStyle w:val="af7"/>
              <w:jc w:val="center"/>
              <w:rPr>
                <w:kern w:val="0"/>
                <w:sz w:val="21"/>
                <w:szCs w:val="21"/>
              </w:rPr>
            </w:pPr>
            <w:r>
              <w:rPr>
                <w:kern w:val="0"/>
                <w:sz w:val="21"/>
                <w:szCs w:val="21"/>
              </w:rPr>
              <w:t>Rainstorm</w:t>
            </w:r>
          </w:p>
        </w:tc>
      </w:tr>
      <w:tr w:rsidR="00AF1BF8" w14:paraId="423298B4" w14:textId="77777777">
        <w:tc>
          <w:tcPr>
            <w:tcW w:w="2410" w:type="dxa"/>
            <w:tcBorders>
              <w:top w:val="single" w:sz="4" w:space="0" w:color="auto"/>
            </w:tcBorders>
          </w:tcPr>
          <w:p w14:paraId="0FFF19F2" w14:textId="77777777" w:rsidR="00AF1BF8" w:rsidRDefault="00000000">
            <w:pPr>
              <w:pStyle w:val="af7"/>
              <w:jc w:val="center"/>
              <w:rPr>
                <w:kern w:val="0"/>
                <w:sz w:val="21"/>
                <w:szCs w:val="21"/>
              </w:rPr>
            </w:pPr>
            <w:r>
              <w:rPr>
                <w:kern w:val="0"/>
                <w:sz w:val="21"/>
                <w:szCs w:val="21"/>
              </w:rPr>
              <w:t>24-h rainfall depth (mm)</w:t>
            </w:r>
          </w:p>
        </w:tc>
        <w:tc>
          <w:tcPr>
            <w:tcW w:w="1134" w:type="dxa"/>
            <w:tcBorders>
              <w:top w:val="single" w:sz="4" w:space="0" w:color="auto"/>
            </w:tcBorders>
          </w:tcPr>
          <w:p w14:paraId="489316CE" w14:textId="77777777" w:rsidR="00AF1BF8" w:rsidRDefault="00000000">
            <w:pPr>
              <w:pStyle w:val="af7"/>
              <w:jc w:val="center"/>
              <w:rPr>
                <w:kern w:val="0"/>
                <w:sz w:val="21"/>
                <w:szCs w:val="21"/>
              </w:rPr>
            </w:pPr>
            <w:r>
              <w:rPr>
                <w:rFonts w:hint="eastAsia"/>
                <w:kern w:val="0"/>
                <w:sz w:val="21"/>
                <w:szCs w:val="21"/>
              </w:rPr>
              <w:t>9.1</w:t>
            </w:r>
          </w:p>
        </w:tc>
        <w:tc>
          <w:tcPr>
            <w:tcW w:w="1442" w:type="dxa"/>
            <w:tcBorders>
              <w:top w:val="single" w:sz="4" w:space="0" w:color="auto"/>
            </w:tcBorders>
          </w:tcPr>
          <w:p w14:paraId="4DDEB806" w14:textId="77777777" w:rsidR="00AF1BF8" w:rsidRDefault="00000000">
            <w:pPr>
              <w:pStyle w:val="af7"/>
              <w:jc w:val="center"/>
              <w:rPr>
                <w:kern w:val="0"/>
                <w:sz w:val="21"/>
                <w:szCs w:val="21"/>
              </w:rPr>
            </w:pPr>
            <w:r>
              <w:rPr>
                <w:rFonts w:hint="eastAsia"/>
                <w:kern w:val="0"/>
                <w:sz w:val="21"/>
                <w:szCs w:val="21"/>
              </w:rPr>
              <w:t>20.8</w:t>
            </w:r>
          </w:p>
        </w:tc>
        <w:tc>
          <w:tcPr>
            <w:tcW w:w="1660" w:type="dxa"/>
            <w:tcBorders>
              <w:top w:val="single" w:sz="4" w:space="0" w:color="auto"/>
            </w:tcBorders>
          </w:tcPr>
          <w:p w14:paraId="74469A30" w14:textId="77777777" w:rsidR="00AF1BF8" w:rsidRDefault="00000000">
            <w:pPr>
              <w:pStyle w:val="af7"/>
              <w:jc w:val="center"/>
              <w:rPr>
                <w:kern w:val="0"/>
                <w:sz w:val="21"/>
                <w:szCs w:val="21"/>
              </w:rPr>
            </w:pPr>
            <w:r>
              <w:rPr>
                <w:rFonts w:hint="eastAsia"/>
                <w:kern w:val="0"/>
                <w:sz w:val="21"/>
                <w:szCs w:val="21"/>
              </w:rPr>
              <w:t>35.4</w:t>
            </w:r>
          </w:p>
        </w:tc>
        <w:tc>
          <w:tcPr>
            <w:tcW w:w="1660" w:type="dxa"/>
            <w:tcBorders>
              <w:top w:val="single" w:sz="4" w:space="0" w:color="auto"/>
            </w:tcBorders>
          </w:tcPr>
          <w:p w14:paraId="539625BD" w14:textId="77777777" w:rsidR="00AF1BF8" w:rsidRDefault="00000000">
            <w:pPr>
              <w:pStyle w:val="af7"/>
              <w:jc w:val="center"/>
              <w:rPr>
                <w:kern w:val="0"/>
                <w:sz w:val="21"/>
                <w:szCs w:val="21"/>
              </w:rPr>
            </w:pPr>
            <w:r>
              <w:rPr>
                <w:rFonts w:hint="eastAsia"/>
                <w:kern w:val="0"/>
                <w:sz w:val="21"/>
                <w:szCs w:val="21"/>
              </w:rPr>
              <w:t>53.2</w:t>
            </w:r>
          </w:p>
        </w:tc>
      </w:tr>
    </w:tbl>
    <w:p w14:paraId="2A191173" w14:textId="77777777" w:rsidR="00AF1BF8" w:rsidRDefault="00000000">
      <w:pPr>
        <w:jc w:val="center"/>
        <w:rPr>
          <w:szCs w:val="21"/>
        </w:rPr>
      </w:pPr>
      <w:r>
        <w:object w:dxaOrig="8335" w:dyaOrig="3465" w14:anchorId="41E90223">
          <v:shape id="_x0000_i1029" type="#_x0000_t75" style="width:416.95pt;height:172.8pt" o:ole="">
            <v:imagedata r:id="rId16" o:title=""/>
          </v:shape>
          <o:OLEObject Type="Embed" ProgID="Origin95.Graph" ShapeID="_x0000_i1029" DrawAspect="Content" ObjectID="_1851613960" r:id="rId17"/>
        </w:object>
      </w:r>
    </w:p>
    <w:p w14:paraId="1EBF3D60" w14:textId="77777777" w:rsidR="00AF1BF8" w:rsidRDefault="00000000">
      <w:pPr>
        <w:jc w:val="center"/>
        <w:rPr>
          <w:szCs w:val="21"/>
        </w:rPr>
      </w:pPr>
      <w:r>
        <w:rPr>
          <w:color w:val="4472C4" w:themeColor="accent1"/>
          <w:szCs w:val="21"/>
        </w:rPr>
        <w:t xml:space="preserve">Fig. </w:t>
      </w:r>
      <w:proofErr w:type="spellStart"/>
      <w:r>
        <w:rPr>
          <w:color w:val="4472C4" w:themeColor="accent1"/>
          <w:szCs w:val="21"/>
        </w:rPr>
        <w:t>A5</w:t>
      </w:r>
      <w:proofErr w:type="spellEnd"/>
      <w:r>
        <w:rPr>
          <w:szCs w:val="21"/>
        </w:rPr>
        <w:t>. Scenario-specific 24-h influent flow and hourly rainfall under rainfall-induced I/I conditions</w:t>
      </w:r>
      <w:r>
        <w:rPr>
          <w:rFonts w:hint="eastAsia"/>
          <w:szCs w:val="21"/>
        </w:rPr>
        <w:t xml:space="preserve">: </w:t>
      </w:r>
      <w:r>
        <w:rPr>
          <w:szCs w:val="21"/>
        </w:rPr>
        <w:t>(a) 24-h influent flow profiles of the WWTP under different rainfall-induced I/I scenarios with a 4-h hydraulic response delay;</w:t>
      </w:r>
      <w:r>
        <w:rPr>
          <w:rFonts w:hint="eastAsia"/>
          <w:szCs w:val="21"/>
        </w:rPr>
        <w:t xml:space="preserve"> </w:t>
      </w:r>
      <w:r>
        <w:rPr>
          <w:szCs w:val="21"/>
        </w:rPr>
        <w:t>(b) hourly rainfall depth over 24 h.</w:t>
      </w:r>
    </w:p>
    <w:p w14:paraId="29A24220" w14:textId="77777777" w:rsidR="00AF1BF8" w:rsidRDefault="00000000">
      <w:pPr>
        <w:ind w:firstLine="440"/>
        <w:rPr>
          <w:szCs w:val="21"/>
        </w:rPr>
      </w:pPr>
      <w:r>
        <w:rPr>
          <w:szCs w:val="21"/>
        </w:rPr>
        <w:lastRenderedPageBreak/>
        <w:t xml:space="preserve">To further quantify the integrated effects of rainfall-induced I/I on effluent quality, operating cost, and carbon emissions, sensitivity coefficients were calculated for each indicator using Eq. (6). The results are summarized in </w:t>
      </w:r>
      <w:r>
        <w:rPr>
          <w:color w:val="4472C4" w:themeColor="accent1"/>
          <w:szCs w:val="21"/>
        </w:rPr>
        <w:t xml:space="preserve">Table </w:t>
      </w:r>
      <w:proofErr w:type="spellStart"/>
      <w:r>
        <w:rPr>
          <w:rFonts w:hint="eastAsia"/>
          <w:color w:val="4472C4" w:themeColor="accent1"/>
          <w:szCs w:val="21"/>
        </w:rPr>
        <w:t>A13</w:t>
      </w:r>
      <w:proofErr w:type="spellEnd"/>
      <w:r>
        <w:rPr>
          <w:rFonts w:hint="eastAsia"/>
          <w:szCs w:val="21"/>
        </w:rPr>
        <w:t>.</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0"/>
        <w:gridCol w:w="1266"/>
      </w:tblGrid>
      <w:tr w:rsidR="00AF1BF8" w14:paraId="510C5FDC" w14:textId="77777777">
        <w:tc>
          <w:tcPr>
            <w:tcW w:w="7040" w:type="dxa"/>
            <w:vAlign w:val="center"/>
          </w:tcPr>
          <w:p w14:paraId="50CF8C95" w14:textId="77777777" w:rsidR="00AF1BF8" w:rsidRDefault="00000000">
            <w:pPr>
              <w:tabs>
                <w:tab w:val="center" w:pos="4233"/>
                <w:tab w:val="right" w:pos="8466"/>
              </w:tabs>
              <w:jc w:val="center"/>
              <w:rPr>
                <w:kern w:val="0"/>
                <w:szCs w:val="21"/>
              </w:rPr>
            </w:pPr>
            <w:r>
              <w:rPr>
                <w:rFonts w:cstheme="minorBidi" w:hint="eastAsia"/>
                <w:position w:val="-64"/>
                <w:szCs w:val="21"/>
                <w14:ligatures w14:val="none"/>
              </w:rPr>
              <w:object w:dxaOrig="2495" w:dyaOrig="1345" w14:anchorId="2303D2DB">
                <v:shape id="_x0000_i1030" type="#_x0000_t75" style="width:124.6pt;height:67.6pt" o:ole="">
                  <v:imagedata r:id="rId18" o:title=""/>
                </v:shape>
                <o:OLEObject Type="Embed" ProgID="Equation.DSMT4" ShapeID="_x0000_i1030" DrawAspect="Content" ObjectID="_1851613961" r:id="rId19"/>
              </w:object>
            </w:r>
          </w:p>
        </w:tc>
        <w:tc>
          <w:tcPr>
            <w:tcW w:w="1266" w:type="dxa"/>
            <w:vAlign w:val="center"/>
          </w:tcPr>
          <w:p w14:paraId="45510A7E" w14:textId="77777777" w:rsidR="00AF1BF8" w:rsidRDefault="00000000">
            <w:pPr>
              <w:pStyle w:val="af7"/>
              <w:ind w:firstLineChars="200" w:firstLine="420"/>
              <w:rPr>
                <w:kern w:val="0"/>
                <w:sz w:val="21"/>
                <w:szCs w:val="21"/>
              </w:rPr>
            </w:pPr>
            <w:r>
              <w:rPr>
                <w:kern w:val="0"/>
                <w:sz w:val="21"/>
                <w:szCs w:val="21"/>
              </w:rPr>
              <w:t>（</w:t>
            </w:r>
            <w:r>
              <w:rPr>
                <w:rFonts w:hint="eastAsia"/>
                <w:kern w:val="0"/>
                <w:sz w:val="21"/>
                <w:szCs w:val="21"/>
              </w:rPr>
              <w:t>19</w:t>
            </w:r>
            <w:r>
              <w:rPr>
                <w:kern w:val="0"/>
                <w:sz w:val="21"/>
                <w:szCs w:val="21"/>
              </w:rPr>
              <w:t>）</w:t>
            </w:r>
          </w:p>
        </w:tc>
      </w:tr>
    </w:tbl>
    <w:p w14:paraId="62C65DD3" w14:textId="77777777" w:rsidR="00AF1BF8" w:rsidRDefault="00000000">
      <w:pPr>
        <w:tabs>
          <w:tab w:val="center" w:pos="4233"/>
          <w:tab w:val="right" w:pos="8466"/>
        </w:tabs>
        <w:ind w:firstLineChars="200" w:firstLine="420"/>
        <w:rPr>
          <w:szCs w:val="21"/>
        </w:rPr>
      </w:pPr>
      <w:r>
        <w:rPr>
          <w:szCs w:val="21"/>
        </w:rPr>
        <w:t>where S is the sensitivity coefficient of a given indicator to rainfall-induced I/I</w:t>
      </w:r>
      <w:r>
        <w:rPr>
          <w:rFonts w:hint="eastAsia"/>
          <w:szCs w:val="21"/>
        </w:rPr>
        <w:t xml:space="preserve">; </w:t>
      </w:r>
      <m:oMath>
        <m:r>
          <m:rPr>
            <m:nor/>
          </m:rPr>
          <w:rPr>
            <w:szCs w:val="21"/>
          </w:rPr>
          <m:t>∆Y</m:t>
        </m:r>
      </m:oMath>
      <w:r>
        <w:t xml:space="preserve"> </w:t>
      </w:r>
      <w:r>
        <w:rPr>
          <w:szCs w:val="21"/>
        </w:rPr>
        <w:t>is the change in the indicator</w:t>
      </w:r>
      <w:r>
        <w:rPr>
          <w:rFonts w:hint="eastAsia"/>
          <w:szCs w:val="21"/>
        </w:rPr>
        <w:t xml:space="preserve">; </w:t>
      </w:r>
      <m:oMath>
        <m:sSub>
          <m:sSubPr>
            <m:ctrlPr>
              <w:rPr>
                <w:rStyle w:val="CambriaMath"/>
                <w:rFonts w:ascii="Cambria Math" w:hAnsi="Cambria Math"/>
                <w:szCs w:val="21"/>
              </w:rPr>
            </m:ctrlPr>
          </m:sSubPr>
          <m:e>
            <m:r>
              <m:rPr>
                <m:nor/>
              </m:rPr>
              <w:rPr>
                <w:rStyle w:val="CambriaMath"/>
                <w:szCs w:val="21"/>
              </w:rPr>
              <m:t>Y</m:t>
            </m:r>
          </m:e>
          <m:sub>
            <m:r>
              <m:rPr>
                <m:nor/>
              </m:rPr>
              <w:rPr>
                <w:rStyle w:val="CambriaMath"/>
                <w:szCs w:val="21"/>
              </w:rPr>
              <m:t>0</m:t>
            </m:r>
          </m:sub>
        </m:sSub>
      </m:oMath>
      <w:r>
        <w:t xml:space="preserve"> </w:t>
      </w:r>
      <w:r>
        <w:rPr>
          <w:szCs w:val="21"/>
        </w:rPr>
        <w:t>is the value under the baseline dry-weather scenario;</w:t>
      </w:r>
      <w:r>
        <w:rPr>
          <w:rFonts w:hint="eastAsia"/>
          <w:szCs w:val="21"/>
        </w:rPr>
        <w:t xml:space="preserve"> </w:t>
      </w:r>
      <m:oMath>
        <m:sSub>
          <m:sSubPr>
            <m:ctrlPr>
              <w:rPr>
                <w:rStyle w:val="CambriaMath"/>
                <w:rFonts w:ascii="Cambria Math" w:hAnsi="Cambria Math"/>
                <w:szCs w:val="21"/>
              </w:rPr>
            </m:ctrlPr>
          </m:sSubPr>
          <m:e>
            <m:r>
              <m:rPr>
                <m:nor/>
              </m:rPr>
              <w:rPr>
                <w:rStyle w:val="CambriaMath"/>
                <w:szCs w:val="21"/>
              </w:rPr>
              <m:t>Y</m:t>
            </m:r>
          </m:e>
          <m:sub>
            <m:r>
              <m:rPr>
                <m:nor/>
              </m:rPr>
              <w:rPr>
                <w:rStyle w:val="CambriaMath"/>
                <w:szCs w:val="21"/>
              </w:rPr>
              <m:t>k</m:t>
            </m:r>
          </m:sub>
        </m:sSub>
      </m:oMath>
      <w:r>
        <w:t xml:space="preserve"> </w:t>
      </w:r>
      <w:r>
        <w:rPr>
          <w:szCs w:val="21"/>
        </w:rPr>
        <w:t xml:space="preserve">is the value under the </w:t>
      </w:r>
      <w:r>
        <w:rPr>
          <w:i/>
          <w:iCs/>
          <w:szCs w:val="21"/>
        </w:rPr>
        <w:t>k</w:t>
      </w:r>
      <w:r>
        <w:rPr>
          <w:szCs w:val="21"/>
        </w:rPr>
        <w:t>-</w:t>
      </w:r>
      <w:proofErr w:type="spellStart"/>
      <w:r>
        <w:rPr>
          <w:szCs w:val="21"/>
        </w:rPr>
        <w:t>th</w:t>
      </w:r>
      <w:proofErr w:type="spellEnd"/>
      <w:r>
        <w:rPr>
          <w:szCs w:val="21"/>
        </w:rPr>
        <w:t xml:space="preserve"> I/I scenario;</w:t>
      </w:r>
      <w:r>
        <w:rPr>
          <w:rFonts w:hint="eastAsia"/>
          <w:szCs w:val="21"/>
        </w:rPr>
        <w:t xml:space="preserve"> </w:t>
      </w:r>
      <m:oMath>
        <m:r>
          <m:rPr>
            <m:nor/>
          </m:rPr>
          <w:rPr>
            <w:szCs w:val="21"/>
          </w:rPr>
          <m:t>∆Q</m:t>
        </m:r>
      </m:oMath>
      <w:r>
        <w:t xml:space="preserve"> </w:t>
      </w:r>
      <w:r>
        <w:rPr>
          <w:szCs w:val="21"/>
        </w:rPr>
        <w:t>is the change in influent flow, namely the I/I volume;</w:t>
      </w:r>
      <w:r>
        <w:rPr>
          <w:rFonts w:hint="eastAsia"/>
          <w:szCs w:val="21"/>
        </w:rPr>
        <w:t xml:space="preserve"> </w:t>
      </w:r>
      <m:oMath>
        <m:sSub>
          <m:sSubPr>
            <m:ctrlPr>
              <w:rPr>
                <w:rStyle w:val="CambriaMath"/>
                <w:rFonts w:ascii="Cambria Math" w:hAnsi="Cambria Math"/>
                <w:szCs w:val="21"/>
              </w:rPr>
            </m:ctrlPr>
          </m:sSubPr>
          <m:e>
            <m:r>
              <m:rPr>
                <m:nor/>
              </m:rPr>
              <w:rPr>
                <w:rStyle w:val="CambriaMath"/>
                <w:szCs w:val="21"/>
              </w:rPr>
              <m:t>Q</m:t>
            </m:r>
          </m:e>
          <m:sub>
            <m:r>
              <m:rPr>
                <m:nor/>
              </m:rPr>
              <w:rPr>
                <w:rStyle w:val="CambriaMath"/>
                <w:szCs w:val="21"/>
              </w:rPr>
              <m:t>0</m:t>
            </m:r>
          </m:sub>
        </m:sSub>
      </m:oMath>
      <w:r>
        <w:t xml:space="preserve"> </w:t>
      </w:r>
      <w:r>
        <w:rPr>
          <w:szCs w:val="21"/>
        </w:rPr>
        <w:t>is the influent flow under the baseline scenario; and</w:t>
      </w:r>
      <w:r>
        <w:rPr>
          <w:rFonts w:hint="eastAsia"/>
          <w:szCs w:val="21"/>
        </w:rPr>
        <w:t xml:space="preserve"> </w:t>
      </w:r>
      <m:oMath>
        <m:sSub>
          <m:sSubPr>
            <m:ctrlPr>
              <w:rPr>
                <w:rStyle w:val="CambriaMath"/>
                <w:rFonts w:ascii="Cambria Math" w:hAnsi="Cambria Math"/>
                <w:szCs w:val="21"/>
              </w:rPr>
            </m:ctrlPr>
          </m:sSubPr>
          <m:e>
            <m:r>
              <m:rPr>
                <m:nor/>
              </m:rPr>
              <w:rPr>
                <w:rStyle w:val="CambriaMath"/>
                <w:szCs w:val="21"/>
              </w:rPr>
              <m:t>Q</m:t>
            </m:r>
          </m:e>
          <m:sub>
            <m:r>
              <m:rPr>
                <m:nor/>
              </m:rPr>
              <w:rPr>
                <w:rStyle w:val="CambriaMath"/>
                <w:szCs w:val="21"/>
              </w:rPr>
              <m:t>k</m:t>
            </m:r>
          </m:sub>
        </m:sSub>
      </m:oMath>
      <w:r>
        <w:t xml:space="preserve"> </w:t>
      </w:r>
      <w:r>
        <w:rPr>
          <w:szCs w:val="21"/>
        </w:rPr>
        <w:t xml:space="preserve">is the influent flow under the </w:t>
      </w:r>
      <w:r>
        <w:rPr>
          <w:i/>
          <w:iCs/>
          <w:szCs w:val="21"/>
        </w:rPr>
        <w:t>k</w:t>
      </w:r>
      <w:r>
        <w:rPr>
          <w:szCs w:val="21"/>
        </w:rPr>
        <w:t>-</w:t>
      </w:r>
      <w:proofErr w:type="spellStart"/>
      <w:r>
        <w:rPr>
          <w:szCs w:val="21"/>
        </w:rPr>
        <w:t>th</w:t>
      </w:r>
      <w:proofErr w:type="spellEnd"/>
      <w:r>
        <w:rPr>
          <w:szCs w:val="21"/>
        </w:rPr>
        <w:t xml:space="preserve"> scenario. Indicators were classified as extremely sensitive when </w:t>
      </w:r>
      <m:oMath>
        <m:d>
          <m:dPr>
            <m:begChr m:val="|"/>
            <m:endChr m:val="|"/>
            <m:ctrlPr>
              <w:rPr>
                <w:rStyle w:val="CambriaMath1"/>
                <w:rFonts w:ascii="Cambria Math" w:hAnsi="Cambria Math"/>
                <w:i w:val="0"/>
                <w:iCs w:val="0"/>
                <w:szCs w:val="21"/>
              </w:rPr>
            </m:ctrlPr>
          </m:dPr>
          <m:e>
            <m:r>
              <m:rPr>
                <m:nor/>
              </m:rPr>
              <w:rPr>
                <w:rStyle w:val="CambriaMath1"/>
                <w:i w:val="0"/>
                <w:iCs w:val="0"/>
                <w:szCs w:val="21"/>
              </w:rPr>
              <m:t>S</m:t>
            </m:r>
          </m:e>
        </m:d>
      </m:oMath>
      <w:r>
        <w:rPr>
          <w:szCs w:val="21"/>
        </w:rPr>
        <w:t>&gt;2, highly sensitive when 1&lt;</w:t>
      </w:r>
      <m:oMath>
        <m:d>
          <m:dPr>
            <m:begChr m:val="|"/>
            <m:endChr m:val="|"/>
            <m:ctrlPr>
              <w:rPr>
                <w:rStyle w:val="CambriaMath1"/>
                <w:rFonts w:ascii="Cambria Math" w:hAnsi="Cambria Math"/>
                <w:i w:val="0"/>
                <w:iCs w:val="0"/>
                <w:szCs w:val="21"/>
              </w:rPr>
            </m:ctrlPr>
          </m:dPr>
          <m:e>
            <m:r>
              <m:rPr>
                <m:nor/>
              </m:rPr>
              <w:rPr>
                <w:rStyle w:val="CambriaMath1"/>
                <w:i w:val="0"/>
                <w:iCs w:val="0"/>
                <w:szCs w:val="21"/>
              </w:rPr>
              <m:t>S</m:t>
            </m:r>
          </m:e>
        </m:d>
      </m:oMath>
      <w:r>
        <w:rPr>
          <w:szCs w:val="21"/>
        </w:rPr>
        <w:t>≤2, moderately sensitive when 0.5&lt;</w:t>
      </w:r>
      <m:oMath>
        <m:d>
          <m:dPr>
            <m:begChr m:val="|"/>
            <m:endChr m:val="|"/>
            <m:ctrlPr>
              <w:rPr>
                <w:rStyle w:val="CambriaMath1"/>
                <w:rFonts w:ascii="Cambria Math" w:hAnsi="Cambria Math"/>
                <w:i w:val="0"/>
                <w:iCs w:val="0"/>
                <w:szCs w:val="21"/>
              </w:rPr>
            </m:ctrlPr>
          </m:dPr>
          <m:e>
            <m:r>
              <m:rPr>
                <m:nor/>
              </m:rPr>
              <w:rPr>
                <w:rStyle w:val="CambriaMath1"/>
                <w:i w:val="0"/>
                <w:iCs w:val="0"/>
                <w:szCs w:val="21"/>
              </w:rPr>
              <m:t>S</m:t>
            </m:r>
          </m:e>
        </m:d>
      </m:oMath>
      <w:r>
        <w:rPr>
          <w:szCs w:val="21"/>
        </w:rPr>
        <w:t xml:space="preserve">≤1, and weakly sensitive when </w:t>
      </w:r>
      <m:oMath>
        <m:d>
          <m:dPr>
            <m:begChr m:val="|"/>
            <m:endChr m:val="|"/>
            <m:ctrlPr>
              <w:rPr>
                <w:rStyle w:val="CambriaMath1"/>
                <w:rFonts w:ascii="Cambria Math" w:hAnsi="Cambria Math"/>
                <w:i w:val="0"/>
                <w:iCs w:val="0"/>
                <w:szCs w:val="21"/>
              </w:rPr>
            </m:ctrlPr>
          </m:dPr>
          <m:e>
            <m:r>
              <m:rPr>
                <m:nor/>
              </m:rPr>
              <w:rPr>
                <w:rStyle w:val="CambriaMath1"/>
                <w:i w:val="0"/>
                <w:iCs w:val="0"/>
                <w:szCs w:val="21"/>
              </w:rPr>
              <m:t>S</m:t>
            </m:r>
          </m:e>
        </m:d>
      </m:oMath>
      <w:r>
        <w:rPr>
          <w:szCs w:val="21"/>
        </w:rPr>
        <w:t>≤0.5. A positive S indicates a positive response to influent flow, whereas a negative S indicates an inverse response.</w:t>
      </w:r>
    </w:p>
    <w:p w14:paraId="6F0A5EDC" w14:textId="77777777" w:rsidR="00AF1BF8" w:rsidRDefault="00000000">
      <w:pPr>
        <w:pStyle w:val="af7"/>
        <w:spacing w:line="360" w:lineRule="auto"/>
        <w:ind w:firstLine="499"/>
        <w:jc w:val="center"/>
        <w:rPr>
          <w:sz w:val="21"/>
          <w:szCs w:val="21"/>
        </w:rPr>
      </w:pPr>
      <w:r>
        <w:rPr>
          <w:color w:val="4472C4" w:themeColor="accent1"/>
          <w:sz w:val="21"/>
          <w:szCs w:val="21"/>
        </w:rPr>
        <w:t xml:space="preserve">Table </w:t>
      </w:r>
      <w:proofErr w:type="spellStart"/>
      <w:r>
        <w:rPr>
          <w:rFonts w:hint="eastAsia"/>
          <w:color w:val="4472C4" w:themeColor="accent1"/>
          <w:sz w:val="21"/>
          <w:szCs w:val="21"/>
        </w:rPr>
        <w:t>A15</w:t>
      </w:r>
      <w:proofErr w:type="spellEnd"/>
      <w:r>
        <w:rPr>
          <w:color w:val="4472C4" w:themeColor="accent1"/>
          <w:sz w:val="21"/>
          <w:szCs w:val="21"/>
        </w:rPr>
        <w:t xml:space="preserve"> </w:t>
      </w:r>
      <w:r>
        <w:rPr>
          <w:sz w:val="21"/>
          <w:szCs w:val="21"/>
        </w:rPr>
        <w:t>Sensitivity coefficients of effluent quality, operating cost, and carbon-emission indicators under rainfall-induced I/I scenarios</w:t>
      </w:r>
    </w:p>
    <w:tbl>
      <w:tblPr>
        <w:tblStyle w:val="13"/>
        <w:tblW w:w="0" w:type="auto"/>
        <w:tblLook w:val="04A0" w:firstRow="1" w:lastRow="0" w:firstColumn="1" w:lastColumn="0" w:noHBand="0" w:noVBand="1"/>
      </w:tblPr>
      <w:tblGrid>
        <w:gridCol w:w="1537"/>
        <w:gridCol w:w="3425"/>
        <w:gridCol w:w="3344"/>
      </w:tblGrid>
      <w:tr w:rsidR="00AF1BF8" w14:paraId="7445825C" w14:textId="77777777" w:rsidTr="00AF1BF8">
        <w:trPr>
          <w:cnfStyle w:val="100000000000" w:firstRow="1" w:lastRow="0" w:firstColumn="0" w:lastColumn="0" w:oddVBand="0" w:evenVBand="0" w:oddHBand="0" w:evenHBand="0" w:firstRowFirstColumn="0" w:firstRowLastColumn="0" w:lastRowFirstColumn="0" w:lastRowLastColumn="0"/>
        </w:trPr>
        <w:tc>
          <w:tcPr>
            <w:tcW w:w="4962" w:type="dxa"/>
            <w:gridSpan w:val="2"/>
          </w:tcPr>
          <w:p w14:paraId="7BE61DBF" w14:textId="77777777" w:rsidR="00AF1BF8" w:rsidRDefault="00000000">
            <w:pPr>
              <w:pStyle w:val="af7"/>
              <w:jc w:val="center"/>
              <w:rPr>
                <w:kern w:val="0"/>
                <w:sz w:val="21"/>
                <w:szCs w:val="21"/>
              </w:rPr>
            </w:pPr>
            <w:r>
              <w:rPr>
                <w:kern w:val="0"/>
                <w:sz w:val="21"/>
                <w:szCs w:val="21"/>
              </w:rPr>
              <w:t>Indicator</w:t>
            </w:r>
          </w:p>
        </w:tc>
        <w:tc>
          <w:tcPr>
            <w:tcW w:w="3344" w:type="dxa"/>
          </w:tcPr>
          <w:p w14:paraId="46102418" w14:textId="77777777" w:rsidR="00AF1BF8" w:rsidRDefault="00000000">
            <w:pPr>
              <w:pStyle w:val="af7"/>
              <w:jc w:val="center"/>
              <w:rPr>
                <w:kern w:val="0"/>
                <w:sz w:val="21"/>
                <w:szCs w:val="21"/>
              </w:rPr>
            </w:pPr>
            <w:r>
              <w:rPr>
                <w:kern w:val="0"/>
                <w:sz w:val="21"/>
                <w:szCs w:val="21"/>
              </w:rPr>
              <w:t>Sensitivity coefficient</w:t>
            </w:r>
          </w:p>
        </w:tc>
      </w:tr>
      <w:tr w:rsidR="00AF1BF8" w14:paraId="70F8698F" w14:textId="77777777" w:rsidTr="00AF1BF8">
        <w:tc>
          <w:tcPr>
            <w:tcW w:w="1537" w:type="dxa"/>
            <w:vMerge w:val="restart"/>
          </w:tcPr>
          <w:p w14:paraId="29A6F4DD" w14:textId="77777777" w:rsidR="00AF1BF8" w:rsidRDefault="00000000">
            <w:pPr>
              <w:pStyle w:val="af7"/>
              <w:rPr>
                <w:kern w:val="0"/>
                <w:sz w:val="21"/>
                <w:szCs w:val="21"/>
              </w:rPr>
            </w:pPr>
            <w:r>
              <w:rPr>
                <w:kern w:val="0"/>
                <w:sz w:val="21"/>
                <w:szCs w:val="21"/>
              </w:rPr>
              <w:t>Effluent quality</w:t>
            </w:r>
          </w:p>
        </w:tc>
        <w:tc>
          <w:tcPr>
            <w:tcW w:w="3425" w:type="dxa"/>
          </w:tcPr>
          <w:p w14:paraId="050C9C6E" w14:textId="77777777" w:rsidR="00AF1BF8" w:rsidRDefault="00000000">
            <w:pPr>
              <w:pStyle w:val="af7"/>
              <w:jc w:val="center"/>
              <w:rPr>
                <w:kern w:val="0"/>
                <w:sz w:val="21"/>
                <w:szCs w:val="21"/>
              </w:rPr>
            </w:pPr>
            <w:r>
              <w:rPr>
                <w:rFonts w:hint="eastAsia"/>
                <w:kern w:val="0"/>
                <w:sz w:val="21"/>
                <w:szCs w:val="21"/>
              </w:rPr>
              <w:t>COD</w:t>
            </w:r>
          </w:p>
        </w:tc>
        <w:tc>
          <w:tcPr>
            <w:tcW w:w="3344" w:type="dxa"/>
          </w:tcPr>
          <w:p w14:paraId="4FD9C8C7" w14:textId="77777777" w:rsidR="00AF1BF8" w:rsidRDefault="00000000">
            <w:pPr>
              <w:pStyle w:val="af7"/>
              <w:jc w:val="center"/>
              <w:rPr>
                <w:kern w:val="0"/>
                <w:sz w:val="21"/>
                <w:szCs w:val="21"/>
              </w:rPr>
            </w:pPr>
            <w:r>
              <w:rPr>
                <w:rFonts w:hint="eastAsia"/>
                <w:kern w:val="0"/>
                <w:sz w:val="21"/>
                <w:szCs w:val="21"/>
              </w:rPr>
              <w:t>-0.11</w:t>
            </w:r>
          </w:p>
        </w:tc>
      </w:tr>
      <w:tr w:rsidR="00AF1BF8" w14:paraId="71DB47FD" w14:textId="77777777" w:rsidTr="00AF1BF8">
        <w:tc>
          <w:tcPr>
            <w:tcW w:w="1537" w:type="dxa"/>
            <w:vMerge/>
          </w:tcPr>
          <w:p w14:paraId="04F6890A" w14:textId="77777777" w:rsidR="00AF1BF8" w:rsidRDefault="00AF1BF8">
            <w:pPr>
              <w:pStyle w:val="af7"/>
              <w:rPr>
                <w:kern w:val="0"/>
                <w:sz w:val="21"/>
                <w:szCs w:val="21"/>
              </w:rPr>
            </w:pPr>
          </w:p>
        </w:tc>
        <w:tc>
          <w:tcPr>
            <w:tcW w:w="3425" w:type="dxa"/>
          </w:tcPr>
          <w:p w14:paraId="00F4024E" w14:textId="77777777" w:rsidR="00AF1BF8" w:rsidRDefault="00000000">
            <w:pPr>
              <w:pStyle w:val="af7"/>
              <w:jc w:val="center"/>
              <w:rPr>
                <w:kern w:val="0"/>
                <w:sz w:val="21"/>
                <w:szCs w:val="21"/>
              </w:rPr>
            </w:pPr>
            <w:r>
              <w:rPr>
                <w:rFonts w:hint="eastAsia"/>
                <w:kern w:val="0"/>
                <w:sz w:val="21"/>
                <w:szCs w:val="21"/>
              </w:rPr>
              <w:t>TN</w:t>
            </w:r>
          </w:p>
        </w:tc>
        <w:tc>
          <w:tcPr>
            <w:tcW w:w="3344" w:type="dxa"/>
          </w:tcPr>
          <w:p w14:paraId="2C090A42" w14:textId="77777777" w:rsidR="00AF1BF8" w:rsidRDefault="00000000">
            <w:pPr>
              <w:pStyle w:val="af7"/>
              <w:jc w:val="center"/>
              <w:rPr>
                <w:kern w:val="0"/>
                <w:sz w:val="21"/>
                <w:szCs w:val="21"/>
              </w:rPr>
            </w:pPr>
            <w:r>
              <w:rPr>
                <w:rFonts w:hint="eastAsia"/>
                <w:kern w:val="0"/>
                <w:sz w:val="21"/>
                <w:szCs w:val="21"/>
              </w:rPr>
              <w:t>-0.02</w:t>
            </w:r>
          </w:p>
        </w:tc>
      </w:tr>
      <w:tr w:rsidR="00AF1BF8" w14:paraId="0834640F" w14:textId="77777777" w:rsidTr="00AF1BF8">
        <w:tc>
          <w:tcPr>
            <w:tcW w:w="1537" w:type="dxa"/>
            <w:vMerge/>
          </w:tcPr>
          <w:p w14:paraId="04659B3B" w14:textId="77777777" w:rsidR="00AF1BF8" w:rsidRDefault="00AF1BF8">
            <w:pPr>
              <w:pStyle w:val="af7"/>
              <w:rPr>
                <w:kern w:val="0"/>
                <w:sz w:val="21"/>
                <w:szCs w:val="21"/>
              </w:rPr>
            </w:pPr>
          </w:p>
        </w:tc>
        <w:tc>
          <w:tcPr>
            <w:tcW w:w="3425" w:type="dxa"/>
          </w:tcPr>
          <w:p w14:paraId="4900C7ED" w14:textId="77777777" w:rsidR="00AF1BF8" w:rsidRDefault="00000000">
            <w:pPr>
              <w:pStyle w:val="af7"/>
              <w:jc w:val="center"/>
              <w:rPr>
                <w:kern w:val="0"/>
                <w:sz w:val="21"/>
                <w:szCs w:val="21"/>
              </w:rPr>
            </w:pPr>
            <w:r>
              <w:rPr>
                <w:rFonts w:hint="eastAsia"/>
                <w:kern w:val="0"/>
                <w:sz w:val="21"/>
                <w:szCs w:val="21"/>
              </w:rPr>
              <w:t>TP</w:t>
            </w:r>
          </w:p>
        </w:tc>
        <w:tc>
          <w:tcPr>
            <w:tcW w:w="3344" w:type="dxa"/>
          </w:tcPr>
          <w:p w14:paraId="3E02B05B" w14:textId="77777777" w:rsidR="00AF1BF8" w:rsidRDefault="00000000">
            <w:pPr>
              <w:pStyle w:val="af7"/>
              <w:jc w:val="center"/>
              <w:rPr>
                <w:kern w:val="0"/>
                <w:sz w:val="21"/>
                <w:szCs w:val="21"/>
              </w:rPr>
            </w:pPr>
            <w:r>
              <w:rPr>
                <w:rFonts w:hint="eastAsia"/>
                <w:kern w:val="0"/>
                <w:sz w:val="21"/>
                <w:szCs w:val="21"/>
              </w:rPr>
              <w:t>-0.10</w:t>
            </w:r>
          </w:p>
        </w:tc>
      </w:tr>
      <w:tr w:rsidR="00AF1BF8" w14:paraId="7C8E7AED" w14:textId="77777777" w:rsidTr="00AF1BF8">
        <w:tc>
          <w:tcPr>
            <w:tcW w:w="1537" w:type="dxa"/>
            <w:vMerge/>
          </w:tcPr>
          <w:p w14:paraId="5CEF547C" w14:textId="77777777" w:rsidR="00AF1BF8" w:rsidRDefault="00AF1BF8">
            <w:pPr>
              <w:pStyle w:val="af7"/>
              <w:rPr>
                <w:kern w:val="0"/>
                <w:sz w:val="21"/>
                <w:szCs w:val="21"/>
              </w:rPr>
            </w:pPr>
          </w:p>
        </w:tc>
        <w:tc>
          <w:tcPr>
            <w:tcW w:w="3425" w:type="dxa"/>
          </w:tcPr>
          <w:p w14:paraId="64890C5C" w14:textId="77777777" w:rsidR="00AF1BF8" w:rsidRDefault="00000000">
            <w:pPr>
              <w:pStyle w:val="af7"/>
              <w:jc w:val="center"/>
              <w:rPr>
                <w:kern w:val="0"/>
                <w:sz w:val="21"/>
                <w:szCs w:val="21"/>
              </w:rPr>
            </w:pPr>
            <w:r>
              <w:rPr>
                <w:kern w:val="0"/>
                <w:sz w:val="21"/>
                <w:szCs w:val="21"/>
              </w:rPr>
              <w:t>NH</w:t>
            </w:r>
            <w:r>
              <w:rPr>
                <w:rFonts w:hint="eastAsia"/>
                <w:kern w:val="0"/>
                <w:sz w:val="21"/>
                <w:szCs w:val="21"/>
                <w:vertAlign w:val="subscript"/>
              </w:rPr>
              <w:t>4</w:t>
            </w:r>
            <w:r>
              <w:rPr>
                <w:rFonts w:hint="eastAsia"/>
                <w:kern w:val="0"/>
                <w:sz w:val="21"/>
                <w:szCs w:val="21"/>
                <w:vertAlign w:val="superscript"/>
              </w:rPr>
              <w:t>+</w:t>
            </w:r>
            <w:r>
              <w:rPr>
                <w:kern w:val="0"/>
                <w:sz w:val="21"/>
                <w:szCs w:val="21"/>
              </w:rPr>
              <w:t>-N</w:t>
            </w:r>
          </w:p>
        </w:tc>
        <w:tc>
          <w:tcPr>
            <w:tcW w:w="3344" w:type="dxa"/>
          </w:tcPr>
          <w:p w14:paraId="78AC142A" w14:textId="77777777" w:rsidR="00AF1BF8" w:rsidRDefault="00000000">
            <w:pPr>
              <w:pStyle w:val="af7"/>
              <w:jc w:val="center"/>
              <w:rPr>
                <w:kern w:val="0"/>
                <w:sz w:val="21"/>
                <w:szCs w:val="21"/>
              </w:rPr>
            </w:pPr>
            <w:r>
              <w:rPr>
                <w:rFonts w:hint="eastAsia"/>
                <w:kern w:val="0"/>
                <w:sz w:val="21"/>
                <w:szCs w:val="21"/>
              </w:rPr>
              <w:t>1.52</w:t>
            </w:r>
          </w:p>
        </w:tc>
      </w:tr>
      <w:tr w:rsidR="00AF1BF8" w14:paraId="3F9C2A86" w14:textId="77777777" w:rsidTr="00AF1BF8">
        <w:tc>
          <w:tcPr>
            <w:tcW w:w="1537" w:type="dxa"/>
            <w:vMerge w:val="restart"/>
          </w:tcPr>
          <w:p w14:paraId="010ED70E" w14:textId="77777777" w:rsidR="00AF1BF8" w:rsidRDefault="00000000">
            <w:pPr>
              <w:pStyle w:val="af7"/>
              <w:rPr>
                <w:kern w:val="0"/>
                <w:sz w:val="21"/>
                <w:szCs w:val="21"/>
              </w:rPr>
            </w:pPr>
            <w:r>
              <w:rPr>
                <w:kern w:val="0"/>
                <w:sz w:val="21"/>
                <w:szCs w:val="21"/>
              </w:rPr>
              <w:t>Operating cost</w:t>
            </w:r>
          </w:p>
        </w:tc>
        <w:tc>
          <w:tcPr>
            <w:tcW w:w="3425" w:type="dxa"/>
          </w:tcPr>
          <w:p w14:paraId="315CD86D" w14:textId="77777777" w:rsidR="00AF1BF8" w:rsidRDefault="00000000">
            <w:pPr>
              <w:pStyle w:val="af7"/>
              <w:jc w:val="center"/>
              <w:rPr>
                <w:kern w:val="0"/>
                <w:sz w:val="21"/>
                <w:szCs w:val="21"/>
              </w:rPr>
            </w:pPr>
            <w:r>
              <w:rPr>
                <w:kern w:val="0"/>
                <w:sz w:val="21"/>
                <w:szCs w:val="21"/>
              </w:rPr>
              <w:t>Electricity cost</w:t>
            </w:r>
          </w:p>
        </w:tc>
        <w:tc>
          <w:tcPr>
            <w:tcW w:w="3344" w:type="dxa"/>
          </w:tcPr>
          <w:p w14:paraId="51E7AB1C" w14:textId="77777777" w:rsidR="00AF1BF8" w:rsidRDefault="00000000">
            <w:pPr>
              <w:pStyle w:val="af7"/>
              <w:jc w:val="center"/>
              <w:rPr>
                <w:kern w:val="0"/>
                <w:sz w:val="21"/>
                <w:szCs w:val="21"/>
              </w:rPr>
            </w:pPr>
            <w:r>
              <w:rPr>
                <w:rFonts w:hint="eastAsia"/>
                <w:kern w:val="0"/>
                <w:sz w:val="21"/>
                <w:szCs w:val="21"/>
              </w:rPr>
              <w:t>3.85</w:t>
            </w:r>
          </w:p>
        </w:tc>
      </w:tr>
      <w:tr w:rsidR="00AF1BF8" w14:paraId="2492515A" w14:textId="77777777" w:rsidTr="00AF1BF8">
        <w:tc>
          <w:tcPr>
            <w:tcW w:w="1537" w:type="dxa"/>
            <w:vMerge/>
          </w:tcPr>
          <w:p w14:paraId="651834A3" w14:textId="77777777" w:rsidR="00AF1BF8" w:rsidRDefault="00AF1BF8">
            <w:pPr>
              <w:pStyle w:val="af7"/>
              <w:rPr>
                <w:kern w:val="0"/>
                <w:sz w:val="21"/>
                <w:szCs w:val="21"/>
              </w:rPr>
            </w:pPr>
          </w:p>
        </w:tc>
        <w:tc>
          <w:tcPr>
            <w:tcW w:w="3425" w:type="dxa"/>
          </w:tcPr>
          <w:p w14:paraId="6CA848DF" w14:textId="77777777" w:rsidR="00AF1BF8" w:rsidRDefault="00000000">
            <w:pPr>
              <w:pStyle w:val="af7"/>
              <w:jc w:val="center"/>
              <w:rPr>
                <w:kern w:val="0"/>
                <w:sz w:val="21"/>
                <w:szCs w:val="21"/>
              </w:rPr>
            </w:pPr>
            <w:r>
              <w:rPr>
                <w:kern w:val="0"/>
                <w:sz w:val="21"/>
                <w:szCs w:val="21"/>
              </w:rPr>
              <w:t>Chemical cost</w:t>
            </w:r>
          </w:p>
        </w:tc>
        <w:tc>
          <w:tcPr>
            <w:tcW w:w="3344" w:type="dxa"/>
          </w:tcPr>
          <w:p w14:paraId="0F00964A" w14:textId="77777777" w:rsidR="00AF1BF8" w:rsidRDefault="00000000">
            <w:pPr>
              <w:pStyle w:val="af7"/>
              <w:jc w:val="center"/>
              <w:rPr>
                <w:kern w:val="0"/>
                <w:sz w:val="21"/>
                <w:szCs w:val="21"/>
              </w:rPr>
            </w:pPr>
            <w:r>
              <w:rPr>
                <w:rFonts w:hint="eastAsia"/>
                <w:kern w:val="0"/>
                <w:sz w:val="21"/>
                <w:szCs w:val="21"/>
              </w:rPr>
              <w:t>0.25</w:t>
            </w:r>
          </w:p>
        </w:tc>
      </w:tr>
      <w:tr w:rsidR="00AF1BF8" w14:paraId="4BC35A16" w14:textId="77777777" w:rsidTr="00AF1BF8">
        <w:tc>
          <w:tcPr>
            <w:tcW w:w="1537" w:type="dxa"/>
            <w:vMerge/>
          </w:tcPr>
          <w:p w14:paraId="1C47B394" w14:textId="77777777" w:rsidR="00AF1BF8" w:rsidRDefault="00AF1BF8">
            <w:pPr>
              <w:pStyle w:val="af7"/>
              <w:rPr>
                <w:kern w:val="0"/>
                <w:sz w:val="21"/>
                <w:szCs w:val="21"/>
              </w:rPr>
            </w:pPr>
          </w:p>
        </w:tc>
        <w:tc>
          <w:tcPr>
            <w:tcW w:w="3425" w:type="dxa"/>
          </w:tcPr>
          <w:p w14:paraId="05C0EBFE" w14:textId="77777777" w:rsidR="00AF1BF8" w:rsidRDefault="00000000">
            <w:pPr>
              <w:pStyle w:val="af7"/>
              <w:jc w:val="center"/>
              <w:rPr>
                <w:kern w:val="0"/>
                <w:sz w:val="21"/>
                <w:szCs w:val="21"/>
              </w:rPr>
            </w:pPr>
            <w:r>
              <w:rPr>
                <w:kern w:val="0"/>
                <w:sz w:val="21"/>
                <w:szCs w:val="21"/>
              </w:rPr>
              <w:t>Unit wastewater treatment cost</w:t>
            </w:r>
          </w:p>
        </w:tc>
        <w:tc>
          <w:tcPr>
            <w:tcW w:w="3344" w:type="dxa"/>
          </w:tcPr>
          <w:p w14:paraId="552A1DBA" w14:textId="77777777" w:rsidR="00AF1BF8" w:rsidRDefault="00000000">
            <w:pPr>
              <w:pStyle w:val="af7"/>
              <w:jc w:val="center"/>
              <w:rPr>
                <w:kern w:val="0"/>
                <w:sz w:val="21"/>
                <w:szCs w:val="21"/>
              </w:rPr>
            </w:pPr>
            <w:r>
              <w:rPr>
                <w:rFonts w:hint="eastAsia"/>
                <w:kern w:val="0"/>
                <w:sz w:val="21"/>
                <w:szCs w:val="21"/>
              </w:rPr>
              <w:t>0.66</w:t>
            </w:r>
          </w:p>
        </w:tc>
      </w:tr>
      <w:tr w:rsidR="00AF1BF8" w14:paraId="129F9E07" w14:textId="77777777" w:rsidTr="00AF1BF8">
        <w:tc>
          <w:tcPr>
            <w:tcW w:w="1537" w:type="dxa"/>
            <w:vMerge w:val="restart"/>
          </w:tcPr>
          <w:p w14:paraId="2063DEF4" w14:textId="77777777" w:rsidR="00AF1BF8" w:rsidRDefault="00000000">
            <w:pPr>
              <w:pStyle w:val="af7"/>
              <w:rPr>
                <w:kern w:val="0"/>
                <w:sz w:val="21"/>
                <w:szCs w:val="21"/>
              </w:rPr>
            </w:pPr>
            <w:r>
              <w:rPr>
                <w:rFonts w:hint="eastAsia"/>
                <w:kern w:val="0"/>
                <w:sz w:val="21"/>
                <w:szCs w:val="21"/>
              </w:rPr>
              <w:t>GHG emission</w:t>
            </w:r>
          </w:p>
        </w:tc>
        <w:tc>
          <w:tcPr>
            <w:tcW w:w="3425" w:type="dxa"/>
          </w:tcPr>
          <w:p w14:paraId="326CEBC4" w14:textId="77777777" w:rsidR="00AF1BF8" w:rsidRDefault="00000000">
            <w:pPr>
              <w:pStyle w:val="af7"/>
              <w:jc w:val="center"/>
              <w:rPr>
                <w:iCs/>
                <w:kern w:val="0"/>
                <w:sz w:val="21"/>
                <w:szCs w:val="21"/>
              </w:rPr>
            </w:pPr>
            <w:r>
              <w:rPr>
                <w:iCs/>
                <w:kern w:val="0"/>
                <w:sz w:val="21"/>
                <w:szCs w:val="21"/>
              </w:rPr>
              <w:t>Direct CO</w:t>
            </w:r>
            <w:r>
              <w:rPr>
                <w:rFonts w:hint="eastAsia"/>
                <w:iCs/>
                <w:kern w:val="0"/>
                <w:sz w:val="21"/>
                <w:szCs w:val="21"/>
                <w:vertAlign w:val="subscript"/>
              </w:rPr>
              <w:t>2</w:t>
            </w:r>
            <w:r>
              <w:rPr>
                <w:iCs/>
                <w:kern w:val="0"/>
                <w:sz w:val="21"/>
                <w:szCs w:val="21"/>
              </w:rPr>
              <w:t xml:space="preserve"> emissions</w:t>
            </w:r>
          </w:p>
        </w:tc>
        <w:tc>
          <w:tcPr>
            <w:tcW w:w="3344" w:type="dxa"/>
          </w:tcPr>
          <w:p w14:paraId="179D8FBA" w14:textId="77777777" w:rsidR="00AF1BF8" w:rsidRDefault="00000000">
            <w:pPr>
              <w:pStyle w:val="af7"/>
              <w:jc w:val="center"/>
              <w:rPr>
                <w:kern w:val="0"/>
                <w:sz w:val="21"/>
                <w:szCs w:val="21"/>
              </w:rPr>
            </w:pPr>
            <w:r>
              <w:rPr>
                <w:rFonts w:hint="eastAsia"/>
                <w:kern w:val="0"/>
                <w:sz w:val="21"/>
                <w:szCs w:val="21"/>
              </w:rPr>
              <w:t>0.08</w:t>
            </w:r>
          </w:p>
        </w:tc>
      </w:tr>
      <w:tr w:rsidR="00AF1BF8" w14:paraId="340CC893" w14:textId="77777777" w:rsidTr="00AF1BF8">
        <w:tc>
          <w:tcPr>
            <w:tcW w:w="1537" w:type="dxa"/>
            <w:vMerge/>
          </w:tcPr>
          <w:p w14:paraId="107E22A6" w14:textId="77777777" w:rsidR="00AF1BF8" w:rsidRDefault="00AF1BF8">
            <w:pPr>
              <w:pStyle w:val="af7"/>
              <w:rPr>
                <w:kern w:val="0"/>
                <w:sz w:val="21"/>
                <w:szCs w:val="21"/>
              </w:rPr>
            </w:pPr>
          </w:p>
        </w:tc>
        <w:tc>
          <w:tcPr>
            <w:tcW w:w="3425" w:type="dxa"/>
          </w:tcPr>
          <w:p w14:paraId="5204054F" w14:textId="77777777" w:rsidR="00AF1BF8" w:rsidRDefault="00000000">
            <w:pPr>
              <w:pStyle w:val="af7"/>
              <w:jc w:val="center"/>
              <w:rPr>
                <w:iCs/>
                <w:kern w:val="0"/>
                <w:sz w:val="21"/>
                <w:szCs w:val="21"/>
              </w:rPr>
            </w:pPr>
            <w:r>
              <w:rPr>
                <w:iCs/>
                <w:kern w:val="0"/>
                <w:sz w:val="21"/>
                <w:szCs w:val="21"/>
              </w:rPr>
              <w:t>Direct CH</w:t>
            </w:r>
            <w:r>
              <w:rPr>
                <w:rFonts w:hint="eastAsia"/>
                <w:iCs/>
                <w:kern w:val="0"/>
                <w:sz w:val="21"/>
                <w:szCs w:val="21"/>
                <w:vertAlign w:val="subscript"/>
              </w:rPr>
              <w:t>4</w:t>
            </w:r>
            <w:r>
              <w:rPr>
                <w:iCs/>
                <w:kern w:val="0"/>
                <w:sz w:val="21"/>
                <w:szCs w:val="21"/>
              </w:rPr>
              <w:t xml:space="preserve"> emissions</w:t>
            </w:r>
          </w:p>
        </w:tc>
        <w:tc>
          <w:tcPr>
            <w:tcW w:w="3344" w:type="dxa"/>
          </w:tcPr>
          <w:p w14:paraId="7F4C7AB7" w14:textId="77777777" w:rsidR="00AF1BF8" w:rsidRDefault="00000000">
            <w:pPr>
              <w:pStyle w:val="af7"/>
              <w:jc w:val="center"/>
              <w:rPr>
                <w:kern w:val="0"/>
                <w:sz w:val="21"/>
                <w:szCs w:val="21"/>
              </w:rPr>
            </w:pPr>
            <w:r>
              <w:rPr>
                <w:rFonts w:hint="eastAsia"/>
                <w:kern w:val="0"/>
                <w:sz w:val="21"/>
                <w:szCs w:val="21"/>
              </w:rPr>
              <w:t>0.13</w:t>
            </w:r>
          </w:p>
        </w:tc>
      </w:tr>
      <w:tr w:rsidR="00AF1BF8" w14:paraId="430FC17B" w14:textId="77777777" w:rsidTr="00AF1BF8">
        <w:tc>
          <w:tcPr>
            <w:tcW w:w="1537" w:type="dxa"/>
            <w:vMerge/>
          </w:tcPr>
          <w:p w14:paraId="6977803F" w14:textId="77777777" w:rsidR="00AF1BF8" w:rsidRDefault="00AF1BF8">
            <w:pPr>
              <w:pStyle w:val="af7"/>
              <w:rPr>
                <w:kern w:val="0"/>
                <w:sz w:val="21"/>
                <w:szCs w:val="21"/>
              </w:rPr>
            </w:pPr>
          </w:p>
        </w:tc>
        <w:tc>
          <w:tcPr>
            <w:tcW w:w="3425" w:type="dxa"/>
          </w:tcPr>
          <w:p w14:paraId="287FF0B7" w14:textId="77777777" w:rsidR="00AF1BF8" w:rsidRDefault="00000000">
            <w:pPr>
              <w:pStyle w:val="af7"/>
              <w:jc w:val="center"/>
              <w:rPr>
                <w:iCs/>
                <w:kern w:val="0"/>
                <w:sz w:val="21"/>
                <w:szCs w:val="21"/>
              </w:rPr>
            </w:pPr>
            <w:r>
              <w:rPr>
                <w:iCs/>
                <w:kern w:val="0"/>
                <w:sz w:val="21"/>
                <w:szCs w:val="21"/>
              </w:rPr>
              <w:t>Direct N</w:t>
            </w:r>
            <w:r>
              <w:rPr>
                <w:rFonts w:hint="eastAsia"/>
                <w:iCs/>
                <w:kern w:val="0"/>
                <w:sz w:val="21"/>
                <w:szCs w:val="21"/>
                <w:vertAlign w:val="subscript"/>
              </w:rPr>
              <w:t>2</w:t>
            </w:r>
            <w:r>
              <w:rPr>
                <w:iCs/>
                <w:kern w:val="0"/>
                <w:sz w:val="21"/>
                <w:szCs w:val="21"/>
              </w:rPr>
              <w:t>O emissions</w:t>
            </w:r>
          </w:p>
        </w:tc>
        <w:tc>
          <w:tcPr>
            <w:tcW w:w="3344" w:type="dxa"/>
          </w:tcPr>
          <w:p w14:paraId="4F4271AC" w14:textId="77777777" w:rsidR="00AF1BF8" w:rsidRDefault="00000000">
            <w:pPr>
              <w:pStyle w:val="af7"/>
              <w:jc w:val="center"/>
              <w:rPr>
                <w:kern w:val="0"/>
                <w:sz w:val="21"/>
                <w:szCs w:val="21"/>
              </w:rPr>
            </w:pPr>
            <w:r>
              <w:rPr>
                <w:rFonts w:hint="eastAsia"/>
                <w:kern w:val="0"/>
                <w:sz w:val="21"/>
                <w:szCs w:val="21"/>
              </w:rPr>
              <w:t>0.59</w:t>
            </w:r>
          </w:p>
        </w:tc>
      </w:tr>
      <w:tr w:rsidR="00AF1BF8" w14:paraId="41BF82B8" w14:textId="77777777" w:rsidTr="00AF1BF8">
        <w:tc>
          <w:tcPr>
            <w:tcW w:w="1537" w:type="dxa"/>
            <w:vMerge/>
          </w:tcPr>
          <w:p w14:paraId="4E7E5809" w14:textId="77777777" w:rsidR="00AF1BF8" w:rsidRDefault="00AF1BF8">
            <w:pPr>
              <w:pStyle w:val="af7"/>
              <w:rPr>
                <w:kern w:val="0"/>
                <w:sz w:val="21"/>
                <w:szCs w:val="21"/>
              </w:rPr>
            </w:pPr>
          </w:p>
        </w:tc>
        <w:tc>
          <w:tcPr>
            <w:tcW w:w="3425" w:type="dxa"/>
          </w:tcPr>
          <w:p w14:paraId="60042EA1" w14:textId="77777777" w:rsidR="00AF1BF8" w:rsidRDefault="00000000">
            <w:pPr>
              <w:pStyle w:val="af7"/>
              <w:jc w:val="center"/>
              <w:rPr>
                <w:kern w:val="0"/>
                <w:sz w:val="21"/>
                <w:szCs w:val="21"/>
              </w:rPr>
            </w:pPr>
            <w:r>
              <w:rPr>
                <w:kern w:val="0"/>
                <w:sz w:val="21"/>
                <w:szCs w:val="21"/>
              </w:rPr>
              <w:t>Electricity-related indirect emissions</w:t>
            </w:r>
          </w:p>
        </w:tc>
        <w:tc>
          <w:tcPr>
            <w:tcW w:w="3344" w:type="dxa"/>
          </w:tcPr>
          <w:p w14:paraId="1B7DBCC5" w14:textId="77777777" w:rsidR="00AF1BF8" w:rsidRDefault="00000000">
            <w:pPr>
              <w:pStyle w:val="af7"/>
              <w:jc w:val="center"/>
              <w:rPr>
                <w:kern w:val="0"/>
                <w:sz w:val="21"/>
                <w:szCs w:val="21"/>
              </w:rPr>
            </w:pPr>
            <w:r>
              <w:rPr>
                <w:rFonts w:hint="eastAsia"/>
                <w:kern w:val="0"/>
                <w:sz w:val="21"/>
                <w:szCs w:val="21"/>
              </w:rPr>
              <w:t>3.85</w:t>
            </w:r>
          </w:p>
        </w:tc>
      </w:tr>
      <w:tr w:rsidR="00AF1BF8" w14:paraId="3DA3050E" w14:textId="77777777" w:rsidTr="00AF1BF8">
        <w:tc>
          <w:tcPr>
            <w:tcW w:w="1537" w:type="dxa"/>
            <w:vMerge/>
          </w:tcPr>
          <w:p w14:paraId="6B06ACAD" w14:textId="77777777" w:rsidR="00AF1BF8" w:rsidRDefault="00AF1BF8">
            <w:pPr>
              <w:pStyle w:val="af7"/>
              <w:rPr>
                <w:kern w:val="0"/>
                <w:sz w:val="21"/>
                <w:szCs w:val="21"/>
              </w:rPr>
            </w:pPr>
          </w:p>
        </w:tc>
        <w:tc>
          <w:tcPr>
            <w:tcW w:w="3425" w:type="dxa"/>
            <w:tcBorders>
              <w:bottom w:val="nil"/>
            </w:tcBorders>
          </w:tcPr>
          <w:p w14:paraId="7A1B4EE6" w14:textId="77777777" w:rsidR="00AF1BF8" w:rsidRDefault="00000000">
            <w:pPr>
              <w:pStyle w:val="af7"/>
              <w:jc w:val="center"/>
              <w:rPr>
                <w:kern w:val="0"/>
                <w:sz w:val="21"/>
                <w:szCs w:val="21"/>
              </w:rPr>
            </w:pPr>
            <w:r>
              <w:rPr>
                <w:kern w:val="0"/>
                <w:sz w:val="21"/>
                <w:szCs w:val="21"/>
              </w:rPr>
              <w:t>Chemical-related indirect emissions</w:t>
            </w:r>
          </w:p>
        </w:tc>
        <w:tc>
          <w:tcPr>
            <w:tcW w:w="3344" w:type="dxa"/>
            <w:tcBorders>
              <w:bottom w:val="nil"/>
            </w:tcBorders>
          </w:tcPr>
          <w:p w14:paraId="04AEB6AF" w14:textId="77777777" w:rsidR="00AF1BF8" w:rsidRDefault="00000000">
            <w:pPr>
              <w:pStyle w:val="af7"/>
              <w:jc w:val="center"/>
              <w:rPr>
                <w:kern w:val="0"/>
                <w:sz w:val="21"/>
                <w:szCs w:val="21"/>
              </w:rPr>
            </w:pPr>
            <w:r>
              <w:rPr>
                <w:rFonts w:hint="eastAsia"/>
                <w:kern w:val="0"/>
                <w:sz w:val="21"/>
                <w:szCs w:val="21"/>
              </w:rPr>
              <w:t>0.18</w:t>
            </w:r>
          </w:p>
        </w:tc>
      </w:tr>
      <w:tr w:rsidR="00AF1BF8" w14:paraId="19BF41CB" w14:textId="77777777" w:rsidTr="00AF1BF8">
        <w:tc>
          <w:tcPr>
            <w:tcW w:w="1537" w:type="dxa"/>
            <w:vMerge/>
            <w:tcBorders>
              <w:bottom w:val="single" w:sz="12" w:space="0" w:color="auto"/>
            </w:tcBorders>
          </w:tcPr>
          <w:p w14:paraId="3205CDBE" w14:textId="77777777" w:rsidR="00AF1BF8" w:rsidRDefault="00AF1BF8">
            <w:pPr>
              <w:pStyle w:val="af7"/>
              <w:rPr>
                <w:kern w:val="0"/>
                <w:sz w:val="21"/>
                <w:szCs w:val="21"/>
              </w:rPr>
            </w:pPr>
          </w:p>
        </w:tc>
        <w:tc>
          <w:tcPr>
            <w:tcW w:w="3425" w:type="dxa"/>
            <w:tcBorders>
              <w:top w:val="nil"/>
              <w:bottom w:val="single" w:sz="12" w:space="0" w:color="auto"/>
            </w:tcBorders>
          </w:tcPr>
          <w:p w14:paraId="23B2BBD4" w14:textId="77777777" w:rsidR="00AF1BF8" w:rsidRDefault="00000000">
            <w:pPr>
              <w:pStyle w:val="af7"/>
              <w:jc w:val="center"/>
              <w:rPr>
                <w:kern w:val="0"/>
                <w:sz w:val="21"/>
                <w:szCs w:val="21"/>
              </w:rPr>
            </w:pPr>
            <w:r>
              <w:rPr>
                <w:kern w:val="0"/>
                <w:sz w:val="21"/>
                <w:szCs w:val="21"/>
              </w:rPr>
              <w:t>Unit wastewater carbon emissions</w:t>
            </w:r>
          </w:p>
        </w:tc>
        <w:tc>
          <w:tcPr>
            <w:tcW w:w="3344" w:type="dxa"/>
            <w:tcBorders>
              <w:top w:val="nil"/>
              <w:bottom w:val="single" w:sz="12" w:space="0" w:color="auto"/>
            </w:tcBorders>
          </w:tcPr>
          <w:p w14:paraId="1ADC8AA3" w14:textId="77777777" w:rsidR="00AF1BF8" w:rsidRDefault="00000000">
            <w:pPr>
              <w:pStyle w:val="af7"/>
              <w:jc w:val="center"/>
              <w:rPr>
                <w:kern w:val="0"/>
                <w:sz w:val="21"/>
                <w:szCs w:val="21"/>
              </w:rPr>
            </w:pPr>
            <w:r>
              <w:rPr>
                <w:rFonts w:hint="eastAsia"/>
                <w:kern w:val="0"/>
                <w:sz w:val="21"/>
                <w:szCs w:val="21"/>
              </w:rPr>
              <w:t>0.49</w:t>
            </w:r>
          </w:p>
        </w:tc>
      </w:tr>
    </w:tbl>
    <w:p w14:paraId="594BD386" w14:textId="77777777" w:rsidR="00AF1BF8" w:rsidRDefault="00AF1BF8">
      <w:pPr>
        <w:rPr>
          <w:szCs w:val="21"/>
        </w:rPr>
      </w:pPr>
    </w:p>
    <w:p w14:paraId="4CFEA028" w14:textId="77777777" w:rsidR="00AF1BF8" w:rsidRDefault="00000000">
      <w:pPr>
        <w:pStyle w:val="1"/>
        <w:spacing w:before="10" w:after="10"/>
        <w:rPr>
          <w:rFonts w:ascii="Times New Roman" w:hAnsi="Times New Roman" w:cs="Times New Roman"/>
          <w:color w:val="4472C4" w:themeColor="accent1"/>
          <w:sz w:val="28"/>
          <w:szCs w:val="28"/>
        </w:rPr>
      </w:pPr>
      <w:r>
        <w:rPr>
          <w:rFonts w:ascii="Times New Roman" w:hAnsi="Times New Roman" w:cs="Times New Roman"/>
          <w:color w:val="4472C4" w:themeColor="accent1"/>
          <w:sz w:val="28"/>
          <w:szCs w:val="28"/>
        </w:rPr>
        <w:t>T</w:t>
      </w:r>
      <w:bookmarkStart w:id="13" w:name="OLE_LINK10"/>
      <w:r>
        <w:rPr>
          <w:rFonts w:ascii="Times New Roman" w:hAnsi="Times New Roman" w:cs="Times New Roman"/>
          <w:color w:val="4472C4" w:themeColor="accent1"/>
          <w:sz w:val="28"/>
          <w:szCs w:val="28"/>
        </w:rPr>
        <w:t>ext</w:t>
      </w:r>
      <w:r>
        <w:rPr>
          <w:rFonts w:ascii="Times New Roman" w:hAnsi="Times New Roman" w:cs="Times New Roman" w:hint="eastAsia"/>
          <w:color w:val="4472C4" w:themeColor="accent1"/>
          <w:sz w:val="28"/>
          <w:szCs w:val="28"/>
        </w:rPr>
        <w:t>.</w:t>
      </w:r>
      <w:r>
        <w:rPr>
          <w:rFonts w:ascii="Times New Roman" w:hAnsi="Times New Roman" w:cs="Times New Roman"/>
          <w:color w:val="4472C4" w:themeColor="accent1"/>
          <w:sz w:val="28"/>
          <w:szCs w:val="28"/>
        </w:rPr>
        <w:t xml:space="preserve"> </w:t>
      </w:r>
      <w:proofErr w:type="spellStart"/>
      <w:r>
        <w:rPr>
          <w:rFonts w:ascii="Times New Roman" w:hAnsi="Times New Roman" w:cs="Times New Roman" w:hint="eastAsia"/>
          <w:color w:val="4472C4" w:themeColor="accent1"/>
          <w:sz w:val="28"/>
          <w:szCs w:val="28"/>
        </w:rPr>
        <w:t>A8</w:t>
      </w:r>
      <w:proofErr w:type="spellEnd"/>
      <w:r>
        <w:rPr>
          <w:rFonts w:ascii="Times New Roman" w:hAnsi="Times New Roman" w:cs="Times New Roman"/>
          <w:color w:val="4472C4" w:themeColor="accent1"/>
          <w:sz w:val="28"/>
          <w:szCs w:val="28"/>
        </w:rPr>
        <w:t>. Significance ranking of operational variables</w:t>
      </w:r>
    </w:p>
    <w:p w14:paraId="5F530E9F" w14:textId="77777777" w:rsidR="00AF1BF8" w:rsidRDefault="00000000">
      <w:pPr>
        <w:ind w:firstLineChars="200" w:firstLine="420"/>
      </w:pPr>
      <w:r>
        <w:t xml:space="preserve">Analysis of variance was used to identify the dominant factors affecting each response. For both treatment lines, </w:t>
      </w:r>
      <m:oMath>
        <m:sSub>
          <m:sSubPr>
            <m:ctrlPr>
              <w:rPr>
                <w:rFonts w:ascii="Cambria Math" w:hAnsi="Cambria Math"/>
                <w:i/>
              </w:rPr>
            </m:ctrlPr>
          </m:sSubPr>
          <m:e>
            <m:r>
              <w:rPr>
                <w:rFonts w:ascii="Cambria Math" w:hAnsi="Cambria Math"/>
              </w:rPr>
              <m:t>R</m:t>
            </m:r>
          </m:e>
          <m:sub>
            <m:r>
              <w:rPr>
                <w:rFonts w:ascii="Cambria Math" w:hAnsi="Cambria Math"/>
              </w:rPr>
              <m:t>ext</m:t>
            </m:r>
          </m:sub>
        </m:sSub>
      </m:oMath>
      <w:r>
        <w:t xml:space="preserve"> was the dominant factor affecting nitrogen‑related water‑quality </w:t>
      </w:r>
      <w:r>
        <w:lastRenderedPageBreak/>
        <w:t>indicators</w:t>
      </w:r>
      <w:r>
        <w:rPr>
          <w:rFonts w:hint="eastAsia"/>
        </w:rPr>
        <w:t xml:space="preserve"> (</w:t>
      </w:r>
      <w:r>
        <w:rPr>
          <w:rFonts w:hint="eastAsia"/>
          <w:color w:val="4472C4" w:themeColor="accent1"/>
        </w:rPr>
        <w:t xml:space="preserve">Table </w:t>
      </w:r>
      <w:proofErr w:type="spellStart"/>
      <w:r>
        <w:rPr>
          <w:rFonts w:hint="eastAsia"/>
          <w:color w:val="4472C4" w:themeColor="accent1"/>
        </w:rPr>
        <w:t>A16</w:t>
      </w:r>
      <w:proofErr w:type="spellEnd"/>
      <w:r>
        <w:rPr>
          <w:rFonts w:hint="eastAsia"/>
        </w:rPr>
        <w:t>)</w:t>
      </w:r>
      <w:r>
        <w:t xml:space="preserve">, whereas </w:t>
      </w:r>
      <m:oMath>
        <m:sSub>
          <m:sSubPr>
            <m:ctrlPr>
              <w:rPr>
                <w:rFonts w:ascii="Cambria Math" w:hAnsi="Cambria Math"/>
                <w:i/>
              </w:rPr>
            </m:ctrlPr>
          </m:sSubPr>
          <m:e>
            <m:r>
              <w:rPr>
                <w:rFonts w:ascii="Cambria Math" w:hAnsi="Cambria Math"/>
              </w:rPr>
              <m:t>R</m:t>
            </m:r>
          </m:e>
          <m:sub>
            <m:r>
              <w:rPr>
                <w:rFonts w:ascii="Cambria Math" w:hAnsi="Cambria Math"/>
              </w:rPr>
              <m:t>int</m:t>
            </m:r>
          </m:sub>
        </m:sSub>
      </m:oMath>
      <w:r>
        <w:rPr>
          <w:rFonts w:hint="eastAsia"/>
        </w:rPr>
        <w:t xml:space="preserve"> </w:t>
      </w:r>
      <w:r>
        <w:t>was the dominant factor affecting operating cost and GHG emissions. This indicates that wet‑weather operation should control internal recirculation to reduce energy consumption while using external recirculation to stabilize nitrogen removal.</w:t>
      </w:r>
    </w:p>
    <w:p w14:paraId="1064DFC7" w14:textId="77777777" w:rsidR="00AF1BF8" w:rsidRDefault="00000000">
      <w:pPr>
        <w:ind w:firstLineChars="200" w:firstLine="420"/>
        <w:jc w:val="center"/>
      </w:pPr>
      <w:r>
        <w:rPr>
          <w:color w:val="4472C4" w:themeColor="accent1"/>
        </w:rPr>
        <w:t xml:space="preserve">Table </w:t>
      </w:r>
      <w:proofErr w:type="spellStart"/>
      <w:r>
        <w:rPr>
          <w:color w:val="4472C4" w:themeColor="accent1"/>
        </w:rPr>
        <w:t>A1</w:t>
      </w:r>
      <w:r>
        <w:rPr>
          <w:rFonts w:hint="eastAsia"/>
          <w:color w:val="4472C4" w:themeColor="accent1"/>
        </w:rPr>
        <w:t>6</w:t>
      </w:r>
      <w:proofErr w:type="spellEnd"/>
      <w:r>
        <w:t xml:space="preserve"> Dominant operational factors identified from response surface analysis.</w:t>
      </w:r>
    </w:p>
    <w:tbl>
      <w:tblPr>
        <w:tblStyle w:val="af"/>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7"/>
        <w:gridCol w:w="1704"/>
        <w:gridCol w:w="1701"/>
        <w:gridCol w:w="3402"/>
      </w:tblGrid>
      <w:tr w:rsidR="00AF1BF8" w14:paraId="6D287E66" w14:textId="77777777">
        <w:tc>
          <w:tcPr>
            <w:tcW w:w="1557" w:type="dxa"/>
            <w:tcBorders>
              <w:top w:val="single" w:sz="12" w:space="0" w:color="auto"/>
              <w:bottom w:val="single" w:sz="4" w:space="0" w:color="auto"/>
            </w:tcBorders>
            <w:vAlign w:val="center"/>
          </w:tcPr>
          <w:p w14:paraId="08E98BFF" w14:textId="77777777" w:rsidR="00AF1BF8" w:rsidRDefault="00000000">
            <w:pPr>
              <w:jc w:val="center"/>
              <w:rPr>
                <w:kern w:val="0"/>
                <w:szCs w:val="21"/>
              </w:rPr>
            </w:pPr>
            <w:r>
              <w:rPr>
                <w:kern w:val="0"/>
                <w:szCs w:val="21"/>
              </w:rPr>
              <w:t>Response</w:t>
            </w:r>
          </w:p>
        </w:tc>
        <w:tc>
          <w:tcPr>
            <w:tcW w:w="1704" w:type="dxa"/>
            <w:tcBorders>
              <w:top w:val="single" w:sz="12" w:space="0" w:color="auto"/>
              <w:bottom w:val="single" w:sz="4" w:space="0" w:color="auto"/>
            </w:tcBorders>
            <w:vAlign w:val="center"/>
          </w:tcPr>
          <w:p w14:paraId="02AC59AE" w14:textId="77777777" w:rsidR="00AF1BF8" w:rsidRDefault="00000000">
            <w:pPr>
              <w:jc w:val="center"/>
              <w:rPr>
                <w:kern w:val="0"/>
                <w:szCs w:val="21"/>
              </w:rPr>
            </w:pPr>
            <w:r>
              <w:rPr>
                <w:kern w:val="0"/>
                <w:szCs w:val="21"/>
              </w:rPr>
              <w:t>AAO process</w:t>
            </w:r>
          </w:p>
        </w:tc>
        <w:tc>
          <w:tcPr>
            <w:tcW w:w="1701" w:type="dxa"/>
            <w:tcBorders>
              <w:top w:val="single" w:sz="12" w:space="0" w:color="auto"/>
              <w:bottom w:val="single" w:sz="4" w:space="0" w:color="auto"/>
            </w:tcBorders>
            <w:vAlign w:val="center"/>
          </w:tcPr>
          <w:p w14:paraId="28F929DA" w14:textId="77777777" w:rsidR="00AF1BF8" w:rsidRDefault="00000000">
            <w:pPr>
              <w:jc w:val="center"/>
              <w:rPr>
                <w:kern w:val="0"/>
                <w:szCs w:val="21"/>
              </w:rPr>
            </w:pPr>
            <w:r>
              <w:rPr>
                <w:kern w:val="0"/>
                <w:szCs w:val="21"/>
              </w:rPr>
              <w:t>AO process</w:t>
            </w:r>
          </w:p>
        </w:tc>
        <w:tc>
          <w:tcPr>
            <w:tcW w:w="3402" w:type="dxa"/>
            <w:tcBorders>
              <w:top w:val="single" w:sz="12" w:space="0" w:color="auto"/>
              <w:bottom w:val="single" w:sz="4" w:space="0" w:color="auto"/>
            </w:tcBorders>
            <w:vAlign w:val="center"/>
          </w:tcPr>
          <w:p w14:paraId="79C7482A" w14:textId="77777777" w:rsidR="00AF1BF8" w:rsidRDefault="00000000">
            <w:pPr>
              <w:jc w:val="center"/>
              <w:rPr>
                <w:kern w:val="0"/>
                <w:szCs w:val="21"/>
              </w:rPr>
            </w:pPr>
            <w:r>
              <w:rPr>
                <w:kern w:val="0"/>
                <w:szCs w:val="21"/>
              </w:rPr>
              <w:t>Interpretation</w:t>
            </w:r>
          </w:p>
        </w:tc>
      </w:tr>
      <w:tr w:rsidR="00AF1BF8" w14:paraId="650CD128" w14:textId="77777777">
        <w:tc>
          <w:tcPr>
            <w:tcW w:w="1557" w:type="dxa"/>
            <w:tcBorders>
              <w:top w:val="single" w:sz="4" w:space="0" w:color="auto"/>
            </w:tcBorders>
            <w:vAlign w:val="center"/>
          </w:tcPr>
          <w:p w14:paraId="4585F4BB" w14:textId="77777777" w:rsidR="00AF1BF8" w:rsidRDefault="00000000">
            <w:pPr>
              <w:jc w:val="center"/>
              <w:rPr>
                <w:kern w:val="0"/>
                <w:szCs w:val="21"/>
              </w:rPr>
            </w:pPr>
            <w:r>
              <w:rPr>
                <w:kern w:val="0"/>
                <w:szCs w:val="21"/>
              </w:rPr>
              <w:t>TN</w:t>
            </w:r>
          </w:p>
        </w:tc>
        <w:tc>
          <w:tcPr>
            <w:tcW w:w="1704" w:type="dxa"/>
            <w:tcBorders>
              <w:top w:val="single" w:sz="4" w:space="0" w:color="auto"/>
            </w:tcBorders>
            <w:vAlign w:val="center"/>
          </w:tcPr>
          <w:p w14:paraId="3F0A9681" w14:textId="77777777" w:rsidR="00AF1BF8" w:rsidRDefault="00000000">
            <w:pPr>
              <w:jc w:val="center"/>
              <w:rPr>
                <w:kern w:val="0"/>
                <w:szCs w:val="21"/>
              </w:rPr>
            </w:pP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ext</m:t>
                  </m:r>
                </m:sub>
              </m:sSub>
            </m:oMath>
            <w:r>
              <w:rPr>
                <w:rFonts w:hint="eastAsia"/>
                <w:iCs/>
                <w:kern w:val="0"/>
                <w:sz w:val="20"/>
                <w:szCs w:val="20"/>
              </w:rPr>
              <w:t>＞</w:t>
            </w: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hint="eastAsia"/>
                      <w:kern w:val="0"/>
                      <w:sz w:val="20"/>
                      <w:szCs w:val="20"/>
                    </w:rPr>
                    <m:t>int</m:t>
                  </m:r>
                </m:sub>
              </m:sSub>
            </m:oMath>
            <w:r>
              <w:rPr>
                <w:rFonts w:hint="eastAsia"/>
                <w:iCs/>
                <w:kern w:val="0"/>
                <w:sz w:val="20"/>
                <w:szCs w:val="20"/>
              </w:rPr>
              <w:t>＞</w:t>
            </w:r>
            <w:r>
              <w:rPr>
                <w:rFonts w:hint="eastAsia"/>
                <w:iCs/>
                <w:kern w:val="0"/>
                <w:sz w:val="20"/>
                <w:szCs w:val="20"/>
              </w:rPr>
              <w:t>DO</w:t>
            </w:r>
          </w:p>
        </w:tc>
        <w:tc>
          <w:tcPr>
            <w:tcW w:w="1701" w:type="dxa"/>
            <w:tcBorders>
              <w:top w:val="single" w:sz="4" w:space="0" w:color="auto"/>
            </w:tcBorders>
            <w:vAlign w:val="center"/>
          </w:tcPr>
          <w:p w14:paraId="143CB446" w14:textId="77777777" w:rsidR="00AF1BF8" w:rsidRDefault="00000000">
            <w:pPr>
              <w:jc w:val="center"/>
              <w:rPr>
                <w:iCs/>
                <w:kern w:val="0"/>
                <w:szCs w:val="21"/>
              </w:rPr>
            </w:pP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ext</m:t>
                  </m:r>
                </m:sub>
              </m:sSub>
            </m:oMath>
            <w:r>
              <w:rPr>
                <w:rFonts w:hint="eastAsia"/>
                <w:iCs/>
                <w:kern w:val="0"/>
                <w:sz w:val="20"/>
                <w:szCs w:val="20"/>
              </w:rPr>
              <w:t>＞</w:t>
            </w:r>
            <w:r>
              <w:rPr>
                <w:rFonts w:hint="eastAsia"/>
                <w:iCs/>
                <w:kern w:val="0"/>
                <w:sz w:val="20"/>
                <w:szCs w:val="20"/>
              </w:rPr>
              <w:t>DO</w:t>
            </w:r>
            <w:r>
              <w:rPr>
                <w:rFonts w:hint="eastAsia"/>
                <w:iCs/>
                <w:kern w:val="0"/>
                <w:sz w:val="20"/>
                <w:szCs w:val="20"/>
              </w:rPr>
              <w:t>＞</w:t>
            </w: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hint="eastAsia"/>
                      <w:kern w:val="0"/>
                      <w:sz w:val="20"/>
                      <w:szCs w:val="20"/>
                    </w:rPr>
                    <m:t>int</m:t>
                  </m:r>
                </m:sub>
              </m:sSub>
            </m:oMath>
          </w:p>
        </w:tc>
        <w:tc>
          <w:tcPr>
            <w:tcW w:w="3402" w:type="dxa"/>
            <w:tcBorders>
              <w:top w:val="single" w:sz="4" w:space="0" w:color="auto"/>
            </w:tcBorders>
            <w:vAlign w:val="center"/>
          </w:tcPr>
          <w:p w14:paraId="77DC99FF" w14:textId="77777777" w:rsidR="00AF1BF8" w:rsidRDefault="00000000">
            <w:pPr>
              <w:rPr>
                <w:kern w:val="0"/>
                <w:szCs w:val="21"/>
              </w:rPr>
            </w:pPr>
            <w:r>
              <w:rPr>
                <w:kern w:val="0"/>
                <w:szCs w:val="21"/>
              </w:rPr>
              <w:t>External recirculation strongly affects sludge concentration and nitrogen‑removal stability.</w:t>
            </w:r>
          </w:p>
        </w:tc>
      </w:tr>
      <w:tr w:rsidR="00AF1BF8" w14:paraId="14A9AC04" w14:textId="77777777">
        <w:tc>
          <w:tcPr>
            <w:tcW w:w="1557" w:type="dxa"/>
            <w:vAlign w:val="center"/>
          </w:tcPr>
          <w:p w14:paraId="37C0DFBF" w14:textId="77777777" w:rsidR="00AF1BF8" w:rsidRDefault="00000000">
            <w:pPr>
              <w:jc w:val="center"/>
              <w:rPr>
                <w:kern w:val="0"/>
                <w:szCs w:val="21"/>
              </w:rPr>
            </w:pPr>
            <w:r>
              <w:rPr>
                <w:kern w:val="0"/>
                <w:szCs w:val="21"/>
              </w:rPr>
              <w:t>NH</w:t>
            </w:r>
            <w:r>
              <w:rPr>
                <w:rFonts w:hint="eastAsia"/>
                <w:kern w:val="0"/>
                <w:szCs w:val="21"/>
                <w:vertAlign w:val="subscript"/>
              </w:rPr>
              <w:t>4</w:t>
            </w:r>
            <w:r>
              <w:rPr>
                <w:rFonts w:hint="eastAsia"/>
                <w:kern w:val="0"/>
                <w:szCs w:val="21"/>
                <w:vertAlign w:val="superscript"/>
              </w:rPr>
              <w:t>+</w:t>
            </w:r>
            <w:r>
              <w:rPr>
                <w:kern w:val="0"/>
                <w:szCs w:val="21"/>
              </w:rPr>
              <w:t>‑N</w:t>
            </w:r>
          </w:p>
        </w:tc>
        <w:tc>
          <w:tcPr>
            <w:tcW w:w="1704" w:type="dxa"/>
            <w:vAlign w:val="center"/>
          </w:tcPr>
          <w:p w14:paraId="7D5471A8" w14:textId="77777777" w:rsidR="00AF1BF8" w:rsidRDefault="00000000">
            <w:pPr>
              <w:jc w:val="center"/>
              <w:rPr>
                <w:kern w:val="0"/>
                <w:szCs w:val="21"/>
              </w:rPr>
            </w:pP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ext</m:t>
                  </m:r>
                </m:sub>
              </m:sSub>
            </m:oMath>
            <w:r>
              <w:rPr>
                <w:rFonts w:hint="eastAsia"/>
                <w:iCs/>
                <w:kern w:val="0"/>
                <w:sz w:val="20"/>
                <w:szCs w:val="20"/>
              </w:rPr>
              <w:t>＞</w:t>
            </w:r>
            <w:r>
              <w:rPr>
                <w:rFonts w:hint="eastAsia"/>
                <w:iCs/>
                <w:kern w:val="0"/>
                <w:sz w:val="20"/>
                <w:szCs w:val="20"/>
              </w:rPr>
              <w:t>DO</w:t>
            </w:r>
            <w:r>
              <w:rPr>
                <w:rFonts w:hint="eastAsia"/>
                <w:iCs/>
                <w:kern w:val="0"/>
                <w:sz w:val="20"/>
                <w:szCs w:val="20"/>
              </w:rPr>
              <w:t>＞</w:t>
            </w: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hint="eastAsia"/>
                      <w:kern w:val="0"/>
                      <w:sz w:val="20"/>
                      <w:szCs w:val="20"/>
                    </w:rPr>
                    <m:t>int</m:t>
                  </m:r>
                </m:sub>
              </m:sSub>
            </m:oMath>
          </w:p>
        </w:tc>
        <w:tc>
          <w:tcPr>
            <w:tcW w:w="1701" w:type="dxa"/>
            <w:vAlign w:val="center"/>
          </w:tcPr>
          <w:p w14:paraId="2B9940FB" w14:textId="77777777" w:rsidR="00AF1BF8" w:rsidRDefault="00000000">
            <w:pPr>
              <w:jc w:val="center"/>
              <w:rPr>
                <w:kern w:val="0"/>
                <w:szCs w:val="21"/>
              </w:rPr>
            </w:pP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ext</m:t>
                  </m:r>
                </m:sub>
              </m:sSub>
            </m:oMath>
            <w:r>
              <w:rPr>
                <w:rFonts w:hint="eastAsia"/>
                <w:iCs/>
                <w:kern w:val="0"/>
                <w:sz w:val="20"/>
                <w:szCs w:val="20"/>
              </w:rPr>
              <w:t>＞</w:t>
            </w:r>
            <w:r>
              <w:rPr>
                <w:rFonts w:hint="eastAsia"/>
                <w:iCs/>
                <w:kern w:val="0"/>
                <w:sz w:val="20"/>
                <w:szCs w:val="20"/>
              </w:rPr>
              <w:t>DO</w:t>
            </w:r>
            <w:r>
              <w:rPr>
                <w:rFonts w:hint="eastAsia"/>
                <w:iCs/>
                <w:kern w:val="0"/>
                <w:sz w:val="20"/>
                <w:szCs w:val="20"/>
              </w:rPr>
              <w:t>＞</w:t>
            </w: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hint="eastAsia"/>
                      <w:kern w:val="0"/>
                      <w:sz w:val="20"/>
                      <w:szCs w:val="20"/>
                    </w:rPr>
                    <m:t>int</m:t>
                  </m:r>
                </m:sub>
              </m:sSub>
            </m:oMath>
          </w:p>
        </w:tc>
        <w:tc>
          <w:tcPr>
            <w:tcW w:w="3402" w:type="dxa"/>
            <w:vAlign w:val="center"/>
          </w:tcPr>
          <w:p w14:paraId="315E95E8" w14:textId="77777777" w:rsidR="00AF1BF8" w:rsidRDefault="00000000">
            <w:pPr>
              <w:rPr>
                <w:kern w:val="0"/>
                <w:szCs w:val="21"/>
              </w:rPr>
            </w:pPr>
            <w:r>
              <w:rPr>
                <w:kern w:val="0"/>
                <w:szCs w:val="21"/>
              </w:rPr>
              <w:t>External recirculation and DO jointly regulate nitrification capacity.</w:t>
            </w:r>
          </w:p>
        </w:tc>
      </w:tr>
      <w:tr w:rsidR="00AF1BF8" w14:paraId="4F120390" w14:textId="77777777">
        <w:tc>
          <w:tcPr>
            <w:tcW w:w="1557" w:type="dxa"/>
            <w:vAlign w:val="center"/>
          </w:tcPr>
          <w:p w14:paraId="4C38DAE9" w14:textId="77777777" w:rsidR="00AF1BF8" w:rsidRDefault="00000000">
            <w:pPr>
              <w:jc w:val="center"/>
              <w:rPr>
                <w:kern w:val="0"/>
                <w:szCs w:val="21"/>
              </w:rPr>
            </w:pPr>
            <w:r>
              <w:rPr>
                <w:kern w:val="0"/>
                <w:szCs w:val="21"/>
              </w:rPr>
              <w:t>Operating cost</w:t>
            </w:r>
          </w:p>
        </w:tc>
        <w:tc>
          <w:tcPr>
            <w:tcW w:w="1704" w:type="dxa"/>
            <w:vAlign w:val="center"/>
          </w:tcPr>
          <w:p w14:paraId="3C330518" w14:textId="77777777" w:rsidR="00AF1BF8" w:rsidRDefault="00000000">
            <w:pPr>
              <w:jc w:val="center"/>
              <w:rPr>
                <w:kern w:val="0"/>
                <w:szCs w:val="21"/>
              </w:rPr>
            </w:pP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int</m:t>
                  </m:r>
                </m:sub>
              </m:sSub>
            </m:oMath>
            <w:r>
              <w:rPr>
                <w:rFonts w:hint="eastAsia"/>
                <w:iCs/>
                <w:kern w:val="0"/>
                <w:sz w:val="20"/>
                <w:szCs w:val="20"/>
              </w:rPr>
              <w:t>＞</w:t>
            </w: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ext</m:t>
                  </m:r>
                </m:sub>
              </m:sSub>
            </m:oMath>
            <w:r>
              <w:rPr>
                <w:rFonts w:hint="eastAsia"/>
                <w:iCs/>
                <w:kern w:val="0"/>
                <w:sz w:val="20"/>
                <w:szCs w:val="20"/>
              </w:rPr>
              <w:t>＞</w:t>
            </w:r>
            <w:r>
              <w:rPr>
                <w:rFonts w:hint="eastAsia"/>
                <w:iCs/>
                <w:kern w:val="0"/>
                <w:sz w:val="20"/>
                <w:szCs w:val="20"/>
              </w:rPr>
              <w:t>DO</w:t>
            </w:r>
          </w:p>
        </w:tc>
        <w:tc>
          <w:tcPr>
            <w:tcW w:w="1701" w:type="dxa"/>
            <w:vAlign w:val="center"/>
          </w:tcPr>
          <w:p w14:paraId="0C574B81" w14:textId="77777777" w:rsidR="00AF1BF8" w:rsidRDefault="00000000">
            <w:pPr>
              <w:jc w:val="center"/>
              <w:rPr>
                <w:kern w:val="0"/>
                <w:szCs w:val="21"/>
              </w:rPr>
            </w:pP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int</m:t>
                  </m:r>
                </m:sub>
              </m:sSub>
            </m:oMath>
            <w:r>
              <w:rPr>
                <w:rFonts w:hint="eastAsia"/>
                <w:iCs/>
                <w:kern w:val="0"/>
                <w:sz w:val="20"/>
                <w:szCs w:val="20"/>
              </w:rPr>
              <w:t>＞</w:t>
            </w:r>
            <w:r>
              <w:rPr>
                <w:rFonts w:hint="eastAsia"/>
                <w:iCs/>
                <w:kern w:val="0"/>
                <w:sz w:val="20"/>
                <w:szCs w:val="20"/>
              </w:rPr>
              <w:t>DO</w:t>
            </w:r>
            <w:r>
              <w:rPr>
                <w:rFonts w:hint="eastAsia"/>
                <w:iCs/>
                <w:kern w:val="0"/>
                <w:sz w:val="20"/>
                <w:szCs w:val="20"/>
              </w:rPr>
              <w:t>＞</w:t>
            </w: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ext</m:t>
                  </m:r>
                </m:sub>
              </m:sSub>
            </m:oMath>
          </w:p>
        </w:tc>
        <w:tc>
          <w:tcPr>
            <w:tcW w:w="3402" w:type="dxa"/>
            <w:vAlign w:val="center"/>
          </w:tcPr>
          <w:p w14:paraId="0BF848EB" w14:textId="77777777" w:rsidR="00AF1BF8" w:rsidRDefault="00000000">
            <w:pPr>
              <w:rPr>
                <w:kern w:val="0"/>
                <w:szCs w:val="21"/>
              </w:rPr>
            </w:pPr>
            <w:r>
              <w:rPr>
                <w:kern w:val="0"/>
                <w:szCs w:val="21"/>
              </w:rPr>
              <w:t>Internal recirculation dominates pumping energy demand.</w:t>
            </w:r>
          </w:p>
        </w:tc>
      </w:tr>
      <w:tr w:rsidR="00AF1BF8" w14:paraId="0FA8AF23" w14:textId="77777777">
        <w:tc>
          <w:tcPr>
            <w:tcW w:w="1557" w:type="dxa"/>
            <w:tcBorders>
              <w:bottom w:val="single" w:sz="12" w:space="0" w:color="auto"/>
            </w:tcBorders>
            <w:vAlign w:val="center"/>
          </w:tcPr>
          <w:p w14:paraId="011F7AE4" w14:textId="77777777" w:rsidR="00AF1BF8" w:rsidRDefault="00000000">
            <w:pPr>
              <w:jc w:val="center"/>
              <w:rPr>
                <w:kern w:val="0"/>
                <w:szCs w:val="21"/>
              </w:rPr>
            </w:pPr>
            <w:r>
              <w:rPr>
                <w:kern w:val="0"/>
                <w:szCs w:val="21"/>
              </w:rPr>
              <w:t>GHG emissions</w:t>
            </w:r>
          </w:p>
        </w:tc>
        <w:tc>
          <w:tcPr>
            <w:tcW w:w="1704" w:type="dxa"/>
            <w:tcBorders>
              <w:bottom w:val="single" w:sz="12" w:space="0" w:color="auto"/>
            </w:tcBorders>
            <w:vAlign w:val="center"/>
          </w:tcPr>
          <w:p w14:paraId="2FBA2C8F" w14:textId="77777777" w:rsidR="00AF1BF8" w:rsidRDefault="00000000">
            <w:pPr>
              <w:jc w:val="center"/>
              <w:rPr>
                <w:kern w:val="0"/>
                <w:szCs w:val="21"/>
              </w:rPr>
            </w:pP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int</m:t>
                  </m:r>
                </m:sub>
              </m:sSub>
            </m:oMath>
            <w:r>
              <w:rPr>
                <w:rFonts w:hint="eastAsia"/>
                <w:iCs/>
                <w:kern w:val="0"/>
                <w:sz w:val="20"/>
                <w:szCs w:val="20"/>
              </w:rPr>
              <w:t>＞</w:t>
            </w: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ext</m:t>
                  </m:r>
                </m:sub>
              </m:sSub>
            </m:oMath>
            <w:r>
              <w:rPr>
                <w:rFonts w:hint="eastAsia"/>
                <w:iCs/>
                <w:kern w:val="0"/>
                <w:sz w:val="20"/>
                <w:szCs w:val="20"/>
              </w:rPr>
              <w:t>＞</w:t>
            </w:r>
            <w:r>
              <w:rPr>
                <w:rFonts w:hint="eastAsia"/>
                <w:iCs/>
                <w:kern w:val="0"/>
                <w:sz w:val="20"/>
                <w:szCs w:val="20"/>
              </w:rPr>
              <w:t>DO</w:t>
            </w:r>
          </w:p>
        </w:tc>
        <w:tc>
          <w:tcPr>
            <w:tcW w:w="1701" w:type="dxa"/>
            <w:tcBorders>
              <w:bottom w:val="single" w:sz="12" w:space="0" w:color="auto"/>
            </w:tcBorders>
            <w:vAlign w:val="center"/>
          </w:tcPr>
          <w:p w14:paraId="144C387A" w14:textId="77777777" w:rsidR="00AF1BF8" w:rsidRDefault="00000000">
            <w:pPr>
              <w:jc w:val="center"/>
              <w:rPr>
                <w:kern w:val="0"/>
                <w:szCs w:val="21"/>
              </w:rPr>
            </w:pP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int</m:t>
                  </m:r>
                </m:sub>
              </m:sSub>
            </m:oMath>
            <w:r>
              <w:rPr>
                <w:rFonts w:hint="eastAsia"/>
                <w:iCs/>
                <w:kern w:val="0"/>
                <w:sz w:val="20"/>
                <w:szCs w:val="20"/>
              </w:rPr>
              <w:t>＞</w:t>
            </w:r>
            <m:oMath>
              <m:sSub>
                <m:sSubPr>
                  <m:ctrlPr>
                    <w:rPr>
                      <w:rFonts w:ascii="Cambria Math" w:hAnsi="Cambria Math"/>
                      <w:i/>
                      <w:kern w:val="0"/>
                      <w:sz w:val="20"/>
                      <w:szCs w:val="20"/>
                    </w:rPr>
                  </m:ctrlPr>
                </m:sSubPr>
                <m:e>
                  <m:r>
                    <w:rPr>
                      <w:rFonts w:ascii="Cambria Math" w:hAnsi="Cambria Math"/>
                      <w:kern w:val="0"/>
                      <w:sz w:val="20"/>
                      <w:szCs w:val="20"/>
                    </w:rPr>
                    <m:t>R</m:t>
                  </m:r>
                </m:e>
                <m:sub>
                  <m:r>
                    <w:rPr>
                      <w:rFonts w:ascii="Cambria Math" w:hAnsi="Cambria Math"/>
                      <w:kern w:val="0"/>
                      <w:sz w:val="20"/>
                      <w:szCs w:val="20"/>
                    </w:rPr>
                    <m:t>ext</m:t>
                  </m:r>
                </m:sub>
              </m:sSub>
            </m:oMath>
            <w:r>
              <w:rPr>
                <w:rFonts w:hint="eastAsia"/>
                <w:iCs/>
                <w:kern w:val="0"/>
                <w:sz w:val="20"/>
                <w:szCs w:val="20"/>
              </w:rPr>
              <w:t>＞</w:t>
            </w:r>
            <w:r>
              <w:rPr>
                <w:rFonts w:hint="eastAsia"/>
                <w:iCs/>
                <w:kern w:val="0"/>
                <w:sz w:val="20"/>
                <w:szCs w:val="20"/>
              </w:rPr>
              <w:t>DO</w:t>
            </w:r>
          </w:p>
        </w:tc>
        <w:tc>
          <w:tcPr>
            <w:tcW w:w="3402" w:type="dxa"/>
            <w:tcBorders>
              <w:bottom w:val="single" w:sz="12" w:space="0" w:color="auto"/>
            </w:tcBorders>
            <w:vAlign w:val="center"/>
          </w:tcPr>
          <w:p w14:paraId="4B1F6D16" w14:textId="77777777" w:rsidR="00AF1BF8" w:rsidRDefault="00000000">
            <w:pPr>
              <w:rPr>
                <w:kern w:val="0"/>
                <w:szCs w:val="21"/>
              </w:rPr>
            </w:pPr>
            <w:r>
              <w:rPr>
                <w:kern w:val="0"/>
                <w:szCs w:val="21"/>
              </w:rPr>
              <w:t>Indirect emissions from electricity consumption dominate the carbon response.</w:t>
            </w:r>
          </w:p>
        </w:tc>
      </w:tr>
      <w:bookmarkEnd w:id="13"/>
    </w:tbl>
    <w:p w14:paraId="55538E1B" w14:textId="77777777" w:rsidR="00AF1BF8" w:rsidRDefault="00AF1BF8">
      <w:pPr>
        <w:rPr>
          <w:szCs w:val="21"/>
        </w:rPr>
      </w:pPr>
    </w:p>
    <w:p w14:paraId="017F8B16" w14:textId="77777777" w:rsidR="00AF1BF8" w:rsidRDefault="00000000">
      <w:pPr>
        <w:pStyle w:val="EndNoteBibliography"/>
        <w:ind w:left="720" w:hanging="720"/>
      </w:pPr>
      <w:r>
        <w:rPr>
          <w:rFonts w:eastAsiaTheme="minorEastAsia"/>
        </w:rPr>
        <w:fldChar w:fldCharType="begin"/>
      </w:r>
      <w:r>
        <w:rPr>
          <w:rFonts w:eastAsiaTheme="minorEastAsia"/>
        </w:rPr>
        <w:instrText xml:space="preserve"> ADDIN EN.REFLIST </w:instrText>
      </w:r>
      <w:r>
        <w:rPr>
          <w:rFonts w:eastAsiaTheme="minorEastAsia"/>
        </w:rPr>
        <w:fldChar w:fldCharType="separate"/>
      </w:r>
      <w:r>
        <w:t>[1]</w:t>
      </w:r>
      <w:r>
        <w:tab/>
        <w:t>XI J, GONG H, GUO R, et al. Characteristics of greenhouse gases emission from wastewater treatment plants operation in China (2009–2016): A case study using operational data integrated method (ODIM) [J]. Journal of Cleaner Production, 2023, 402: 136829.</w:t>
      </w:r>
    </w:p>
    <w:p w14:paraId="15078657" w14:textId="77777777" w:rsidR="00AF1BF8" w:rsidRDefault="00000000">
      <w:pPr>
        <w:pStyle w:val="EndNoteBibliography"/>
        <w:ind w:left="720" w:hanging="720"/>
      </w:pPr>
      <w:r>
        <w:t>[2]</w:t>
      </w:r>
      <w:r>
        <w:tab/>
        <w:t>DAELMAN M R, VAN VOORTHUIZEN E M, VAN DONGEN U G, et al. Methane emission during municipal wastewater treatment [J]. Water research, 2012, 46(11): 3657-70.</w:t>
      </w:r>
    </w:p>
    <w:p w14:paraId="5CB965B0" w14:textId="77777777" w:rsidR="00AF1BF8" w:rsidRDefault="00000000">
      <w:pPr>
        <w:pStyle w:val="EndNoteBibliography"/>
        <w:ind w:left="720" w:hanging="720"/>
      </w:pPr>
      <w:r>
        <w:t>[3]</w:t>
      </w:r>
      <w:r>
        <w:tab/>
        <w:t>POCQUET M, WU Z, QUEINNEC I, et al. A two pathway model for N2O emissions by ammonium oxidizing bacteria supported by the NO/N2O variation [J]. Water research, 2016, 88: 948-59.</w:t>
      </w:r>
    </w:p>
    <w:p w14:paraId="4F7EEB1D" w14:textId="77777777" w:rsidR="00AF1BF8" w:rsidRDefault="00000000">
      <w:pPr>
        <w:pStyle w:val="EndNoteBibliography"/>
        <w:ind w:left="720" w:hanging="720"/>
      </w:pPr>
      <w:r>
        <w:t>[4]</w:t>
      </w:r>
      <w:r>
        <w:tab/>
        <w:t>LI L, WANG X, MIAO J, et al. Carbon neutrality of wastewater treatment-A systematic concept beyond the plant boundary [J]. Environmental Science and Ecotechnology, 2022, 11: 100180.</w:t>
      </w:r>
    </w:p>
    <w:p w14:paraId="530E9558" w14:textId="77777777" w:rsidR="00AF1BF8" w:rsidRDefault="00000000">
      <w:pPr>
        <w:pStyle w:val="EndNoteBibliography"/>
        <w:ind w:left="720" w:hanging="720"/>
      </w:pPr>
      <w:r>
        <w:t>[5]</w:t>
      </w:r>
      <w:r>
        <w:tab/>
        <w:t>ABULIMITI A, WANG X, REN N. Exploring the pathway for the energy-environment synergistic WWTPs through comprehensive efficiency assessment [J]. Journal of Water Process Engineering, 2025, 76: 108269.</w:t>
      </w:r>
    </w:p>
    <w:p w14:paraId="71843AB1" w14:textId="77777777" w:rsidR="00AF1BF8" w:rsidRDefault="00000000">
      <w:pPr>
        <w:pStyle w:val="EndNoteBibliography"/>
        <w:ind w:left="720" w:hanging="720"/>
      </w:pPr>
      <w:r>
        <w:t>[6]</w:t>
      </w:r>
      <w:r>
        <w:tab/>
        <w:t>BAASANSUREN J, FUKUDA M, NGARIZE S, et al. 2019 refinement to the 2006 IPCC guidelines for national greenhouse gas inventories [Z]. IPCC Switzerland. 2019</w:t>
      </w:r>
    </w:p>
    <w:p w14:paraId="78CC7D73" w14:textId="77777777" w:rsidR="00AF1BF8" w:rsidRDefault="00000000">
      <w:pPr>
        <w:pStyle w:val="EndNoteBibliography"/>
        <w:ind w:left="720" w:hanging="720"/>
      </w:pPr>
      <w:r>
        <w:t>[7]</w:t>
      </w:r>
      <w:r>
        <w:tab/>
        <w:t>LUO L, DZAKPASU M, YANG B, et al. A novel index of total oxygen demand for the comprehensive evaluation of energy consumption for urban wastewater treatment [J]. Applied Energy, 2019, 236: 253-61.</w:t>
      </w:r>
    </w:p>
    <w:p w14:paraId="57F5AD5F" w14:textId="13A44325" w:rsidR="00AF1BF8" w:rsidRDefault="00000000">
      <w:pPr>
        <w:pStyle w:val="EndNoteBibliography"/>
        <w:ind w:left="720" w:hanging="720"/>
      </w:pPr>
      <w:r>
        <w:rPr>
          <w:rFonts w:eastAsiaTheme="minorEastAsia"/>
        </w:rPr>
        <w:fldChar w:fldCharType="end"/>
      </w:r>
      <w:r>
        <w:rPr>
          <w:rFonts w:hint="eastAsia"/>
        </w:rPr>
        <w:t xml:space="preserve">[8]    YANG M, PAN X, LIU H, </w:t>
      </w:r>
      <w:proofErr w:type="spellStart"/>
      <w:r>
        <w:rPr>
          <w:rFonts w:hint="eastAsia"/>
        </w:rPr>
        <w:t>etal</w:t>
      </w:r>
      <w:proofErr w:type="spellEnd"/>
      <w:r>
        <w:rPr>
          <w:rFonts w:hint="eastAsia"/>
        </w:rPr>
        <w:t xml:space="preserve">. </w:t>
      </w:r>
      <w:r>
        <w:t xml:space="preserve">Urban non-point pollution characteristics in </w:t>
      </w:r>
      <w:proofErr w:type="spellStart"/>
      <w:r>
        <w:t>china</w:t>
      </w:r>
      <w:proofErr w:type="spellEnd"/>
      <w:r>
        <w:t>: a meta-analysis</w:t>
      </w:r>
      <w:r>
        <w:rPr>
          <w:rFonts w:hint="eastAsia"/>
        </w:rPr>
        <w:t xml:space="preserve"> [J]. </w:t>
      </w:r>
      <w:r>
        <w:t>Ecology and Environmental Sciences, 2020, 29 (8): 1634-1644.</w:t>
      </w:r>
      <w:r w:rsidR="00885B01">
        <w:rPr>
          <w:rFonts w:hint="eastAsia"/>
        </w:rPr>
        <w:t xml:space="preserve"> </w:t>
      </w:r>
      <w:r>
        <w:rPr>
          <w:rFonts w:hint="eastAsia"/>
        </w:rPr>
        <w:t>(in Chinese)</w:t>
      </w:r>
    </w:p>
    <w:sectPr w:rsidR="00AF1BF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A25AC" w14:textId="77777777" w:rsidR="00BC6AEB" w:rsidRDefault="00BC6AEB">
      <w:pPr>
        <w:spacing w:line="240" w:lineRule="auto"/>
      </w:pPr>
      <w:r>
        <w:separator/>
      </w:r>
    </w:p>
  </w:endnote>
  <w:endnote w:type="continuationSeparator" w:id="0">
    <w:p w14:paraId="04139A48" w14:textId="77777777" w:rsidR="00BC6AEB" w:rsidRDefault="00BC6A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91161" w14:textId="77777777" w:rsidR="00BC6AEB" w:rsidRDefault="00BC6AEB">
      <w:r>
        <w:separator/>
      </w:r>
    </w:p>
  </w:footnote>
  <w:footnote w:type="continuationSeparator" w:id="0">
    <w:p w14:paraId="39A14B5C" w14:textId="77777777" w:rsidR="00BC6AEB" w:rsidRDefault="00BC6A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Chinese Std GBT7714&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s2xvw5werepv7effpq5df9bp5apar0epsw5&quot;&gt;My EndNote Library&lt;record-ids&gt;&lt;item&gt;13&lt;/item&gt;&lt;item&gt;126&lt;/item&gt;&lt;item&gt;136&lt;/item&gt;&lt;item&gt;464&lt;/item&gt;&lt;item&gt;764&lt;/item&gt;&lt;item&gt;1041&lt;/item&gt;&lt;item&gt;1175&lt;/item&gt;&lt;/record-ids&gt;&lt;/item&gt;&lt;/Libraries&gt;"/>
  </w:docVars>
  <w:rsids>
    <w:rsidRoot w:val="008A0F40"/>
    <w:rsid w:val="00055E9B"/>
    <w:rsid w:val="0006696A"/>
    <w:rsid w:val="00074F01"/>
    <w:rsid w:val="00086F2E"/>
    <w:rsid w:val="000B25C7"/>
    <w:rsid w:val="000D0084"/>
    <w:rsid w:val="000E4EE4"/>
    <w:rsid w:val="000E50BA"/>
    <w:rsid w:val="001032A4"/>
    <w:rsid w:val="00110846"/>
    <w:rsid w:val="00117B3F"/>
    <w:rsid w:val="00142D95"/>
    <w:rsid w:val="00143C47"/>
    <w:rsid w:val="001B207E"/>
    <w:rsid w:val="001C2A28"/>
    <w:rsid w:val="001C4BB6"/>
    <w:rsid w:val="001C63E7"/>
    <w:rsid w:val="001D4BEA"/>
    <w:rsid w:val="00261932"/>
    <w:rsid w:val="00274258"/>
    <w:rsid w:val="002828E9"/>
    <w:rsid w:val="00286C3F"/>
    <w:rsid w:val="002941F1"/>
    <w:rsid w:val="002955DF"/>
    <w:rsid w:val="00346E2F"/>
    <w:rsid w:val="00347B90"/>
    <w:rsid w:val="00353DD5"/>
    <w:rsid w:val="00367741"/>
    <w:rsid w:val="003716EE"/>
    <w:rsid w:val="003B1FF8"/>
    <w:rsid w:val="003B6121"/>
    <w:rsid w:val="003E32F5"/>
    <w:rsid w:val="003F3605"/>
    <w:rsid w:val="00441421"/>
    <w:rsid w:val="00465A92"/>
    <w:rsid w:val="00477067"/>
    <w:rsid w:val="004857EA"/>
    <w:rsid w:val="004C7FA3"/>
    <w:rsid w:val="0053112C"/>
    <w:rsid w:val="005377AD"/>
    <w:rsid w:val="005542ED"/>
    <w:rsid w:val="00561653"/>
    <w:rsid w:val="00573AAC"/>
    <w:rsid w:val="005958A2"/>
    <w:rsid w:val="005B4BAB"/>
    <w:rsid w:val="005B75BF"/>
    <w:rsid w:val="005C27A1"/>
    <w:rsid w:val="005D08FA"/>
    <w:rsid w:val="006331ED"/>
    <w:rsid w:val="006553D1"/>
    <w:rsid w:val="00656A75"/>
    <w:rsid w:val="00682738"/>
    <w:rsid w:val="00693DC7"/>
    <w:rsid w:val="006A27C3"/>
    <w:rsid w:val="006A6655"/>
    <w:rsid w:val="006C2B53"/>
    <w:rsid w:val="006D034A"/>
    <w:rsid w:val="006E1F3C"/>
    <w:rsid w:val="006F199B"/>
    <w:rsid w:val="00775955"/>
    <w:rsid w:val="0077764F"/>
    <w:rsid w:val="007C4CEC"/>
    <w:rsid w:val="00833574"/>
    <w:rsid w:val="008339F5"/>
    <w:rsid w:val="00860372"/>
    <w:rsid w:val="00860F1E"/>
    <w:rsid w:val="00885B01"/>
    <w:rsid w:val="00893EA7"/>
    <w:rsid w:val="008A0C93"/>
    <w:rsid w:val="008A0F40"/>
    <w:rsid w:val="008C45FF"/>
    <w:rsid w:val="00905A43"/>
    <w:rsid w:val="00925680"/>
    <w:rsid w:val="00943B62"/>
    <w:rsid w:val="0095127C"/>
    <w:rsid w:val="00973FF3"/>
    <w:rsid w:val="00981F72"/>
    <w:rsid w:val="00984E14"/>
    <w:rsid w:val="009870A5"/>
    <w:rsid w:val="009B0478"/>
    <w:rsid w:val="009B398A"/>
    <w:rsid w:val="009D4923"/>
    <w:rsid w:val="009F681C"/>
    <w:rsid w:val="00A24D2E"/>
    <w:rsid w:val="00A6263A"/>
    <w:rsid w:val="00A87655"/>
    <w:rsid w:val="00AC5117"/>
    <w:rsid w:val="00AC51D6"/>
    <w:rsid w:val="00AE1B6B"/>
    <w:rsid w:val="00AE4BEA"/>
    <w:rsid w:val="00AF1BF8"/>
    <w:rsid w:val="00B061C1"/>
    <w:rsid w:val="00B3259C"/>
    <w:rsid w:val="00B57233"/>
    <w:rsid w:val="00B627E7"/>
    <w:rsid w:val="00BA18F4"/>
    <w:rsid w:val="00BB4FAC"/>
    <w:rsid w:val="00BC6AEB"/>
    <w:rsid w:val="00BD07D2"/>
    <w:rsid w:val="00C045D9"/>
    <w:rsid w:val="00C31F23"/>
    <w:rsid w:val="00C4089B"/>
    <w:rsid w:val="00C45475"/>
    <w:rsid w:val="00C62FA5"/>
    <w:rsid w:val="00C66838"/>
    <w:rsid w:val="00C773B7"/>
    <w:rsid w:val="00C97FB8"/>
    <w:rsid w:val="00CB2328"/>
    <w:rsid w:val="00CB47C5"/>
    <w:rsid w:val="00CC22C1"/>
    <w:rsid w:val="00D16E9F"/>
    <w:rsid w:val="00D253A4"/>
    <w:rsid w:val="00D54D75"/>
    <w:rsid w:val="00D62867"/>
    <w:rsid w:val="00D6483B"/>
    <w:rsid w:val="00D6777D"/>
    <w:rsid w:val="00D721A2"/>
    <w:rsid w:val="00D96C9B"/>
    <w:rsid w:val="00DC113C"/>
    <w:rsid w:val="00DC57D8"/>
    <w:rsid w:val="00E02CEA"/>
    <w:rsid w:val="00E05736"/>
    <w:rsid w:val="00E062D3"/>
    <w:rsid w:val="00E17F53"/>
    <w:rsid w:val="00E376C9"/>
    <w:rsid w:val="00E52CEC"/>
    <w:rsid w:val="00E67FAD"/>
    <w:rsid w:val="00EA0F94"/>
    <w:rsid w:val="00EC4D87"/>
    <w:rsid w:val="00EF24E1"/>
    <w:rsid w:val="00F140D2"/>
    <w:rsid w:val="00F67636"/>
    <w:rsid w:val="00F77E1E"/>
    <w:rsid w:val="00F931B4"/>
    <w:rsid w:val="00FD7C7D"/>
    <w:rsid w:val="00FE349E"/>
    <w:rsid w:val="0A59193F"/>
    <w:rsid w:val="7B540C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0F907"/>
  <w15:docId w15:val="{8CC559D6-6D22-4826-A335-957CEACA0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line="360" w:lineRule="auto"/>
      <w:jc w:val="both"/>
    </w:pPr>
    <w:rPr>
      <w:rFonts w:ascii="Times New Roman" w:eastAsia="宋体" w:hAnsi="Times New Roman"/>
      <w:kern w:val="2"/>
      <w:sz w:val="21"/>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footer"/>
    <w:basedOn w:val="a"/>
    <w:link w:val="a6"/>
    <w:uiPriority w:val="99"/>
    <w:unhideWhenUsed/>
    <w:qFormat/>
    <w:pPr>
      <w:tabs>
        <w:tab w:val="center" w:pos="4153"/>
        <w:tab w:val="right" w:pos="8306"/>
      </w:tabs>
      <w:snapToGrid w:val="0"/>
      <w:spacing w:line="240" w:lineRule="auto"/>
      <w:jc w:val="left"/>
    </w:pPr>
    <w:rPr>
      <w:sz w:val="18"/>
      <w:szCs w:val="18"/>
    </w:rPr>
  </w:style>
  <w:style w:type="paragraph" w:styleId="a7">
    <w:name w:val="header"/>
    <w:basedOn w:val="a"/>
    <w:link w:val="a8"/>
    <w:uiPriority w:val="99"/>
    <w:unhideWhenUsed/>
    <w:qFormat/>
    <w:pPr>
      <w:tabs>
        <w:tab w:val="center" w:pos="4153"/>
        <w:tab w:val="right" w:pos="8306"/>
      </w:tabs>
      <w:snapToGrid w:val="0"/>
      <w:spacing w:line="240" w:lineRule="auto"/>
      <w:jc w:val="center"/>
    </w:pPr>
    <w:rPr>
      <w:sz w:val="18"/>
      <w:szCs w:val="18"/>
    </w:rPr>
  </w:style>
  <w:style w:type="paragraph" w:styleId="a9">
    <w:name w:val="Subtitle"/>
    <w:basedOn w:val="a"/>
    <w:next w:val="a"/>
    <w:link w:val="aa"/>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b">
    <w:name w:val="Title"/>
    <w:basedOn w:val="a"/>
    <w:next w:val="a"/>
    <w:link w:val="ac"/>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d">
    <w:name w:val="annotation subject"/>
    <w:basedOn w:val="a3"/>
    <w:next w:val="a3"/>
    <w:link w:val="ae"/>
    <w:uiPriority w:val="99"/>
    <w:semiHidden/>
    <w:unhideWhenUsed/>
    <w:qFormat/>
    <w:rPr>
      <w:b/>
      <w:bCs/>
    </w:rPr>
  </w:style>
  <w:style w:type="table" w:styleId="af">
    <w:name w:val="Table Grid"/>
    <w:basedOn w:val="a1"/>
    <w:uiPriority w:val="39"/>
    <w:qFormat/>
    <w:rPr>
      <w:rFonts w:ascii="Times New Roman" w:eastAsia="宋体" w:hAnsi="Times New Roman" w:cs="Times New Roma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qFormat/>
    <w:rPr>
      <w:color w:val="0563C1"/>
      <w:u w:val="single"/>
    </w:rPr>
  </w:style>
  <w:style w:type="character" w:styleId="af1">
    <w:name w:val="annotation reference"/>
    <w:basedOn w:val="a0"/>
    <w:uiPriority w:val="99"/>
    <w:semiHidden/>
    <w:unhideWhenUsed/>
    <w:qFormat/>
    <w:rPr>
      <w:sz w:val="21"/>
      <w:szCs w:val="21"/>
    </w:rPr>
  </w:style>
  <w:style w:type="character" w:customStyle="1" w:styleId="10">
    <w:name w:val="标题 1 字符"/>
    <w:basedOn w:val="a0"/>
    <w:link w:val="1"/>
    <w:uiPriority w:val="9"/>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qFormat/>
    <w:rPr>
      <w:rFonts w:cstheme="majorBidi"/>
      <w:color w:val="2F5496" w:themeColor="accent1" w:themeShade="BF"/>
      <w:sz w:val="28"/>
      <w:szCs w:val="28"/>
    </w:rPr>
  </w:style>
  <w:style w:type="character" w:customStyle="1" w:styleId="50">
    <w:name w:val="标题 5 字符"/>
    <w:basedOn w:val="a0"/>
    <w:link w:val="5"/>
    <w:uiPriority w:val="9"/>
    <w:semiHidden/>
    <w:qFormat/>
    <w:rPr>
      <w:rFonts w:cstheme="majorBidi"/>
      <w:color w:val="2F5496" w:themeColor="accent1" w:themeShade="BF"/>
      <w:sz w:val="24"/>
      <w:szCs w:val="24"/>
    </w:rPr>
  </w:style>
  <w:style w:type="character" w:customStyle="1" w:styleId="60">
    <w:name w:val="标题 6 字符"/>
    <w:basedOn w:val="a0"/>
    <w:link w:val="6"/>
    <w:uiPriority w:val="9"/>
    <w:semiHidden/>
    <w:qFormat/>
    <w:rPr>
      <w:rFonts w:cstheme="majorBidi"/>
      <w:b/>
      <w:bCs/>
      <w:color w:val="2F5496"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c">
    <w:name w:val="标题 字符"/>
    <w:basedOn w:val="a0"/>
    <w:link w:val="ab"/>
    <w:uiPriority w:val="10"/>
    <w:qFormat/>
    <w:rPr>
      <w:rFonts w:asciiTheme="majorHAnsi" w:eastAsiaTheme="majorEastAsia" w:hAnsiTheme="majorHAnsi" w:cstheme="majorBidi"/>
      <w:spacing w:val="-10"/>
      <w:kern w:val="28"/>
      <w:sz w:val="56"/>
      <w:szCs w:val="56"/>
    </w:rPr>
  </w:style>
  <w:style w:type="character" w:customStyle="1" w:styleId="aa">
    <w:name w:val="副标题 字符"/>
    <w:basedOn w:val="a0"/>
    <w:link w:val="a9"/>
    <w:uiPriority w:val="11"/>
    <w:qFormat/>
    <w:rPr>
      <w:rFonts w:asciiTheme="majorHAnsi" w:eastAsiaTheme="majorEastAsia" w:hAnsiTheme="majorHAnsi" w:cstheme="majorBidi"/>
      <w:color w:val="595959" w:themeColor="text1" w:themeTint="A6"/>
      <w:spacing w:val="15"/>
      <w:sz w:val="28"/>
      <w:szCs w:val="28"/>
    </w:rPr>
  </w:style>
  <w:style w:type="paragraph" w:styleId="af2">
    <w:name w:val="Quote"/>
    <w:basedOn w:val="a"/>
    <w:next w:val="a"/>
    <w:link w:val="af3"/>
    <w:uiPriority w:val="29"/>
    <w:qFormat/>
    <w:pPr>
      <w:spacing w:before="160" w:after="160"/>
      <w:jc w:val="center"/>
    </w:pPr>
    <w:rPr>
      <w:i/>
      <w:iCs/>
      <w:color w:val="404040" w:themeColor="text1" w:themeTint="BF"/>
    </w:rPr>
  </w:style>
  <w:style w:type="character" w:customStyle="1" w:styleId="af3">
    <w:name w:val="引用 字符"/>
    <w:basedOn w:val="a0"/>
    <w:link w:val="af2"/>
    <w:uiPriority w:val="29"/>
    <w:qFormat/>
    <w:rPr>
      <w:i/>
      <w:iCs/>
      <w:color w:val="404040" w:themeColor="text1" w:themeTint="BF"/>
    </w:rPr>
  </w:style>
  <w:style w:type="paragraph" w:styleId="af4">
    <w:name w:val="List Paragraph"/>
    <w:basedOn w:val="a"/>
    <w:uiPriority w:val="34"/>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f5">
    <w:name w:val="Intense Quote"/>
    <w:basedOn w:val="a"/>
    <w:next w:val="a"/>
    <w:link w:val="af6"/>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6">
    <w:name w:val="明显引用 字符"/>
    <w:basedOn w:val="a0"/>
    <w:link w:val="af5"/>
    <w:uiPriority w:val="30"/>
    <w:qFormat/>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paragraph" w:customStyle="1" w:styleId="8-Title-ENG">
    <w:name w:val="8-Title-ENG"/>
    <w:basedOn w:val="a"/>
    <w:qFormat/>
    <w:pPr>
      <w:keepNext/>
      <w:keepLines/>
      <w:snapToGrid w:val="0"/>
      <w:spacing w:line="240" w:lineRule="auto"/>
      <w:contextualSpacing/>
      <w:jc w:val="left"/>
      <w:outlineLvl w:val="0"/>
    </w:pPr>
    <w:rPr>
      <w:rFonts w:eastAsia="等线" w:cs="Times New Roman"/>
      <w:b/>
      <w:bCs/>
      <w:kern w:val="44"/>
      <w:sz w:val="30"/>
      <w:szCs w:val="30"/>
    </w:rPr>
  </w:style>
  <w:style w:type="paragraph" w:customStyle="1" w:styleId="6-Author-ENG">
    <w:name w:val="6-Author-ENG"/>
    <w:basedOn w:val="a"/>
    <w:qFormat/>
    <w:pPr>
      <w:widowControl/>
      <w:autoSpaceDE w:val="0"/>
      <w:autoSpaceDN w:val="0"/>
      <w:adjustRightInd w:val="0"/>
      <w:snapToGrid w:val="0"/>
      <w:spacing w:line="240" w:lineRule="auto"/>
      <w:jc w:val="left"/>
    </w:pPr>
    <w:rPr>
      <w:rFonts w:cs="Times New Roman"/>
      <w:kern w:val="0"/>
      <w:sz w:val="24"/>
      <w:szCs w:val="24"/>
      <w:lang w:eastAsia="en-US"/>
    </w:rPr>
  </w:style>
  <w:style w:type="paragraph" w:customStyle="1" w:styleId="7-Affili-ENG">
    <w:name w:val="7-Affili-ENG"/>
    <w:basedOn w:val="a"/>
    <w:qFormat/>
    <w:pPr>
      <w:widowControl/>
      <w:autoSpaceDE w:val="0"/>
      <w:autoSpaceDN w:val="0"/>
      <w:adjustRightInd w:val="0"/>
      <w:snapToGrid w:val="0"/>
      <w:spacing w:line="240" w:lineRule="auto"/>
      <w:jc w:val="left"/>
    </w:pPr>
    <w:rPr>
      <w:rFonts w:cs="Times New Roman"/>
      <w:i/>
      <w:kern w:val="0"/>
      <w:sz w:val="18"/>
      <w:szCs w:val="24"/>
      <w:lang w:eastAsia="en-US"/>
    </w:rPr>
  </w:style>
  <w:style w:type="paragraph" w:styleId="af7">
    <w:name w:val="No Spacing"/>
    <w:link w:val="af8"/>
    <w:qFormat/>
    <w:pPr>
      <w:widowControl w:val="0"/>
      <w:jc w:val="both"/>
    </w:pPr>
    <w:rPr>
      <w:rFonts w:ascii="Times New Roman" w:eastAsia="宋体" w:hAnsi="Times New Roman"/>
      <w:kern w:val="2"/>
      <w:sz w:val="24"/>
      <w:szCs w:val="22"/>
    </w:rPr>
  </w:style>
  <w:style w:type="character" w:customStyle="1" w:styleId="af8">
    <w:name w:val="无间隔 字符"/>
    <w:link w:val="af7"/>
    <w:qFormat/>
    <w:rPr>
      <w:rFonts w:ascii="Times New Roman" w:eastAsia="宋体" w:hAnsi="Times New Roman"/>
      <w:sz w:val="24"/>
    </w:rPr>
  </w:style>
  <w:style w:type="table" w:customStyle="1" w:styleId="13">
    <w:name w:val="样式1"/>
    <w:basedOn w:val="a1"/>
    <w:uiPriority w:val="99"/>
    <w:qFormat/>
    <w:pPr>
      <w:jc w:val="center"/>
    </w:pPr>
    <w:rPr>
      <w:rFonts w:ascii="Times New Roman" w:eastAsia="宋体" w:hAnsi="Times New Roman" w:cs="Times New Roman"/>
      <w14:ligatures w14:val="standardContextual"/>
    </w:rPr>
    <w:tblPr>
      <w:tblBorders>
        <w:top w:val="single" w:sz="12" w:space="0" w:color="000000" w:themeColor="text1"/>
        <w:bottom w:val="single" w:sz="12" w:space="0" w:color="000000" w:themeColor="text1"/>
      </w:tblBorders>
    </w:tblPr>
    <w:tcPr>
      <w:vAlign w:val="center"/>
    </w:tcPr>
    <w:tblStylePr w:type="firstRow">
      <w:tblPr/>
      <w:tcPr>
        <w:tcBorders>
          <w:bottom w:val="single" w:sz="4" w:space="0" w:color="000000" w:themeColor="text1"/>
        </w:tcBorders>
      </w:tcPr>
    </w:tblStylePr>
  </w:style>
  <w:style w:type="character" w:customStyle="1" w:styleId="CambriaMath1">
    <w:name w:val="样式 Cambria Math 倾斜1"/>
    <w:basedOn w:val="a0"/>
    <w:qFormat/>
    <w:rPr>
      <w:rFonts w:ascii="Times New Roman" w:hAnsi="Times New Roman"/>
      <w:i/>
      <w:iCs/>
    </w:rPr>
  </w:style>
  <w:style w:type="character" w:styleId="af9">
    <w:name w:val="Placeholder Text"/>
    <w:basedOn w:val="a0"/>
    <w:uiPriority w:val="99"/>
    <w:semiHidden/>
    <w:qFormat/>
    <w:rPr>
      <w:color w:val="666666"/>
    </w:rPr>
  </w:style>
  <w:style w:type="character" w:customStyle="1" w:styleId="CambriaMathCambriaMath">
    <w:name w:val="样式 样式 Cambria Math + Cambria Math"/>
    <w:qFormat/>
    <w:rPr>
      <w:rFonts w:ascii="Times New Roman" w:hAnsi="Times New Roman"/>
      <w:sz w:val="24"/>
    </w:rPr>
  </w:style>
  <w:style w:type="paragraph" w:customStyle="1" w:styleId="EndNoteBibliographyTitle">
    <w:name w:val="EndNote Bibliography Title"/>
    <w:basedOn w:val="a"/>
    <w:link w:val="EndNoteBibliographyTitle0"/>
    <w:qFormat/>
    <w:pPr>
      <w:jc w:val="center"/>
    </w:pPr>
    <w:rPr>
      <w:rFonts w:cs="Times New Roman"/>
      <w:sz w:val="20"/>
    </w:rPr>
  </w:style>
  <w:style w:type="character" w:customStyle="1" w:styleId="EndNoteBibliographyTitle0">
    <w:name w:val="EndNote Bibliography Title 字符"/>
    <w:basedOn w:val="a0"/>
    <w:link w:val="EndNoteBibliographyTitle"/>
    <w:qFormat/>
    <w:rPr>
      <w:rFonts w:ascii="Times New Roman" w:eastAsia="宋体" w:hAnsi="Times New Roman" w:cs="Times New Roman"/>
      <w:sz w:val="20"/>
    </w:rPr>
  </w:style>
  <w:style w:type="paragraph" w:customStyle="1" w:styleId="EndNoteBibliography">
    <w:name w:val="EndNote Bibliography"/>
    <w:basedOn w:val="a"/>
    <w:link w:val="EndNoteBibliography0"/>
    <w:qFormat/>
    <w:pPr>
      <w:spacing w:line="240" w:lineRule="auto"/>
    </w:pPr>
    <w:rPr>
      <w:rFonts w:cs="Times New Roman"/>
      <w:sz w:val="20"/>
    </w:rPr>
  </w:style>
  <w:style w:type="character" w:customStyle="1" w:styleId="EndNoteBibliography0">
    <w:name w:val="EndNote Bibliography 字符"/>
    <w:basedOn w:val="a0"/>
    <w:link w:val="EndNoteBibliography"/>
    <w:qFormat/>
    <w:rPr>
      <w:rFonts w:ascii="Times New Roman" w:eastAsia="宋体" w:hAnsi="Times New Roman" w:cs="Times New Roman"/>
      <w:sz w:val="20"/>
    </w:rPr>
  </w:style>
  <w:style w:type="character" w:customStyle="1" w:styleId="a4">
    <w:name w:val="批注文字 字符"/>
    <w:basedOn w:val="a0"/>
    <w:link w:val="a3"/>
    <w:uiPriority w:val="99"/>
    <w:semiHidden/>
    <w:qFormat/>
    <w:rPr>
      <w:rFonts w:ascii="Times New Roman" w:eastAsia="宋体" w:hAnsi="Times New Roman"/>
    </w:rPr>
  </w:style>
  <w:style w:type="character" w:customStyle="1" w:styleId="ae">
    <w:name w:val="批注主题 字符"/>
    <w:basedOn w:val="a4"/>
    <w:link w:val="ad"/>
    <w:uiPriority w:val="99"/>
    <w:semiHidden/>
    <w:qFormat/>
    <w:rPr>
      <w:rFonts w:ascii="Times New Roman" w:eastAsia="宋体" w:hAnsi="Times New Roman"/>
      <w:b/>
      <w:bCs/>
    </w:rPr>
  </w:style>
  <w:style w:type="character" w:customStyle="1" w:styleId="a8">
    <w:name w:val="页眉 字符"/>
    <w:basedOn w:val="a0"/>
    <w:link w:val="a7"/>
    <w:uiPriority w:val="99"/>
    <w:qFormat/>
    <w:rPr>
      <w:rFonts w:ascii="Times New Roman" w:eastAsia="宋体" w:hAnsi="Times New Roman"/>
      <w:sz w:val="18"/>
      <w:szCs w:val="18"/>
    </w:rPr>
  </w:style>
  <w:style w:type="character" w:customStyle="1" w:styleId="a6">
    <w:name w:val="页脚 字符"/>
    <w:basedOn w:val="a0"/>
    <w:link w:val="a5"/>
    <w:uiPriority w:val="99"/>
    <w:qFormat/>
    <w:rPr>
      <w:rFonts w:ascii="Times New Roman" w:eastAsia="宋体" w:hAnsi="Times New Roman"/>
      <w:sz w:val="18"/>
      <w:szCs w:val="18"/>
    </w:rPr>
  </w:style>
  <w:style w:type="character" w:customStyle="1" w:styleId="CambriaMath">
    <w:name w:val="样式 Cambria Math"/>
    <w:basedOn w:val="a0"/>
    <w:qFormat/>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image" Target="media/image6.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xiuheng@hit.edu.cn" TargetMode="External"/><Relationship Id="rId12" Type="http://schemas.openxmlformats.org/officeDocument/2006/relationships/image" Target="media/image3.emf"/><Relationship Id="rId17"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2.emf"/><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27AA2-DC3E-4DAD-8F3B-40C2ECAAB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7907</Words>
  <Characters>45076</Characters>
  <Application>Microsoft Office Word</Application>
  <DocSecurity>0</DocSecurity>
  <Lines>375</Lines>
  <Paragraphs>105</Paragraphs>
  <ScaleCrop>false</ScaleCrop>
  <Company/>
  <LinksUpToDate>false</LinksUpToDate>
  <CharactersWithSpaces>52878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里亚 阿</dc:creator>
  <cp:lastModifiedBy>里亚 阿</cp:lastModifiedBy>
  <cp:revision>2</cp:revision>
  <dcterms:created xsi:type="dcterms:W3CDTF">2026-09-22T12:26:00Z</dcterms:created>
  <dcterms:modified xsi:type="dcterms:W3CDTF">2026-09-22T12:26:00Z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eyJoZGlkIjoiZTQwYzYwYWNhN2Q3ZDg5NGIyM2Y1MGI0NWE3YmY5ZDUiLCJ1c2VySWQiOiIxNzcyOTQyMjYxIn0=</vt:lpwstr>
  </property>
  <property fmtid="{D5CDD505-2E9C-101B-9397-08002B2CF9AE}" pid="3" name="KSOProductBuildVer">
    <vt:lpwstr>2052-12.1.0.26895</vt:lpwstr>
  </property>
  <property fmtid="{D5CDD505-2E9C-101B-9397-08002B2CF9AE}" pid="4" name="ICV">
    <vt:lpwstr>D8A92380232F4710B469F4F084B9BBA3_13</vt:lpwstr>
  </property>
</Properties>
</file>