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678CF" w14:textId="77777777" w:rsidR="00922F4A" w:rsidRDefault="00000000" w:rsidP="00EF27D1">
      <w:pPr>
        <w:widowControl/>
        <w:spacing w:after="240"/>
        <w:ind w:firstLineChars="0" w:firstLine="0"/>
        <w:jc w:val="center"/>
        <w:rPr>
          <w:rFonts w:eastAsiaTheme="minorEastAsia"/>
          <w:b/>
          <w:sz w:val="32"/>
        </w:rPr>
      </w:pPr>
      <w:r>
        <w:rPr>
          <w:rFonts w:eastAsia="Times New Roman"/>
          <w:b/>
          <w:sz w:val="32"/>
        </w:rPr>
        <w:t>Supplementary Material</w:t>
      </w:r>
    </w:p>
    <w:p w14:paraId="29ECA125" w14:textId="77777777" w:rsidR="00EF27D1" w:rsidRPr="00EF27D1" w:rsidRDefault="00EF27D1">
      <w:pPr>
        <w:widowControl/>
        <w:spacing w:after="240"/>
        <w:ind w:firstLine="480"/>
        <w:jc w:val="center"/>
        <w:rPr>
          <w:rFonts w:eastAsiaTheme="minorEastAsia"/>
        </w:rPr>
      </w:pPr>
    </w:p>
    <w:p w14:paraId="0D85905E" w14:textId="77777777" w:rsidR="00922F4A" w:rsidRPr="00EF27D1" w:rsidRDefault="00000000" w:rsidP="00EF27D1">
      <w:pPr>
        <w:widowControl/>
        <w:ind w:firstLineChars="0" w:firstLine="0"/>
        <w:jc w:val="center"/>
        <w:rPr>
          <w:color w:val="44546A" w:themeColor="text2"/>
          <w:sz w:val="32"/>
          <w:szCs w:val="28"/>
        </w:rPr>
      </w:pPr>
      <w:r w:rsidRPr="00EF27D1">
        <w:rPr>
          <w:rFonts w:eastAsia="Times New Roman"/>
          <w:color w:val="44546A" w:themeColor="text2"/>
          <w:sz w:val="32"/>
          <w:szCs w:val="28"/>
        </w:rPr>
        <w:t>Computable Resilience Model for Urban Safety</w:t>
      </w:r>
    </w:p>
    <w:p w14:paraId="58002097" w14:textId="75EED251" w:rsidR="00922F4A" w:rsidRPr="00EF27D1" w:rsidRDefault="00000000" w:rsidP="00EF27D1">
      <w:pPr>
        <w:widowControl/>
        <w:ind w:firstLineChars="0" w:firstLine="0"/>
        <w:jc w:val="center"/>
        <w:rPr>
          <w:rFonts w:eastAsiaTheme="minorEastAsia"/>
          <w:color w:val="44546A" w:themeColor="text2"/>
          <w:sz w:val="22"/>
        </w:rPr>
      </w:pPr>
      <w:r w:rsidRPr="00EF27D1">
        <w:rPr>
          <w:rFonts w:eastAsia="Times New Roman"/>
          <w:color w:val="44546A" w:themeColor="text2"/>
          <w:sz w:val="22"/>
        </w:rPr>
        <w:t>Ming Wang and Linmei Zhuang</w:t>
      </w:r>
      <w:r w:rsidR="00EF27D1" w:rsidRPr="00EF27D1">
        <w:rPr>
          <w:rFonts w:eastAsiaTheme="minorEastAsia" w:hint="eastAsia"/>
          <w:color w:val="44546A" w:themeColor="text2"/>
          <w:sz w:val="22"/>
        </w:rPr>
        <w:t>*</w:t>
      </w:r>
    </w:p>
    <w:p w14:paraId="7A5B32E3" w14:textId="77777777" w:rsidR="00EF27D1" w:rsidRPr="00EF27D1" w:rsidRDefault="00EF27D1">
      <w:pPr>
        <w:widowControl/>
        <w:ind w:firstLine="480"/>
        <w:jc w:val="center"/>
        <w:rPr>
          <w:rFonts w:eastAsiaTheme="minorEastAsia"/>
        </w:rPr>
      </w:pPr>
    </w:p>
    <w:sdt>
      <w:sdtPr>
        <w:rPr>
          <w:rFonts w:ascii="Times New Roman" w:eastAsia="宋体" w:hAnsi="Times New Roman" w:cstheme="minorBidi"/>
          <w:color w:val="auto"/>
          <w:kern w:val="2"/>
          <w:sz w:val="24"/>
          <w:szCs w:val="22"/>
          <w:lang w:val="zh-CN"/>
        </w:rPr>
        <w:id w:val="426162782"/>
        <w:docPartObj>
          <w:docPartGallery w:val="Table of Contents"/>
          <w:docPartUnique/>
        </w:docPartObj>
      </w:sdtPr>
      <w:sdtEndPr>
        <w:rPr>
          <w:b/>
          <w:bCs/>
        </w:rPr>
      </w:sdtEndPr>
      <w:sdtContent>
        <w:p w14:paraId="679780FE" w14:textId="5681E1F4" w:rsidR="006967D3" w:rsidRPr="006967D3" w:rsidRDefault="006967D3" w:rsidP="006967D3">
          <w:pPr>
            <w:pStyle w:val="TOC"/>
            <w:rPr>
              <w:rFonts w:ascii="Times New Roman" w:hAnsi="Times New Roman" w:cs="Times New Roman"/>
            </w:rPr>
          </w:pPr>
          <w:r w:rsidRPr="006967D3">
            <w:rPr>
              <w:rFonts w:ascii="Times New Roman" w:hAnsi="Times New Roman" w:cs="Times New Roman"/>
              <w:lang w:val="zh-CN"/>
            </w:rPr>
            <w:t>Co</w:t>
          </w:r>
          <w:r w:rsidR="0047584A">
            <w:rPr>
              <w:rFonts w:ascii="Times New Roman" w:hAnsi="Times New Roman" w:cs="Times New Roman" w:hint="eastAsia"/>
              <w:lang w:val="zh-CN"/>
            </w:rPr>
            <w:t>n</w:t>
          </w:r>
          <w:r w:rsidRPr="006967D3">
            <w:rPr>
              <w:rFonts w:ascii="Times New Roman" w:hAnsi="Times New Roman" w:cs="Times New Roman"/>
              <w:lang w:val="zh-CN"/>
            </w:rPr>
            <w:t>tents</w:t>
          </w:r>
        </w:p>
        <w:p w14:paraId="7FCB618D" w14:textId="6A94175D" w:rsidR="00F37B93" w:rsidRPr="00F37B93" w:rsidRDefault="006967D3">
          <w:pPr>
            <w:pStyle w:val="TOC1"/>
            <w:tabs>
              <w:tab w:val="right" w:leader="dot" w:pos="8296"/>
            </w:tabs>
            <w:rPr>
              <w:rFonts w:ascii="Times New Roman" w:hAnsi="Times New Roman"/>
              <w:noProof/>
              <w:kern w:val="2"/>
              <w:szCs w:val="24"/>
              <w14:ligatures w14:val="standardContextual"/>
            </w:rPr>
          </w:pPr>
          <w:r w:rsidRPr="00F37B93">
            <w:rPr>
              <w:rFonts w:ascii="Times New Roman" w:hAnsi="Times New Roman"/>
            </w:rPr>
            <w:fldChar w:fldCharType="begin"/>
          </w:r>
          <w:r w:rsidRPr="00F37B93">
            <w:rPr>
              <w:rFonts w:ascii="Times New Roman" w:hAnsi="Times New Roman"/>
            </w:rPr>
            <w:instrText xml:space="preserve"> TOC \o "1-3" \h \z \u </w:instrText>
          </w:r>
          <w:r w:rsidRPr="00F37B93">
            <w:rPr>
              <w:rFonts w:ascii="Times New Roman" w:hAnsi="Times New Roman"/>
            </w:rPr>
            <w:fldChar w:fldCharType="separate"/>
          </w:r>
          <w:hyperlink w:anchor="_Toc240017606" w:history="1">
            <w:r w:rsidR="00F37B93" w:rsidRPr="00F37B93">
              <w:rPr>
                <w:rStyle w:val="af0"/>
                <w:rFonts w:ascii="Times New Roman" w:hAnsi="Times New Roman"/>
                <w:noProof/>
              </w:rPr>
              <w:t>1</w:t>
            </w:r>
            <w:r w:rsidR="00F37B93" w:rsidRPr="00F37B93">
              <w:rPr>
                <w:rStyle w:val="af0"/>
                <w:rFonts w:ascii="Times New Roman" w:eastAsia="Times New Roman" w:hAnsi="Times New Roman"/>
                <w:noProof/>
              </w:rPr>
              <w:t xml:space="preserve"> Data sources and empirical indicator system</w:t>
            </w:r>
            <w:r w:rsidR="00F37B93" w:rsidRPr="00F37B93">
              <w:rPr>
                <w:rFonts w:ascii="Times New Roman" w:hAnsi="Times New Roman"/>
                <w:noProof/>
                <w:webHidden/>
              </w:rPr>
              <w:tab/>
            </w:r>
            <w:r w:rsidR="00F37B93" w:rsidRPr="00F37B93">
              <w:rPr>
                <w:rFonts w:ascii="Times New Roman" w:hAnsi="Times New Roman"/>
                <w:noProof/>
                <w:webHidden/>
              </w:rPr>
              <w:fldChar w:fldCharType="begin"/>
            </w:r>
            <w:r w:rsidR="00F37B93" w:rsidRPr="00F37B93">
              <w:rPr>
                <w:rFonts w:ascii="Times New Roman" w:hAnsi="Times New Roman"/>
                <w:noProof/>
                <w:webHidden/>
              </w:rPr>
              <w:instrText xml:space="preserve"> PAGEREF _Toc240017606 \h </w:instrText>
            </w:r>
            <w:r w:rsidR="00F37B93" w:rsidRPr="00F37B93">
              <w:rPr>
                <w:rFonts w:ascii="Times New Roman" w:hAnsi="Times New Roman"/>
                <w:noProof/>
                <w:webHidden/>
              </w:rPr>
            </w:r>
            <w:r w:rsidR="00F37B93" w:rsidRPr="00F37B93">
              <w:rPr>
                <w:rFonts w:ascii="Times New Roman" w:hAnsi="Times New Roman"/>
                <w:noProof/>
                <w:webHidden/>
              </w:rPr>
              <w:fldChar w:fldCharType="separate"/>
            </w:r>
            <w:r w:rsidR="00F37B93" w:rsidRPr="00F37B93">
              <w:rPr>
                <w:rFonts w:ascii="Times New Roman" w:hAnsi="Times New Roman"/>
                <w:noProof/>
                <w:webHidden/>
              </w:rPr>
              <w:t>2</w:t>
            </w:r>
            <w:r w:rsidR="00F37B93" w:rsidRPr="00F37B93">
              <w:rPr>
                <w:rFonts w:ascii="Times New Roman" w:hAnsi="Times New Roman"/>
                <w:noProof/>
                <w:webHidden/>
              </w:rPr>
              <w:fldChar w:fldCharType="end"/>
            </w:r>
          </w:hyperlink>
        </w:p>
        <w:p w14:paraId="386A5CA1" w14:textId="1DDF32CB" w:rsidR="00F37B93" w:rsidRPr="00F37B93" w:rsidRDefault="00F37B93">
          <w:pPr>
            <w:pStyle w:val="TOC2"/>
            <w:tabs>
              <w:tab w:val="right" w:leader="dot" w:pos="8296"/>
            </w:tabs>
            <w:rPr>
              <w:rFonts w:ascii="Times New Roman" w:hAnsi="Times New Roman"/>
              <w:noProof/>
              <w:kern w:val="2"/>
              <w:szCs w:val="24"/>
              <w14:ligatures w14:val="standardContextual"/>
            </w:rPr>
          </w:pPr>
          <w:hyperlink w:anchor="_Toc240017607" w:history="1">
            <w:r w:rsidRPr="00F37B93">
              <w:rPr>
                <w:rStyle w:val="af0"/>
                <w:rFonts w:ascii="Times New Roman" w:hAnsi="Times New Roman"/>
                <w:noProof/>
              </w:rPr>
              <w:t>1.1 Scenario-dependent extreme-rainfall shock indicator</w:t>
            </w:r>
            <w:r w:rsidRPr="00F37B93">
              <w:rPr>
                <w:rFonts w:ascii="Times New Roman" w:hAnsi="Times New Roman"/>
                <w:noProof/>
                <w:webHidden/>
              </w:rPr>
              <w:tab/>
            </w:r>
            <w:r w:rsidRPr="00F37B93">
              <w:rPr>
                <w:rFonts w:ascii="Times New Roman" w:hAnsi="Times New Roman"/>
                <w:noProof/>
                <w:webHidden/>
              </w:rPr>
              <w:fldChar w:fldCharType="begin"/>
            </w:r>
            <w:r w:rsidRPr="00F37B93">
              <w:rPr>
                <w:rFonts w:ascii="Times New Roman" w:hAnsi="Times New Roman"/>
                <w:noProof/>
                <w:webHidden/>
              </w:rPr>
              <w:instrText xml:space="preserve"> PAGEREF _Toc240017607 \h </w:instrText>
            </w:r>
            <w:r w:rsidRPr="00F37B93">
              <w:rPr>
                <w:rFonts w:ascii="Times New Roman" w:hAnsi="Times New Roman"/>
                <w:noProof/>
                <w:webHidden/>
              </w:rPr>
            </w:r>
            <w:r w:rsidRPr="00F37B93">
              <w:rPr>
                <w:rFonts w:ascii="Times New Roman" w:hAnsi="Times New Roman"/>
                <w:noProof/>
                <w:webHidden/>
              </w:rPr>
              <w:fldChar w:fldCharType="separate"/>
            </w:r>
            <w:r w:rsidRPr="00F37B93">
              <w:rPr>
                <w:rFonts w:ascii="Times New Roman" w:hAnsi="Times New Roman"/>
                <w:noProof/>
                <w:webHidden/>
              </w:rPr>
              <w:t>3</w:t>
            </w:r>
            <w:r w:rsidRPr="00F37B93">
              <w:rPr>
                <w:rFonts w:ascii="Times New Roman" w:hAnsi="Times New Roman"/>
                <w:noProof/>
                <w:webHidden/>
              </w:rPr>
              <w:fldChar w:fldCharType="end"/>
            </w:r>
          </w:hyperlink>
        </w:p>
        <w:p w14:paraId="63705072" w14:textId="6DFCF949" w:rsidR="00F37B93" w:rsidRPr="00F37B93" w:rsidRDefault="00F37B93">
          <w:pPr>
            <w:pStyle w:val="TOC1"/>
            <w:tabs>
              <w:tab w:val="right" w:leader="dot" w:pos="8296"/>
            </w:tabs>
            <w:rPr>
              <w:rFonts w:ascii="Times New Roman" w:hAnsi="Times New Roman"/>
              <w:noProof/>
              <w:kern w:val="2"/>
              <w:szCs w:val="24"/>
              <w14:ligatures w14:val="standardContextual"/>
            </w:rPr>
          </w:pPr>
          <w:hyperlink w:anchor="_Toc240017608" w:history="1">
            <w:r w:rsidRPr="00F37B93">
              <w:rPr>
                <w:rStyle w:val="af0"/>
                <w:rFonts w:ascii="Times New Roman" w:hAnsi="Times New Roman"/>
                <w:noProof/>
              </w:rPr>
              <w:t>2</w:t>
            </w:r>
            <w:r w:rsidRPr="00F37B93">
              <w:rPr>
                <w:rStyle w:val="af0"/>
                <w:rFonts w:ascii="Times New Roman" w:eastAsia="Times New Roman" w:hAnsi="Times New Roman"/>
                <w:noProof/>
              </w:rPr>
              <w:t xml:space="preserve"> Combined objective weighting method</w:t>
            </w:r>
            <w:r w:rsidRPr="00F37B93">
              <w:rPr>
                <w:rFonts w:ascii="Times New Roman" w:hAnsi="Times New Roman"/>
                <w:noProof/>
                <w:webHidden/>
              </w:rPr>
              <w:tab/>
            </w:r>
            <w:r w:rsidRPr="00F37B93">
              <w:rPr>
                <w:rFonts w:ascii="Times New Roman" w:hAnsi="Times New Roman"/>
                <w:noProof/>
                <w:webHidden/>
              </w:rPr>
              <w:fldChar w:fldCharType="begin"/>
            </w:r>
            <w:r w:rsidRPr="00F37B93">
              <w:rPr>
                <w:rFonts w:ascii="Times New Roman" w:hAnsi="Times New Roman"/>
                <w:noProof/>
                <w:webHidden/>
              </w:rPr>
              <w:instrText xml:space="preserve"> PAGEREF _Toc240017608 \h </w:instrText>
            </w:r>
            <w:r w:rsidRPr="00F37B93">
              <w:rPr>
                <w:rFonts w:ascii="Times New Roman" w:hAnsi="Times New Roman"/>
                <w:noProof/>
                <w:webHidden/>
              </w:rPr>
            </w:r>
            <w:r w:rsidRPr="00F37B93">
              <w:rPr>
                <w:rFonts w:ascii="Times New Roman" w:hAnsi="Times New Roman"/>
                <w:noProof/>
                <w:webHidden/>
              </w:rPr>
              <w:fldChar w:fldCharType="separate"/>
            </w:r>
            <w:r w:rsidRPr="00F37B93">
              <w:rPr>
                <w:rFonts w:ascii="Times New Roman" w:hAnsi="Times New Roman"/>
                <w:noProof/>
                <w:webHidden/>
              </w:rPr>
              <w:t>4</w:t>
            </w:r>
            <w:r w:rsidRPr="00F37B93">
              <w:rPr>
                <w:rFonts w:ascii="Times New Roman" w:hAnsi="Times New Roman"/>
                <w:noProof/>
                <w:webHidden/>
              </w:rPr>
              <w:fldChar w:fldCharType="end"/>
            </w:r>
          </w:hyperlink>
        </w:p>
        <w:p w14:paraId="66CB1BF3" w14:textId="652350A5" w:rsidR="00F37B93" w:rsidRPr="00F37B93" w:rsidRDefault="00F37B93">
          <w:pPr>
            <w:pStyle w:val="TOC1"/>
            <w:tabs>
              <w:tab w:val="right" w:leader="dot" w:pos="8296"/>
            </w:tabs>
            <w:rPr>
              <w:rFonts w:ascii="Times New Roman" w:hAnsi="Times New Roman"/>
              <w:noProof/>
              <w:kern w:val="2"/>
              <w:szCs w:val="24"/>
              <w14:ligatures w14:val="standardContextual"/>
            </w:rPr>
          </w:pPr>
          <w:hyperlink w:anchor="_Toc240017609" w:history="1">
            <w:r w:rsidRPr="00F37B93">
              <w:rPr>
                <w:rStyle w:val="af0"/>
                <w:rFonts w:ascii="Times New Roman" w:hAnsi="Times New Roman"/>
                <w:noProof/>
              </w:rPr>
              <w:t>3 CRM parameter calibration</w:t>
            </w:r>
            <w:r w:rsidRPr="00F37B93">
              <w:rPr>
                <w:rFonts w:ascii="Times New Roman" w:hAnsi="Times New Roman"/>
                <w:noProof/>
                <w:webHidden/>
              </w:rPr>
              <w:tab/>
            </w:r>
            <w:r w:rsidRPr="00F37B93">
              <w:rPr>
                <w:rFonts w:ascii="Times New Roman" w:hAnsi="Times New Roman"/>
                <w:noProof/>
                <w:webHidden/>
              </w:rPr>
              <w:fldChar w:fldCharType="begin"/>
            </w:r>
            <w:r w:rsidRPr="00F37B93">
              <w:rPr>
                <w:rFonts w:ascii="Times New Roman" w:hAnsi="Times New Roman"/>
                <w:noProof/>
                <w:webHidden/>
              </w:rPr>
              <w:instrText xml:space="preserve"> PAGEREF _Toc240017609 \h </w:instrText>
            </w:r>
            <w:r w:rsidRPr="00F37B93">
              <w:rPr>
                <w:rFonts w:ascii="Times New Roman" w:hAnsi="Times New Roman"/>
                <w:noProof/>
                <w:webHidden/>
              </w:rPr>
            </w:r>
            <w:r w:rsidRPr="00F37B93">
              <w:rPr>
                <w:rFonts w:ascii="Times New Roman" w:hAnsi="Times New Roman"/>
                <w:noProof/>
                <w:webHidden/>
              </w:rPr>
              <w:fldChar w:fldCharType="separate"/>
            </w:r>
            <w:r w:rsidRPr="00F37B93">
              <w:rPr>
                <w:rFonts w:ascii="Times New Roman" w:hAnsi="Times New Roman"/>
                <w:noProof/>
                <w:webHidden/>
              </w:rPr>
              <w:t>6</w:t>
            </w:r>
            <w:r w:rsidRPr="00F37B93">
              <w:rPr>
                <w:rFonts w:ascii="Times New Roman" w:hAnsi="Times New Roman"/>
                <w:noProof/>
                <w:webHidden/>
              </w:rPr>
              <w:fldChar w:fldCharType="end"/>
            </w:r>
          </w:hyperlink>
        </w:p>
        <w:p w14:paraId="18FC20C2" w14:textId="387B09AA" w:rsidR="00F37B93" w:rsidRPr="00F37B93" w:rsidRDefault="00F37B93">
          <w:pPr>
            <w:pStyle w:val="TOC2"/>
            <w:tabs>
              <w:tab w:val="right" w:leader="dot" w:pos="8296"/>
            </w:tabs>
            <w:rPr>
              <w:rFonts w:ascii="Times New Roman" w:hAnsi="Times New Roman"/>
              <w:noProof/>
              <w:kern w:val="2"/>
              <w:szCs w:val="24"/>
              <w14:ligatures w14:val="standardContextual"/>
            </w:rPr>
          </w:pPr>
          <w:hyperlink w:anchor="_Toc240017610" w:history="1">
            <w:r w:rsidRPr="00F37B93">
              <w:rPr>
                <w:rStyle w:val="af0"/>
                <w:rFonts w:ascii="Times New Roman" w:hAnsi="Times New Roman"/>
                <w:noProof/>
              </w:rPr>
              <w:t>3.1 Common reference sample and normalization</w:t>
            </w:r>
            <w:r w:rsidRPr="00F37B93">
              <w:rPr>
                <w:rFonts w:ascii="Times New Roman" w:hAnsi="Times New Roman"/>
                <w:noProof/>
                <w:webHidden/>
              </w:rPr>
              <w:tab/>
            </w:r>
            <w:r w:rsidRPr="00F37B93">
              <w:rPr>
                <w:rFonts w:ascii="Times New Roman" w:hAnsi="Times New Roman"/>
                <w:noProof/>
                <w:webHidden/>
              </w:rPr>
              <w:fldChar w:fldCharType="begin"/>
            </w:r>
            <w:r w:rsidRPr="00F37B93">
              <w:rPr>
                <w:rFonts w:ascii="Times New Roman" w:hAnsi="Times New Roman"/>
                <w:noProof/>
                <w:webHidden/>
              </w:rPr>
              <w:instrText xml:space="preserve"> PAGEREF _Toc240017610 \h </w:instrText>
            </w:r>
            <w:r w:rsidRPr="00F37B93">
              <w:rPr>
                <w:rFonts w:ascii="Times New Roman" w:hAnsi="Times New Roman"/>
                <w:noProof/>
                <w:webHidden/>
              </w:rPr>
            </w:r>
            <w:r w:rsidRPr="00F37B93">
              <w:rPr>
                <w:rFonts w:ascii="Times New Roman" w:hAnsi="Times New Roman"/>
                <w:noProof/>
                <w:webHidden/>
              </w:rPr>
              <w:fldChar w:fldCharType="separate"/>
            </w:r>
            <w:r w:rsidRPr="00F37B93">
              <w:rPr>
                <w:rFonts w:ascii="Times New Roman" w:hAnsi="Times New Roman"/>
                <w:noProof/>
                <w:webHidden/>
              </w:rPr>
              <w:t>6</w:t>
            </w:r>
            <w:r w:rsidRPr="00F37B93">
              <w:rPr>
                <w:rFonts w:ascii="Times New Roman" w:hAnsi="Times New Roman"/>
                <w:noProof/>
                <w:webHidden/>
              </w:rPr>
              <w:fldChar w:fldCharType="end"/>
            </w:r>
          </w:hyperlink>
        </w:p>
        <w:p w14:paraId="1B816009" w14:textId="09C7039E" w:rsidR="00F37B93" w:rsidRPr="00F37B93" w:rsidRDefault="00F37B93">
          <w:pPr>
            <w:pStyle w:val="TOC2"/>
            <w:tabs>
              <w:tab w:val="right" w:leader="dot" w:pos="8296"/>
            </w:tabs>
            <w:rPr>
              <w:rFonts w:ascii="Times New Roman" w:hAnsi="Times New Roman"/>
              <w:noProof/>
              <w:kern w:val="2"/>
              <w:szCs w:val="24"/>
              <w14:ligatures w14:val="standardContextual"/>
            </w:rPr>
          </w:pPr>
          <w:hyperlink w:anchor="_Toc240017611" w:history="1">
            <w:r w:rsidRPr="00F37B93">
              <w:rPr>
                <w:rStyle w:val="af0"/>
                <w:rFonts w:ascii="Times New Roman" w:hAnsi="Times New Roman"/>
                <w:noProof/>
              </w:rPr>
              <w:t>3.2 Mapping attribute scores to CRM parameters</w:t>
            </w:r>
            <w:r w:rsidRPr="00F37B93">
              <w:rPr>
                <w:rFonts w:ascii="Times New Roman" w:hAnsi="Times New Roman"/>
                <w:noProof/>
                <w:webHidden/>
              </w:rPr>
              <w:tab/>
            </w:r>
            <w:r w:rsidRPr="00F37B93">
              <w:rPr>
                <w:rFonts w:ascii="Times New Roman" w:hAnsi="Times New Roman"/>
                <w:noProof/>
                <w:webHidden/>
              </w:rPr>
              <w:fldChar w:fldCharType="begin"/>
            </w:r>
            <w:r w:rsidRPr="00F37B93">
              <w:rPr>
                <w:rFonts w:ascii="Times New Roman" w:hAnsi="Times New Roman"/>
                <w:noProof/>
                <w:webHidden/>
              </w:rPr>
              <w:instrText xml:space="preserve"> PAGEREF _Toc240017611 \h </w:instrText>
            </w:r>
            <w:r w:rsidRPr="00F37B93">
              <w:rPr>
                <w:rFonts w:ascii="Times New Roman" w:hAnsi="Times New Roman"/>
                <w:noProof/>
                <w:webHidden/>
              </w:rPr>
            </w:r>
            <w:r w:rsidRPr="00F37B93">
              <w:rPr>
                <w:rFonts w:ascii="Times New Roman" w:hAnsi="Times New Roman"/>
                <w:noProof/>
                <w:webHidden/>
              </w:rPr>
              <w:fldChar w:fldCharType="separate"/>
            </w:r>
            <w:r w:rsidRPr="00F37B93">
              <w:rPr>
                <w:rFonts w:ascii="Times New Roman" w:hAnsi="Times New Roman"/>
                <w:noProof/>
                <w:webHidden/>
              </w:rPr>
              <w:t>7</w:t>
            </w:r>
            <w:r w:rsidRPr="00F37B93">
              <w:rPr>
                <w:rFonts w:ascii="Times New Roman" w:hAnsi="Times New Roman"/>
                <w:noProof/>
                <w:webHidden/>
              </w:rPr>
              <w:fldChar w:fldCharType="end"/>
            </w:r>
          </w:hyperlink>
        </w:p>
        <w:p w14:paraId="4D4DFD87" w14:textId="3429490A" w:rsidR="00F37B93" w:rsidRPr="00F37B93" w:rsidRDefault="00F37B93">
          <w:pPr>
            <w:pStyle w:val="TOC2"/>
            <w:tabs>
              <w:tab w:val="right" w:leader="dot" w:pos="8296"/>
            </w:tabs>
            <w:rPr>
              <w:rFonts w:ascii="Times New Roman" w:hAnsi="Times New Roman"/>
              <w:noProof/>
              <w:kern w:val="2"/>
              <w:szCs w:val="24"/>
              <w14:ligatures w14:val="standardContextual"/>
            </w:rPr>
          </w:pPr>
          <w:hyperlink w:anchor="_Toc240017612" w:history="1">
            <w:r w:rsidRPr="00F37B93">
              <w:rPr>
                <w:rStyle w:val="af0"/>
                <w:rFonts w:ascii="Times New Roman" w:hAnsi="Times New Roman"/>
                <w:noProof/>
              </w:rPr>
              <w:t>3.3 Scenario-conditioned and city-level calibration</w:t>
            </w:r>
            <w:r w:rsidRPr="00F37B93">
              <w:rPr>
                <w:rFonts w:ascii="Times New Roman" w:hAnsi="Times New Roman"/>
                <w:noProof/>
                <w:webHidden/>
              </w:rPr>
              <w:tab/>
            </w:r>
            <w:r w:rsidRPr="00F37B93">
              <w:rPr>
                <w:rFonts w:ascii="Times New Roman" w:hAnsi="Times New Roman"/>
                <w:noProof/>
                <w:webHidden/>
              </w:rPr>
              <w:fldChar w:fldCharType="begin"/>
            </w:r>
            <w:r w:rsidRPr="00F37B93">
              <w:rPr>
                <w:rFonts w:ascii="Times New Roman" w:hAnsi="Times New Roman"/>
                <w:noProof/>
                <w:webHidden/>
              </w:rPr>
              <w:instrText xml:space="preserve"> PAGEREF _Toc240017612 \h </w:instrText>
            </w:r>
            <w:r w:rsidRPr="00F37B93">
              <w:rPr>
                <w:rFonts w:ascii="Times New Roman" w:hAnsi="Times New Roman"/>
                <w:noProof/>
                <w:webHidden/>
              </w:rPr>
            </w:r>
            <w:r w:rsidRPr="00F37B93">
              <w:rPr>
                <w:rFonts w:ascii="Times New Roman" w:hAnsi="Times New Roman"/>
                <w:noProof/>
                <w:webHidden/>
              </w:rPr>
              <w:fldChar w:fldCharType="separate"/>
            </w:r>
            <w:r w:rsidRPr="00F37B93">
              <w:rPr>
                <w:rFonts w:ascii="Times New Roman" w:hAnsi="Times New Roman"/>
                <w:noProof/>
                <w:webHidden/>
              </w:rPr>
              <w:t>7</w:t>
            </w:r>
            <w:r w:rsidRPr="00F37B93">
              <w:rPr>
                <w:rFonts w:ascii="Times New Roman" w:hAnsi="Times New Roman"/>
                <w:noProof/>
                <w:webHidden/>
              </w:rPr>
              <w:fldChar w:fldCharType="end"/>
            </w:r>
          </w:hyperlink>
        </w:p>
        <w:p w14:paraId="44041017" w14:textId="7789F1BD" w:rsidR="00F37B93" w:rsidRPr="00F37B93" w:rsidRDefault="00F37B93">
          <w:pPr>
            <w:pStyle w:val="TOC1"/>
            <w:tabs>
              <w:tab w:val="right" w:leader="dot" w:pos="8296"/>
            </w:tabs>
            <w:rPr>
              <w:rFonts w:ascii="Times New Roman" w:hAnsi="Times New Roman"/>
              <w:noProof/>
              <w:kern w:val="2"/>
              <w:szCs w:val="24"/>
              <w14:ligatures w14:val="standardContextual"/>
            </w:rPr>
          </w:pPr>
          <w:hyperlink w:anchor="_Toc240017613" w:history="1">
            <w:r w:rsidRPr="00F37B93">
              <w:rPr>
                <w:rStyle w:val="af0"/>
                <w:rFonts w:ascii="Times New Roman" w:hAnsi="Times New Roman"/>
                <w:noProof/>
              </w:rPr>
              <w:t>4</w:t>
            </w:r>
            <w:r w:rsidRPr="00F37B93">
              <w:rPr>
                <w:rStyle w:val="af0"/>
                <w:rFonts w:ascii="Times New Roman" w:eastAsia="Times New Roman" w:hAnsi="Times New Roman"/>
                <w:noProof/>
              </w:rPr>
              <w:t xml:space="preserve"> Numerical settings and representative trajectory data</w:t>
            </w:r>
            <w:r w:rsidRPr="00F37B93">
              <w:rPr>
                <w:rFonts w:ascii="Times New Roman" w:hAnsi="Times New Roman"/>
                <w:noProof/>
                <w:webHidden/>
              </w:rPr>
              <w:tab/>
            </w:r>
            <w:r w:rsidRPr="00F37B93">
              <w:rPr>
                <w:rFonts w:ascii="Times New Roman" w:hAnsi="Times New Roman"/>
                <w:noProof/>
                <w:webHidden/>
              </w:rPr>
              <w:fldChar w:fldCharType="begin"/>
            </w:r>
            <w:r w:rsidRPr="00F37B93">
              <w:rPr>
                <w:rFonts w:ascii="Times New Roman" w:hAnsi="Times New Roman"/>
                <w:noProof/>
                <w:webHidden/>
              </w:rPr>
              <w:instrText xml:space="preserve"> PAGEREF _Toc240017613 \h </w:instrText>
            </w:r>
            <w:r w:rsidRPr="00F37B93">
              <w:rPr>
                <w:rFonts w:ascii="Times New Roman" w:hAnsi="Times New Roman"/>
                <w:noProof/>
                <w:webHidden/>
              </w:rPr>
            </w:r>
            <w:r w:rsidRPr="00F37B93">
              <w:rPr>
                <w:rFonts w:ascii="Times New Roman" w:hAnsi="Times New Roman"/>
                <w:noProof/>
                <w:webHidden/>
              </w:rPr>
              <w:fldChar w:fldCharType="separate"/>
            </w:r>
            <w:r w:rsidRPr="00F37B93">
              <w:rPr>
                <w:rFonts w:ascii="Times New Roman" w:hAnsi="Times New Roman"/>
                <w:noProof/>
                <w:webHidden/>
              </w:rPr>
              <w:t>8</w:t>
            </w:r>
            <w:r w:rsidRPr="00F37B93">
              <w:rPr>
                <w:rFonts w:ascii="Times New Roman" w:hAnsi="Times New Roman"/>
                <w:noProof/>
                <w:webHidden/>
              </w:rPr>
              <w:fldChar w:fldCharType="end"/>
            </w:r>
          </w:hyperlink>
        </w:p>
        <w:p w14:paraId="6AEA1958" w14:textId="1959387C" w:rsidR="00F37B93" w:rsidRPr="00F37B93" w:rsidRDefault="00F37B93">
          <w:pPr>
            <w:pStyle w:val="TOC1"/>
            <w:tabs>
              <w:tab w:val="right" w:leader="dot" w:pos="8296"/>
            </w:tabs>
            <w:rPr>
              <w:rFonts w:ascii="Times New Roman" w:hAnsi="Times New Roman"/>
              <w:noProof/>
              <w:kern w:val="2"/>
              <w:szCs w:val="24"/>
              <w14:ligatures w14:val="standardContextual"/>
            </w:rPr>
          </w:pPr>
          <w:hyperlink w:anchor="_Toc240017614" w:history="1">
            <w:r w:rsidRPr="00F37B93">
              <w:rPr>
                <w:rStyle w:val="af0"/>
                <w:rFonts w:ascii="Times New Roman" w:hAnsi="Times New Roman"/>
                <w:noProof/>
              </w:rPr>
              <w:t>5 Sensitivity of the common integration benchmark</w:t>
            </w:r>
            <w:r w:rsidRPr="00F37B93">
              <w:rPr>
                <w:rFonts w:ascii="Times New Roman" w:hAnsi="Times New Roman"/>
                <w:noProof/>
                <w:webHidden/>
              </w:rPr>
              <w:tab/>
            </w:r>
            <w:r w:rsidRPr="00F37B93">
              <w:rPr>
                <w:rFonts w:ascii="Times New Roman" w:hAnsi="Times New Roman"/>
                <w:noProof/>
                <w:webHidden/>
              </w:rPr>
              <w:fldChar w:fldCharType="begin"/>
            </w:r>
            <w:r w:rsidRPr="00F37B93">
              <w:rPr>
                <w:rFonts w:ascii="Times New Roman" w:hAnsi="Times New Roman"/>
                <w:noProof/>
                <w:webHidden/>
              </w:rPr>
              <w:instrText xml:space="preserve"> PAGEREF _Toc240017614 \h </w:instrText>
            </w:r>
            <w:r w:rsidRPr="00F37B93">
              <w:rPr>
                <w:rFonts w:ascii="Times New Roman" w:hAnsi="Times New Roman"/>
                <w:noProof/>
                <w:webHidden/>
              </w:rPr>
            </w:r>
            <w:r w:rsidRPr="00F37B93">
              <w:rPr>
                <w:rFonts w:ascii="Times New Roman" w:hAnsi="Times New Roman"/>
                <w:noProof/>
                <w:webHidden/>
              </w:rPr>
              <w:fldChar w:fldCharType="separate"/>
            </w:r>
            <w:r w:rsidRPr="00F37B93">
              <w:rPr>
                <w:rFonts w:ascii="Times New Roman" w:hAnsi="Times New Roman"/>
                <w:noProof/>
                <w:webHidden/>
              </w:rPr>
              <w:t>9</w:t>
            </w:r>
            <w:r w:rsidRPr="00F37B93">
              <w:rPr>
                <w:rFonts w:ascii="Times New Roman" w:hAnsi="Times New Roman"/>
                <w:noProof/>
                <w:webHidden/>
              </w:rPr>
              <w:fldChar w:fldCharType="end"/>
            </w:r>
          </w:hyperlink>
        </w:p>
        <w:p w14:paraId="31DB40C0" w14:textId="29DAA31A" w:rsidR="00F37B93" w:rsidRPr="00F37B93" w:rsidRDefault="00F37B93">
          <w:pPr>
            <w:pStyle w:val="TOC1"/>
            <w:tabs>
              <w:tab w:val="right" w:leader="dot" w:pos="8296"/>
            </w:tabs>
            <w:rPr>
              <w:rFonts w:ascii="Times New Roman" w:hAnsi="Times New Roman"/>
              <w:noProof/>
              <w:kern w:val="2"/>
              <w:szCs w:val="24"/>
              <w14:ligatures w14:val="standardContextual"/>
            </w:rPr>
          </w:pPr>
          <w:hyperlink w:anchor="_Toc240017615" w:history="1">
            <w:r w:rsidRPr="00F37B93">
              <w:rPr>
                <w:rStyle w:val="af0"/>
                <w:rFonts w:ascii="Times New Roman" w:hAnsi="Times New Roman"/>
                <w:noProof/>
              </w:rPr>
              <w:t>References</w:t>
            </w:r>
            <w:r w:rsidRPr="00F37B93">
              <w:rPr>
                <w:rFonts w:ascii="Times New Roman" w:hAnsi="Times New Roman"/>
                <w:noProof/>
                <w:webHidden/>
              </w:rPr>
              <w:tab/>
            </w:r>
            <w:r w:rsidRPr="00F37B93">
              <w:rPr>
                <w:rFonts w:ascii="Times New Roman" w:hAnsi="Times New Roman"/>
                <w:noProof/>
                <w:webHidden/>
              </w:rPr>
              <w:fldChar w:fldCharType="begin"/>
            </w:r>
            <w:r w:rsidRPr="00F37B93">
              <w:rPr>
                <w:rFonts w:ascii="Times New Roman" w:hAnsi="Times New Roman"/>
                <w:noProof/>
                <w:webHidden/>
              </w:rPr>
              <w:instrText xml:space="preserve"> PAGEREF _Toc240017615 \h </w:instrText>
            </w:r>
            <w:r w:rsidRPr="00F37B93">
              <w:rPr>
                <w:rFonts w:ascii="Times New Roman" w:hAnsi="Times New Roman"/>
                <w:noProof/>
                <w:webHidden/>
              </w:rPr>
            </w:r>
            <w:r w:rsidRPr="00F37B93">
              <w:rPr>
                <w:rFonts w:ascii="Times New Roman" w:hAnsi="Times New Roman"/>
                <w:noProof/>
                <w:webHidden/>
              </w:rPr>
              <w:fldChar w:fldCharType="separate"/>
            </w:r>
            <w:r w:rsidRPr="00F37B93">
              <w:rPr>
                <w:rFonts w:ascii="Times New Roman" w:hAnsi="Times New Roman"/>
                <w:noProof/>
                <w:webHidden/>
              </w:rPr>
              <w:t>11</w:t>
            </w:r>
            <w:r w:rsidRPr="00F37B93">
              <w:rPr>
                <w:rFonts w:ascii="Times New Roman" w:hAnsi="Times New Roman"/>
                <w:noProof/>
                <w:webHidden/>
              </w:rPr>
              <w:fldChar w:fldCharType="end"/>
            </w:r>
          </w:hyperlink>
        </w:p>
        <w:p w14:paraId="3A3C8649" w14:textId="434FE249" w:rsidR="006967D3" w:rsidRDefault="006967D3">
          <w:pPr>
            <w:ind w:firstLine="482"/>
          </w:pPr>
          <w:r w:rsidRPr="00F37B93">
            <w:rPr>
              <w:rFonts w:cs="Times New Roman"/>
              <w:b/>
              <w:bCs/>
              <w:lang w:val="zh-CN"/>
            </w:rPr>
            <w:fldChar w:fldCharType="end"/>
          </w:r>
        </w:p>
      </w:sdtContent>
    </w:sdt>
    <w:p w14:paraId="3B9C2347" w14:textId="77777777" w:rsidR="006967D3" w:rsidRPr="006967D3" w:rsidRDefault="006967D3">
      <w:pPr>
        <w:widowControl/>
        <w:spacing w:before="360"/>
        <w:ind w:firstLine="480"/>
        <w:jc w:val="center"/>
        <w:rPr>
          <w:rFonts w:eastAsiaTheme="minorEastAsia"/>
        </w:rPr>
      </w:pPr>
    </w:p>
    <w:p w14:paraId="4E8F5940" w14:textId="77777777" w:rsidR="00922F4A" w:rsidRDefault="00000000">
      <w:pPr>
        <w:widowControl/>
        <w:ind w:firstLine="480"/>
      </w:pPr>
      <w:r>
        <w:br w:type="page"/>
      </w:r>
    </w:p>
    <w:p w14:paraId="6C5FC723" w14:textId="77777777" w:rsidR="00922F4A" w:rsidRDefault="00000000">
      <w:pPr>
        <w:pStyle w:val="1"/>
        <w:spacing w:before="163" w:after="163"/>
      </w:pPr>
      <w:bookmarkStart w:id="0" w:name="_Toc240017606"/>
      <w:r>
        <w:rPr>
          <w:rFonts w:eastAsia="Times New Roman"/>
        </w:rPr>
        <w:lastRenderedPageBreak/>
        <w:t>Data sources and empirical indicator system</w:t>
      </w:r>
      <w:bookmarkEnd w:id="0"/>
    </w:p>
    <w:p w14:paraId="31677038" w14:textId="04F20BCA" w:rsidR="00922F4A" w:rsidRDefault="00000000">
      <w:pPr>
        <w:widowControl/>
        <w:ind w:firstLine="480"/>
      </w:pPr>
      <w:r>
        <w:rPr>
          <w:rFonts w:eastAsia="Times New Roman"/>
        </w:rPr>
        <w:t>The empirical application operationalizes the four dynamical attributes of the CRM using 14 indicators. To match the dynamical sequence of the revised CRM, the published indicator system is organized as Robustness (</w:t>
      </w:r>
      <m:oMath>
        <m:r>
          <w:rPr>
            <w:rFonts w:ascii="Cambria Math" w:eastAsia="Times New Roman" w:hAnsi="Cambria Math"/>
          </w:rPr>
          <m:t>a</m:t>
        </m:r>
      </m:oMath>
      <w:r>
        <w:rPr>
          <w:rFonts w:eastAsia="Times New Roman"/>
        </w:rPr>
        <w:t>), Redundancy (</w:t>
      </w:r>
      <m:oMath>
        <m:r>
          <w:rPr>
            <w:rFonts w:ascii="Cambria Math" w:eastAsia="Times New Roman" w:hAnsi="Cambria Math"/>
          </w:rPr>
          <m:t>b</m:t>
        </m:r>
      </m:oMath>
      <w:r>
        <w:rPr>
          <w:rFonts w:eastAsia="Times New Roman"/>
        </w:rPr>
        <w:t>), Rapidity (</w:t>
      </w:r>
      <m:oMath>
        <m:r>
          <w:rPr>
            <w:rFonts w:ascii="Cambria Math" w:eastAsia="Times New Roman" w:hAnsi="Cambria Math"/>
          </w:rPr>
          <m:t>c</m:t>
        </m:r>
      </m:oMath>
      <w:r>
        <w:rPr>
          <w:rFonts w:eastAsia="Times New Roman"/>
        </w:rPr>
        <w:t>), and Resourcefulness (</w:t>
      </w:r>
      <m:oMath>
        <m:r>
          <w:rPr>
            <w:rFonts w:ascii="Cambria Math" w:eastAsia="Times New Roman" w:hAnsi="Cambria Math"/>
          </w:rPr>
          <m:t>d</m:t>
        </m:r>
      </m:oMath>
      <w:r>
        <w:rPr>
          <w:rFonts w:eastAsia="Times New Roman"/>
        </w:rPr>
        <w:t xml:space="preserve">). Robustness is represented by three indicators, redundancy by four indicators, rapidity by four indicators, and resourcefulness by three indicators. </w:t>
      </w:r>
      <w:r w:rsidR="0047584A" w:rsidRPr="0047584A">
        <w:rPr>
          <w:rFonts w:eastAsia="Times New Roman"/>
        </w:rPr>
        <w:t>The indicator pool is adapted from the urban extreme-rainfall resilience database developed by Zhuang et al.</w:t>
      </w:r>
      <w:r w:rsidR="001974FC">
        <w:rPr>
          <w:rFonts w:eastAsiaTheme="minorEastAsia" w:hint="eastAsia"/>
        </w:rPr>
        <w:t xml:space="preserve"> </w:t>
      </w:r>
      <w:r w:rsidR="00FD2B0C">
        <w:rPr>
          <w:rFonts w:eastAsiaTheme="minorEastAsia"/>
        </w:rPr>
        <w:fldChar w:fldCharType="begin"/>
      </w:r>
      <w:r w:rsidR="001974FC">
        <w:rPr>
          <w:rFonts w:eastAsiaTheme="minorEastAsia"/>
        </w:rPr>
        <w:instrText xml:space="preserve"> ADDIN ZOTERO_ITEM CSL_CITATION {"citationID":"mHTGPEKA","properties":{"unsorted":false,"formattedCitation":"(2026)","plainCitation":"(2026)","noteIndex":0},"citationItems":[{"id":74,"uris":["http://zotero.org/users/10401942/items/DNM7ELL7"],"itemData":{"id":74,"type":"article-journal","abstract":"Climate change has intensified extreme rainfall events, challenging progress toward SDG 11’s urban resilience targets. Current assessment methods often neglect dynamic recovery processes and regional precipitation disparities. We propose a three-phase framework combining interpretable machine learning (ML) and factorial experiments, using the Prep_shock index that integrates standardized rainfall intensity, capital exposure, and historical probability, to evaluate the dynamic resilience of 220+ Chinese cities from 2019 to 2022. Key findings reveal that: (1) The Prep_shock index effectively eliminates north-south precipitation biases, identifying Shandong coastal cities and Yangtze River Delta city clusters (36.2%) as high-resilience areas, in contrast to Henan Province. COVID-19 exacerbated systemic risks in megacities, undermining their capital protection capacities. (2) Spatial diagnostics classify 75.6% of the cities into Quadrant III (the balanced resilience category), with recovery times decreasing from the west to the east. Super-large cities like Zhengzhou (2021) exhibited critical recovery deficiencies (Quadrant IV). (3) Interpretable ML models (XGBoost/EBM) identify redundancy as the dominant resilience driver—robustness governs baseline resilience, while recovery relies on emergency support (for example, hospital beds density and fiscal inputs) and redundant infrastructure (for example, road network density). (4) Factorial experiments reveal optimization trade-offs: simultaneous enhancement of rapidity and redundancy diminishes their individual benefits, necessitating context-specific prioritization. The study advances dynamic resilience assessment methods and proposes quadrant-specific strategies for tailored urban adaptation.","container-title":"International Journal of Disaster Risk Science","DOI":"10.1007/s13753-025-00683-w","ISSN":"2192-6395","issue":"1","journalAbbreviation":"Int J Disaster Risk Sci","language":"en","page":"128-147","source":"Springer Link","title":"Assessing and Optimizing Urban Dynamic Resilience to Extreme Rainfall from Shock to Recovery","volume":"17","author":[{"family":"Zhuang","given":"Linmei"},{"family":"Wang","given":"Ming"},{"family":"Liu","given":"Kai"},{"family":"Tang","given":"Loon Ching"},{"family":"Wu","given":"Jidong"},{"family":"Xu","given":"Dingde"},{"family":"Liu","given":"Junfei"},{"family":"Zhang","given":"Jiawang"},{"family":"Yang","given":"Jiarui"},{"family":"Ren","given":"Yi"},{"family":"Xu","given":"Dong"}],"issued":{"date-parts":[["2026",2,1]]}},"suppress-author":true}],"schema":"https://github.com/citation-style-language/schema/raw/master/csl-citation.json"} </w:instrText>
      </w:r>
      <w:r w:rsidR="00FD2B0C">
        <w:rPr>
          <w:rFonts w:eastAsiaTheme="minorEastAsia"/>
        </w:rPr>
        <w:fldChar w:fldCharType="separate"/>
      </w:r>
      <w:r w:rsidR="001974FC" w:rsidRPr="001974FC">
        <w:rPr>
          <w:rFonts w:cs="Times New Roman"/>
        </w:rPr>
        <w:t>(2026)</w:t>
      </w:r>
      <w:r w:rsidR="00FD2B0C">
        <w:rPr>
          <w:rFonts w:eastAsiaTheme="minorEastAsia"/>
        </w:rPr>
        <w:fldChar w:fldCharType="end"/>
      </w:r>
      <w:r>
        <w:rPr>
          <w:rFonts w:eastAsia="Times New Roman"/>
        </w:rPr>
        <w:t xml:space="preserve">, but the present CRM assigns redundancy to </w:t>
      </w:r>
      <m:oMath>
        <m:r>
          <w:rPr>
            <w:rFonts w:ascii="Cambria Math" w:eastAsia="Times New Roman" w:hAnsi="Cambria Math"/>
          </w:rPr>
          <m:t>b</m:t>
        </m:r>
      </m:oMath>
      <w:r>
        <w:rPr>
          <w:rFonts w:eastAsia="Times New Roman"/>
        </w:rPr>
        <w:t xml:space="preserve"> and rapidity to </w:t>
      </w:r>
      <m:oMath>
        <m:r>
          <w:rPr>
            <w:rFonts w:ascii="Cambria Math" w:eastAsia="Times New Roman" w:hAnsi="Cambria Math"/>
          </w:rPr>
          <m:t>c</m:t>
        </m:r>
      </m:oMath>
      <w:r>
        <w:rPr>
          <w:rFonts w:eastAsia="Times New Roman"/>
        </w:rPr>
        <w:t xml:space="preserve"> so that the parameter order corresponds to the continuous shock-entry and recovery process of the new state-transition formulation.</w:t>
      </w:r>
    </w:p>
    <w:p w14:paraId="6848DA66" w14:textId="77777777" w:rsidR="00922F4A" w:rsidRDefault="00000000">
      <w:pPr>
        <w:widowControl/>
        <w:ind w:firstLine="480"/>
      </w:pPr>
      <w:r>
        <w:rPr>
          <w:rFonts w:eastAsia="Times New Roman"/>
        </w:rPr>
        <w:t>These indicators are not aggregated into a final static resilience score. Instead, they are used to calibrate the four dynamical parameters that govern the evolution of system performance. The robustness dimension contains a scenario-dependent rainfall-shock indicator and can therefore vary across return-period scenarios, whereas the redundancy, rapidity, and resourcefulness dimensions primarily characterize city-side capacities.</w:t>
      </w:r>
    </w:p>
    <w:p w14:paraId="2EAE2C10" w14:textId="6ADD23E6" w:rsidR="005B2E53" w:rsidRDefault="00000000" w:rsidP="005B2E53">
      <w:pPr>
        <w:keepNext/>
        <w:keepLines/>
        <w:widowControl/>
        <w:spacing w:after="60"/>
        <w:ind w:firstLineChars="0" w:firstLine="0"/>
        <w:jc w:val="center"/>
        <w:rPr>
          <w:rFonts w:eastAsiaTheme="minorEastAsia"/>
          <w:sz w:val="20"/>
        </w:rPr>
      </w:pPr>
      <w:r w:rsidRPr="004A7E74">
        <w:rPr>
          <w:rFonts w:eastAsia="Times New Roman"/>
          <w:b/>
          <w:bCs/>
          <w:sz w:val="20"/>
        </w:rPr>
        <w:t>Table S1</w:t>
      </w:r>
      <w:r w:rsidR="00165FC6">
        <w:rPr>
          <w:rFonts w:eastAsiaTheme="minorEastAsia" w:hint="eastAsia"/>
          <w:sz w:val="20"/>
        </w:rPr>
        <w:t>.</w:t>
      </w:r>
      <w:r>
        <w:rPr>
          <w:rFonts w:eastAsia="Times New Roman"/>
          <w:sz w:val="20"/>
        </w:rPr>
        <w:t xml:space="preserve"> Data sources and empirical indicators used for CRM calibration.</w:t>
      </w:r>
    </w:p>
    <w:tbl>
      <w:tblPr>
        <w:tblW w:w="5000" w:type="pct"/>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159"/>
        <w:gridCol w:w="840"/>
        <w:gridCol w:w="466"/>
        <w:gridCol w:w="1133"/>
        <w:gridCol w:w="1707"/>
        <w:gridCol w:w="919"/>
        <w:gridCol w:w="1198"/>
        <w:gridCol w:w="874"/>
      </w:tblGrid>
      <w:tr w:rsidR="005B2E53" w14:paraId="58FE7C58" w14:textId="77777777" w:rsidTr="005B2E53">
        <w:trPr>
          <w:tblHeader/>
          <w:jc w:val="center"/>
        </w:trPr>
        <w:tc>
          <w:tcPr>
            <w:tcW w:w="699" w:type="pct"/>
            <w:shd w:val="clear" w:color="auto" w:fill="BFBFBF"/>
            <w:tcMar>
              <w:top w:w="50" w:type="dxa"/>
              <w:left w:w="55" w:type="dxa"/>
              <w:bottom w:w="50" w:type="dxa"/>
              <w:right w:w="55" w:type="dxa"/>
            </w:tcMar>
            <w:vAlign w:val="center"/>
          </w:tcPr>
          <w:p w14:paraId="6D662EC0" w14:textId="77777777" w:rsidR="005B2E53" w:rsidRDefault="005B2E53" w:rsidP="005B2E53">
            <w:pPr>
              <w:adjustRightInd w:val="0"/>
              <w:spacing w:line="240" w:lineRule="auto"/>
              <w:ind w:firstLineChars="0" w:firstLine="0"/>
              <w:jc w:val="center"/>
            </w:pPr>
            <w:r>
              <w:rPr>
                <w:rFonts w:eastAsia="Times New Roman"/>
                <w:b/>
                <w:sz w:val="16"/>
              </w:rPr>
              <w:t>CRM attribute</w:t>
            </w:r>
          </w:p>
        </w:tc>
        <w:tc>
          <w:tcPr>
            <w:tcW w:w="506" w:type="pct"/>
            <w:shd w:val="clear" w:color="auto" w:fill="BFBFBF"/>
            <w:tcMar>
              <w:top w:w="50" w:type="dxa"/>
              <w:left w:w="55" w:type="dxa"/>
              <w:bottom w:w="50" w:type="dxa"/>
              <w:right w:w="55" w:type="dxa"/>
            </w:tcMar>
            <w:vAlign w:val="center"/>
          </w:tcPr>
          <w:p w14:paraId="041C73DD" w14:textId="77777777" w:rsidR="005B2E53" w:rsidRDefault="005B2E53" w:rsidP="005B2E53">
            <w:pPr>
              <w:adjustRightInd w:val="0"/>
              <w:spacing w:line="240" w:lineRule="auto"/>
              <w:ind w:firstLineChars="0" w:firstLine="0"/>
              <w:jc w:val="center"/>
            </w:pPr>
            <w:r>
              <w:rPr>
                <w:rFonts w:eastAsia="Times New Roman"/>
                <w:b/>
                <w:sz w:val="16"/>
              </w:rPr>
              <w:t>Parameter</w:t>
            </w:r>
          </w:p>
        </w:tc>
        <w:tc>
          <w:tcPr>
            <w:tcW w:w="281" w:type="pct"/>
            <w:shd w:val="clear" w:color="auto" w:fill="BFBFBF"/>
            <w:tcMar>
              <w:top w:w="50" w:type="dxa"/>
              <w:left w:w="55" w:type="dxa"/>
              <w:bottom w:w="50" w:type="dxa"/>
              <w:right w:w="55" w:type="dxa"/>
            </w:tcMar>
            <w:vAlign w:val="center"/>
          </w:tcPr>
          <w:p w14:paraId="52959F5B" w14:textId="77777777" w:rsidR="005B2E53" w:rsidRDefault="005B2E53" w:rsidP="005B2E53">
            <w:pPr>
              <w:adjustRightInd w:val="0"/>
              <w:spacing w:line="240" w:lineRule="auto"/>
              <w:ind w:firstLineChars="0" w:firstLine="0"/>
              <w:jc w:val="center"/>
            </w:pPr>
            <w:r>
              <w:rPr>
                <w:rFonts w:eastAsia="Times New Roman"/>
                <w:b/>
                <w:sz w:val="16"/>
              </w:rPr>
              <w:t>Code</w:t>
            </w:r>
          </w:p>
        </w:tc>
        <w:tc>
          <w:tcPr>
            <w:tcW w:w="683" w:type="pct"/>
            <w:shd w:val="clear" w:color="auto" w:fill="BFBFBF"/>
            <w:tcMar>
              <w:top w:w="50" w:type="dxa"/>
              <w:left w:w="55" w:type="dxa"/>
              <w:bottom w:w="50" w:type="dxa"/>
              <w:right w:w="55" w:type="dxa"/>
            </w:tcMar>
            <w:vAlign w:val="center"/>
          </w:tcPr>
          <w:p w14:paraId="510F3721" w14:textId="77777777" w:rsidR="005B2E53" w:rsidRDefault="005B2E53" w:rsidP="005B2E53">
            <w:pPr>
              <w:adjustRightInd w:val="0"/>
              <w:spacing w:line="240" w:lineRule="auto"/>
              <w:ind w:firstLineChars="0" w:firstLine="0"/>
              <w:jc w:val="center"/>
            </w:pPr>
            <w:r>
              <w:rPr>
                <w:rFonts w:eastAsia="Times New Roman"/>
                <w:b/>
                <w:sz w:val="16"/>
              </w:rPr>
              <w:t>Factor name</w:t>
            </w:r>
          </w:p>
        </w:tc>
        <w:tc>
          <w:tcPr>
            <w:tcW w:w="1029" w:type="pct"/>
            <w:shd w:val="clear" w:color="auto" w:fill="BFBFBF"/>
            <w:tcMar>
              <w:top w:w="50" w:type="dxa"/>
              <w:left w:w="55" w:type="dxa"/>
              <w:bottom w:w="50" w:type="dxa"/>
              <w:right w:w="55" w:type="dxa"/>
            </w:tcMar>
            <w:vAlign w:val="center"/>
          </w:tcPr>
          <w:p w14:paraId="4FC2DB5B" w14:textId="77777777" w:rsidR="005B2E53" w:rsidRDefault="005B2E53" w:rsidP="005B2E53">
            <w:pPr>
              <w:adjustRightInd w:val="0"/>
              <w:spacing w:line="240" w:lineRule="auto"/>
              <w:ind w:firstLineChars="0" w:firstLine="0"/>
              <w:jc w:val="center"/>
            </w:pPr>
            <w:r>
              <w:rPr>
                <w:rFonts w:eastAsia="Times New Roman"/>
                <w:b/>
                <w:sz w:val="16"/>
              </w:rPr>
              <w:t>Description (direction to parameter)</w:t>
            </w:r>
          </w:p>
        </w:tc>
        <w:tc>
          <w:tcPr>
            <w:tcW w:w="554" w:type="pct"/>
            <w:shd w:val="clear" w:color="auto" w:fill="BFBFBF"/>
            <w:tcMar>
              <w:top w:w="50" w:type="dxa"/>
              <w:left w:w="55" w:type="dxa"/>
              <w:bottom w:w="50" w:type="dxa"/>
              <w:right w:w="55" w:type="dxa"/>
            </w:tcMar>
            <w:vAlign w:val="center"/>
          </w:tcPr>
          <w:p w14:paraId="01662142" w14:textId="77777777" w:rsidR="005B2E53" w:rsidRDefault="005B2E53" w:rsidP="005B2E53">
            <w:pPr>
              <w:adjustRightInd w:val="0"/>
              <w:spacing w:line="240" w:lineRule="auto"/>
              <w:ind w:firstLineChars="0" w:firstLine="0"/>
              <w:jc w:val="center"/>
            </w:pPr>
            <w:r>
              <w:rPr>
                <w:rFonts w:eastAsia="Times New Roman"/>
                <w:b/>
                <w:sz w:val="16"/>
              </w:rPr>
              <w:t>Unit</w:t>
            </w:r>
          </w:p>
        </w:tc>
        <w:tc>
          <w:tcPr>
            <w:tcW w:w="722" w:type="pct"/>
            <w:shd w:val="clear" w:color="auto" w:fill="BFBFBF"/>
            <w:tcMar>
              <w:top w:w="50" w:type="dxa"/>
              <w:left w:w="55" w:type="dxa"/>
              <w:bottom w:w="50" w:type="dxa"/>
              <w:right w:w="55" w:type="dxa"/>
            </w:tcMar>
            <w:vAlign w:val="center"/>
          </w:tcPr>
          <w:p w14:paraId="4616835E" w14:textId="77777777" w:rsidR="005B2E53" w:rsidRDefault="005B2E53" w:rsidP="005B2E53">
            <w:pPr>
              <w:adjustRightInd w:val="0"/>
              <w:spacing w:line="240" w:lineRule="auto"/>
              <w:ind w:firstLineChars="0" w:firstLine="0"/>
              <w:jc w:val="center"/>
            </w:pPr>
            <w:r>
              <w:rPr>
                <w:rFonts w:eastAsia="Times New Roman"/>
                <w:b/>
                <w:sz w:val="16"/>
              </w:rPr>
              <w:t>Source / access information</w:t>
            </w:r>
          </w:p>
        </w:tc>
        <w:tc>
          <w:tcPr>
            <w:tcW w:w="527" w:type="pct"/>
            <w:shd w:val="clear" w:color="auto" w:fill="BFBFBF"/>
            <w:vAlign w:val="center"/>
          </w:tcPr>
          <w:p w14:paraId="68BA954C" w14:textId="77777777" w:rsidR="005B2E53" w:rsidRDefault="005B2E53" w:rsidP="005B2E53">
            <w:pPr>
              <w:adjustRightInd w:val="0"/>
              <w:spacing w:line="240" w:lineRule="auto"/>
              <w:ind w:firstLineChars="0" w:firstLine="0"/>
              <w:jc w:val="center"/>
              <w:rPr>
                <w:rFonts w:eastAsia="Times New Roman"/>
                <w:b/>
                <w:sz w:val="16"/>
              </w:rPr>
            </w:pPr>
            <w:r w:rsidRPr="005B2E53">
              <w:rPr>
                <w:rFonts w:eastAsia="Times New Roman"/>
                <w:b/>
                <w:sz w:val="16"/>
              </w:rPr>
              <w:t>Objective weight</w:t>
            </w:r>
          </w:p>
        </w:tc>
      </w:tr>
      <w:tr w:rsidR="00C16AA8" w14:paraId="0E2B6C85" w14:textId="77777777" w:rsidTr="005B2E53">
        <w:trPr>
          <w:jc w:val="center"/>
        </w:trPr>
        <w:tc>
          <w:tcPr>
            <w:tcW w:w="699" w:type="pct"/>
            <w:tcMar>
              <w:top w:w="50" w:type="dxa"/>
              <w:left w:w="55" w:type="dxa"/>
              <w:bottom w:w="50" w:type="dxa"/>
              <w:right w:w="55" w:type="dxa"/>
            </w:tcMar>
            <w:vAlign w:val="center"/>
          </w:tcPr>
          <w:p w14:paraId="35F51FD9" w14:textId="77777777" w:rsidR="00C16AA8" w:rsidRDefault="00C16AA8" w:rsidP="00C16AA8">
            <w:pPr>
              <w:adjustRightInd w:val="0"/>
              <w:spacing w:line="240" w:lineRule="auto"/>
              <w:ind w:firstLineChars="0" w:firstLine="0"/>
              <w:jc w:val="center"/>
            </w:pPr>
            <w:r>
              <w:rPr>
                <w:rFonts w:eastAsia="Times New Roman"/>
                <w:sz w:val="16"/>
              </w:rPr>
              <w:t>Robustness</w:t>
            </w:r>
          </w:p>
        </w:tc>
        <w:tc>
          <w:tcPr>
            <w:tcW w:w="506" w:type="pct"/>
            <w:tcMar>
              <w:top w:w="50" w:type="dxa"/>
              <w:left w:w="55" w:type="dxa"/>
              <w:bottom w:w="50" w:type="dxa"/>
              <w:right w:w="55" w:type="dxa"/>
            </w:tcMar>
            <w:vAlign w:val="center"/>
          </w:tcPr>
          <w:p w14:paraId="17D3A68B" w14:textId="77777777" w:rsidR="00C16AA8" w:rsidRDefault="00C16AA8" w:rsidP="00C16AA8">
            <w:pPr>
              <w:adjustRightInd w:val="0"/>
              <w:spacing w:line="240" w:lineRule="auto"/>
              <w:ind w:firstLineChars="0" w:firstLine="0"/>
              <w:jc w:val="center"/>
            </w:pPr>
            <w:r>
              <w:rPr>
                <w:rFonts w:eastAsia="Times New Roman"/>
                <w:sz w:val="16"/>
              </w:rPr>
              <w:t>a</w:t>
            </w:r>
          </w:p>
        </w:tc>
        <w:tc>
          <w:tcPr>
            <w:tcW w:w="281" w:type="pct"/>
            <w:tcMar>
              <w:top w:w="50" w:type="dxa"/>
              <w:left w:w="55" w:type="dxa"/>
              <w:bottom w:w="50" w:type="dxa"/>
              <w:right w:w="55" w:type="dxa"/>
            </w:tcMar>
            <w:vAlign w:val="center"/>
          </w:tcPr>
          <w:p w14:paraId="2DA8ECC0" w14:textId="77777777" w:rsidR="00C16AA8" w:rsidRDefault="00C16AA8" w:rsidP="00C16AA8">
            <w:pPr>
              <w:adjustRightInd w:val="0"/>
              <w:spacing w:line="240" w:lineRule="auto"/>
              <w:ind w:firstLineChars="0" w:firstLine="0"/>
              <w:jc w:val="center"/>
            </w:pPr>
            <w:r>
              <w:rPr>
                <w:rFonts w:eastAsia="Times New Roman"/>
                <w:sz w:val="16"/>
              </w:rPr>
              <w:t>A1</w:t>
            </w:r>
          </w:p>
        </w:tc>
        <w:tc>
          <w:tcPr>
            <w:tcW w:w="683" w:type="pct"/>
            <w:tcMar>
              <w:top w:w="50" w:type="dxa"/>
              <w:left w:w="55" w:type="dxa"/>
              <w:bottom w:w="50" w:type="dxa"/>
              <w:right w:w="55" w:type="dxa"/>
            </w:tcMar>
            <w:vAlign w:val="center"/>
          </w:tcPr>
          <w:p w14:paraId="448F5BD0" w14:textId="77777777" w:rsidR="00C16AA8" w:rsidRDefault="00C16AA8" w:rsidP="00C16AA8">
            <w:pPr>
              <w:adjustRightInd w:val="0"/>
              <w:spacing w:line="240" w:lineRule="auto"/>
              <w:ind w:firstLineChars="0" w:firstLine="0"/>
              <w:jc w:val="center"/>
            </w:pPr>
            <w:r w:rsidRPr="0047584A">
              <w:rPr>
                <w:rFonts w:eastAsia="Times New Roman"/>
                <w:sz w:val="16"/>
              </w:rPr>
              <w:t>Extreme-rainfall shock exposure</w:t>
            </w:r>
            <w:r>
              <w:rPr>
                <w:rFonts w:eastAsia="Times New Roman"/>
                <w:sz w:val="16"/>
              </w:rPr>
              <w:t xml:space="preserve"> (</w:t>
            </w:r>
            <w:proofErr w:type="spellStart"/>
            <w:r w:rsidRPr="00C16AA8">
              <w:rPr>
                <w:rFonts w:eastAsia="Times New Roman"/>
                <w:i/>
                <w:iCs/>
                <w:sz w:val="16"/>
              </w:rPr>
              <w:t>Prep_shock</w:t>
            </w:r>
            <w:proofErr w:type="spellEnd"/>
            <w:r>
              <w:rPr>
                <w:rFonts w:eastAsia="Times New Roman"/>
                <w:sz w:val="16"/>
              </w:rPr>
              <w:t>)</w:t>
            </w:r>
          </w:p>
        </w:tc>
        <w:tc>
          <w:tcPr>
            <w:tcW w:w="1029" w:type="pct"/>
            <w:tcMar>
              <w:top w:w="50" w:type="dxa"/>
              <w:left w:w="55" w:type="dxa"/>
              <w:bottom w:w="50" w:type="dxa"/>
              <w:right w:w="55" w:type="dxa"/>
            </w:tcMar>
            <w:vAlign w:val="center"/>
          </w:tcPr>
          <w:p w14:paraId="4AC22124" w14:textId="77777777" w:rsidR="00C16AA8" w:rsidRDefault="00C16AA8" w:rsidP="00C16AA8">
            <w:pPr>
              <w:adjustRightInd w:val="0"/>
              <w:spacing w:line="240" w:lineRule="auto"/>
              <w:ind w:firstLineChars="0" w:firstLine="0"/>
              <w:jc w:val="center"/>
            </w:pPr>
            <w:r w:rsidRPr="0047584A">
              <w:rPr>
                <w:rFonts w:eastAsia="Times New Roman"/>
                <w:sz w:val="16"/>
              </w:rPr>
              <w:t>Exposure-weighted relative exceedance of return-period rainfall intensity over local defense capacity</w:t>
            </w:r>
            <w:r>
              <w:rPr>
                <w:rFonts w:eastAsia="Times New Roman"/>
                <w:sz w:val="16"/>
              </w:rPr>
              <w:t xml:space="preserve"> (+)</w:t>
            </w:r>
          </w:p>
        </w:tc>
        <w:tc>
          <w:tcPr>
            <w:tcW w:w="554" w:type="pct"/>
            <w:tcMar>
              <w:top w:w="50" w:type="dxa"/>
              <w:left w:w="55" w:type="dxa"/>
              <w:bottom w:w="50" w:type="dxa"/>
              <w:right w:w="55" w:type="dxa"/>
            </w:tcMar>
            <w:vAlign w:val="center"/>
          </w:tcPr>
          <w:p w14:paraId="147E2F1B" w14:textId="77777777" w:rsidR="00C16AA8" w:rsidRDefault="00C16AA8" w:rsidP="00C16AA8">
            <w:pPr>
              <w:adjustRightInd w:val="0"/>
              <w:spacing w:line="240" w:lineRule="auto"/>
              <w:ind w:firstLineChars="0" w:firstLine="0"/>
              <w:jc w:val="center"/>
            </w:pPr>
            <w:r>
              <w:rPr>
                <w:rFonts w:eastAsia="Times New Roman"/>
                <w:sz w:val="16"/>
              </w:rPr>
              <w:t>–</w:t>
            </w:r>
          </w:p>
        </w:tc>
        <w:tc>
          <w:tcPr>
            <w:tcW w:w="722" w:type="pct"/>
            <w:tcMar>
              <w:top w:w="50" w:type="dxa"/>
              <w:left w:w="55" w:type="dxa"/>
              <w:bottom w:w="50" w:type="dxa"/>
              <w:right w:w="55" w:type="dxa"/>
            </w:tcMar>
            <w:vAlign w:val="center"/>
          </w:tcPr>
          <w:p w14:paraId="47E1EE28" w14:textId="77777777" w:rsidR="00C16AA8" w:rsidRDefault="00C16AA8" w:rsidP="00C16AA8">
            <w:pPr>
              <w:adjustRightInd w:val="0"/>
              <w:spacing w:line="240" w:lineRule="auto"/>
              <w:ind w:firstLineChars="0" w:firstLine="0"/>
              <w:jc w:val="center"/>
            </w:pPr>
            <w:r>
              <w:rPr>
                <w:rFonts w:eastAsia="Times New Roman"/>
                <w:sz w:val="16"/>
              </w:rPr>
              <w:fldChar w:fldCharType="begin"/>
            </w:r>
            <w:r>
              <w:rPr>
                <w:rFonts w:eastAsia="Times New Roman"/>
                <w:sz w:val="16"/>
              </w:rPr>
              <w:instrText xml:space="preserve"> ADDIN ZOTERO_ITEM CSL_CITATION {"citationID":"OpisGRzQ","properties":{"unsorted":false,"formattedCitation":"(Han et al., 2023)","plainCitation":"(Han et al., 2023)","noteIndex":0},"citationItems":[{"id":90,"uris":["http://zotero.org/users/10401942/items/8BZD8E56"],"itemData":{"id":90,"type":"article-journal","abstract":"High-quality, freely accessible, long-term precipitation estimates with fine spatiotemporal resolution play essential roles in hydrologic, climatic, and numerical modeling applications. However, the existing daily gridded precipitation datasets over China are either constructed with insufficient gauge observations or neglect topographic effects and boundary effects on interpolation. Using daily observations from 2839 gauges located across China and nearby regions from 1961 to the present, this study compared eight different interpolation schemes that adjusted the climatology based on a monthly precipitation constraint and topographic characteristic correction, using an algorithm that combined the daily climatology field with a precipitation ratio field. Results from these eight interpolation schemes were validated using 45 992 high-density daily gauge observations from 2015 to 2019 across China. Of these eight schemes, the one with the best performance merges the Parameter-elevation Regression on Independent Slopes Model (PRISM) in the daily climatology field and interpolates station observations into the ratio field using an inverse-distance weighting method. This scheme had median values of 0.78 for the correlation coefficient, 8.8 mm d−1 for the root-mean-square deviation, and 0.69 for the Kling–Gupta efficiency for comparisons between the 45 992 high-density gauge observations and the best interpolation scheme for the 0.1</w:instrText>
            </w:r>
            <w:r>
              <w:rPr>
                <w:rFonts w:ascii="Cambria Math" w:eastAsia="Times New Roman" w:hAnsi="Cambria Math" w:cs="Cambria Math"/>
                <w:sz w:val="16"/>
              </w:rPr>
              <w:instrText>∘</w:instrText>
            </w:r>
            <w:r>
              <w:rPr>
                <w:rFonts w:eastAsia="Times New Roman"/>
                <w:sz w:val="16"/>
              </w:rPr>
              <w:instrText xml:space="preserve"> latitude × longitude grid cells from 2015 to 2019. This scheme had the best overall performance, as it fully considers topographic effects in the daily climatology field and it balances local data fidelity and global fitting smoothness in the interpolation of the precipitation ratio field. Therefore, this scheme was used to construct a new long-term, gauge-based gridded precipitation dataset for the Chinese mainland (called CHM_PRE, as a member of the China Hydro-Meteorology dataset) with spatial resolutions of 0.5, 0.25, and 0.1</w:instrText>
            </w:r>
            <w:r>
              <w:rPr>
                <w:rFonts w:ascii="Cambria Math" w:eastAsia="Times New Roman" w:hAnsi="Cambria Math" w:cs="Cambria Math"/>
                <w:sz w:val="16"/>
              </w:rPr>
              <w:instrText>∘</w:instrText>
            </w:r>
            <w:r>
              <w:rPr>
                <w:rFonts w:eastAsia="Times New Roman"/>
                <w:sz w:val="16"/>
              </w:rPr>
              <w:instrText xml:space="preserve"> from 1961 to the present. This precipitation dataset is expected to facilitate the advancement of drought monitoring, flood forecasting, and hydrological modeling. Free access to the dataset can be found at https://doi.org/10.6084/m9.figshare.21432123.v4 (Han and Miao, 2022).","container-title":"Earth System Science Data","DOI":"10.5194/essd-15-3147-2023","ISSN":"1866-3508","issue":"7","language":"en","page":"3147-3161","publisher":"Copernicus GmbH","source":"Copernicus Online Journals","title":"A new daily gridded precipitation dataset for the Chinese mainland based on gauge observations","volume":"15","author":[{"family":"Han","given":"Jingya"},{"family":"Miao","given":"Chiyuan"},{"family":"Gou","given":"Jiaojiao"},{"family":"Zheng","given":"Haiyan"},{"family":"Zhang","given":"Qi"},{"family":"Guo","given":"Xiaoying"}],"issued":{"date-parts":[["2023",7,25]]}}}],"schema":"https://github.com/citation-style-language/schema/raw/master/csl-citation.json"} </w:instrText>
            </w:r>
            <w:r>
              <w:rPr>
                <w:rFonts w:eastAsia="Times New Roman"/>
                <w:sz w:val="16"/>
              </w:rPr>
              <w:fldChar w:fldCharType="separate"/>
            </w:r>
            <w:r w:rsidRPr="00FD2B0C">
              <w:rPr>
                <w:rFonts w:cs="Times New Roman"/>
                <w:sz w:val="16"/>
              </w:rPr>
              <w:t>(Han et al., 2023)</w:t>
            </w:r>
            <w:r>
              <w:rPr>
                <w:rFonts w:eastAsia="Times New Roman"/>
                <w:sz w:val="16"/>
              </w:rPr>
              <w:fldChar w:fldCharType="end"/>
            </w:r>
            <w:r>
              <w:rPr>
                <w:rFonts w:eastAsia="Times New Roman"/>
                <w:sz w:val="16"/>
              </w:rPr>
              <w:t>; POI exposure dataset used in this study</w:t>
            </w:r>
          </w:p>
        </w:tc>
        <w:tc>
          <w:tcPr>
            <w:tcW w:w="527" w:type="pct"/>
            <w:vAlign w:val="center"/>
          </w:tcPr>
          <w:p w14:paraId="417A5C15" w14:textId="26312D2E" w:rsidR="00C16AA8" w:rsidRPr="00C16AA8" w:rsidRDefault="00C16AA8" w:rsidP="00C16AA8">
            <w:pPr>
              <w:adjustRightInd w:val="0"/>
              <w:spacing w:line="240" w:lineRule="auto"/>
              <w:ind w:firstLineChars="0" w:firstLine="0"/>
              <w:jc w:val="center"/>
              <w:rPr>
                <w:rFonts w:eastAsia="Times New Roman"/>
                <w:sz w:val="16"/>
              </w:rPr>
            </w:pPr>
            <w:r w:rsidRPr="00C16AA8">
              <w:rPr>
                <w:rFonts w:eastAsia="Times New Roman" w:hint="eastAsia"/>
                <w:sz w:val="16"/>
              </w:rPr>
              <w:t>0.7295</w:t>
            </w:r>
          </w:p>
        </w:tc>
      </w:tr>
      <w:tr w:rsidR="00C16AA8" w14:paraId="513B647F" w14:textId="77777777" w:rsidTr="005B2E53">
        <w:trPr>
          <w:jc w:val="center"/>
        </w:trPr>
        <w:tc>
          <w:tcPr>
            <w:tcW w:w="699" w:type="pct"/>
            <w:tcMar>
              <w:top w:w="50" w:type="dxa"/>
              <w:left w:w="55" w:type="dxa"/>
              <w:bottom w:w="50" w:type="dxa"/>
              <w:right w:w="55" w:type="dxa"/>
            </w:tcMar>
            <w:vAlign w:val="center"/>
          </w:tcPr>
          <w:p w14:paraId="32EEEA75" w14:textId="77777777" w:rsidR="00C16AA8" w:rsidRDefault="00C16AA8" w:rsidP="00C16AA8">
            <w:pPr>
              <w:adjustRightInd w:val="0"/>
              <w:spacing w:line="240" w:lineRule="auto"/>
              <w:ind w:firstLineChars="0" w:firstLine="0"/>
              <w:jc w:val="center"/>
            </w:pPr>
            <w:r>
              <w:rPr>
                <w:rFonts w:eastAsia="Times New Roman"/>
                <w:sz w:val="16"/>
              </w:rPr>
              <w:t>Robustness</w:t>
            </w:r>
          </w:p>
        </w:tc>
        <w:tc>
          <w:tcPr>
            <w:tcW w:w="506" w:type="pct"/>
            <w:tcMar>
              <w:top w:w="50" w:type="dxa"/>
              <w:left w:w="55" w:type="dxa"/>
              <w:bottom w:w="50" w:type="dxa"/>
              <w:right w:w="55" w:type="dxa"/>
            </w:tcMar>
            <w:vAlign w:val="center"/>
          </w:tcPr>
          <w:p w14:paraId="12A55091" w14:textId="77777777" w:rsidR="00C16AA8" w:rsidRDefault="00C16AA8" w:rsidP="00C16AA8">
            <w:pPr>
              <w:adjustRightInd w:val="0"/>
              <w:spacing w:line="240" w:lineRule="auto"/>
              <w:ind w:firstLineChars="0" w:firstLine="0"/>
              <w:jc w:val="center"/>
            </w:pPr>
            <w:r>
              <w:rPr>
                <w:rFonts w:eastAsia="Times New Roman"/>
                <w:sz w:val="16"/>
              </w:rPr>
              <w:t>a</w:t>
            </w:r>
          </w:p>
        </w:tc>
        <w:tc>
          <w:tcPr>
            <w:tcW w:w="281" w:type="pct"/>
            <w:tcMar>
              <w:top w:w="50" w:type="dxa"/>
              <w:left w:w="55" w:type="dxa"/>
              <w:bottom w:w="50" w:type="dxa"/>
              <w:right w:w="55" w:type="dxa"/>
            </w:tcMar>
            <w:vAlign w:val="center"/>
          </w:tcPr>
          <w:p w14:paraId="6B1077C8" w14:textId="77777777" w:rsidR="00C16AA8" w:rsidRDefault="00C16AA8" w:rsidP="00C16AA8">
            <w:pPr>
              <w:adjustRightInd w:val="0"/>
              <w:spacing w:line="240" w:lineRule="auto"/>
              <w:ind w:firstLineChars="0" w:firstLine="0"/>
              <w:jc w:val="center"/>
            </w:pPr>
            <w:r>
              <w:rPr>
                <w:rFonts w:eastAsia="Times New Roman"/>
                <w:sz w:val="16"/>
              </w:rPr>
              <w:t>A2</w:t>
            </w:r>
          </w:p>
        </w:tc>
        <w:tc>
          <w:tcPr>
            <w:tcW w:w="683" w:type="pct"/>
            <w:tcMar>
              <w:top w:w="50" w:type="dxa"/>
              <w:left w:w="55" w:type="dxa"/>
              <w:bottom w:w="50" w:type="dxa"/>
              <w:right w:w="55" w:type="dxa"/>
            </w:tcMar>
            <w:vAlign w:val="center"/>
          </w:tcPr>
          <w:p w14:paraId="71D01AD4" w14:textId="77777777" w:rsidR="00C16AA8" w:rsidRDefault="00C16AA8" w:rsidP="00C16AA8">
            <w:pPr>
              <w:adjustRightInd w:val="0"/>
              <w:spacing w:line="240" w:lineRule="auto"/>
              <w:ind w:firstLineChars="0" w:firstLine="0"/>
              <w:jc w:val="center"/>
            </w:pPr>
            <w:r>
              <w:rPr>
                <w:rFonts w:eastAsia="Times New Roman"/>
                <w:sz w:val="16"/>
              </w:rPr>
              <w:t>Drainage network density</w:t>
            </w:r>
          </w:p>
        </w:tc>
        <w:tc>
          <w:tcPr>
            <w:tcW w:w="1029" w:type="pct"/>
            <w:tcMar>
              <w:top w:w="50" w:type="dxa"/>
              <w:left w:w="55" w:type="dxa"/>
              <w:bottom w:w="50" w:type="dxa"/>
              <w:right w:w="55" w:type="dxa"/>
            </w:tcMar>
            <w:vAlign w:val="center"/>
          </w:tcPr>
          <w:p w14:paraId="57A23BDD" w14:textId="77777777" w:rsidR="00C16AA8" w:rsidRDefault="00C16AA8" w:rsidP="00C16AA8">
            <w:pPr>
              <w:adjustRightInd w:val="0"/>
              <w:spacing w:line="240" w:lineRule="auto"/>
              <w:ind w:firstLineChars="0" w:firstLine="0"/>
              <w:jc w:val="center"/>
            </w:pPr>
            <w:r>
              <w:rPr>
                <w:rFonts w:eastAsia="Times New Roman"/>
                <w:sz w:val="16"/>
              </w:rPr>
              <w:t>Length of urban drainage pipelines per unit built-up area (-)</w:t>
            </w:r>
          </w:p>
        </w:tc>
        <w:tc>
          <w:tcPr>
            <w:tcW w:w="554" w:type="pct"/>
            <w:tcMar>
              <w:top w:w="50" w:type="dxa"/>
              <w:left w:w="55" w:type="dxa"/>
              <w:bottom w:w="50" w:type="dxa"/>
              <w:right w:w="55" w:type="dxa"/>
            </w:tcMar>
            <w:vAlign w:val="center"/>
          </w:tcPr>
          <w:p w14:paraId="05DF6914" w14:textId="77777777" w:rsidR="00C16AA8" w:rsidRDefault="00C16AA8" w:rsidP="00C16AA8">
            <w:pPr>
              <w:adjustRightInd w:val="0"/>
              <w:spacing w:line="240" w:lineRule="auto"/>
              <w:ind w:firstLineChars="0" w:firstLine="0"/>
              <w:jc w:val="center"/>
            </w:pPr>
            <w:r>
              <w:rPr>
                <w:rFonts w:eastAsia="Times New Roman"/>
                <w:sz w:val="16"/>
              </w:rPr>
              <w:t>km/km²</w:t>
            </w:r>
          </w:p>
        </w:tc>
        <w:tc>
          <w:tcPr>
            <w:tcW w:w="722" w:type="pct"/>
            <w:tcMar>
              <w:top w:w="50" w:type="dxa"/>
              <w:left w:w="55" w:type="dxa"/>
              <w:bottom w:w="50" w:type="dxa"/>
              <w:right w:w="55" w:type="dxa"/>
            </w:tcMar>
            <w:vAlign w:val="center"/>
          </w:tcPr>
          <w:p w14:paraId="66CEC4EF" w14:textId="77777777" w:rsidR="00C16AA8" w:rsidRDefault="00C16AA8" w:rsidP="00C16AA8">
            <w:pPr>
              <w:adjustRightInd w:val="0"/>
              <w:spacing w:line="240" w:lineRule="auto"/>
              <w:ind w:firstLineChars="0" w:firstLine="0"/>
              <w:jc w:val="center"/>
            </w:pPr>
            <w:r>
              <w:rPr>
                <w:rFonts w:eastAsia="Times New Roman"/>
                <w:sz w:val="16"/>
              </w:rPr>
              <w:t>China Urban Construction Statistical Yearbook</w:t>
            </w:r>
          </w:p>
        </w:tc>
        <w:tc>
          <w:tcPr>
            <w:tcW w:w="527" w:type="pct"/>
            <w:vAlign w:val="center"/>
          </w:tcPr>
          <w:p w14:paraId="2565E628" w14:textId="39101F2B" w:rsidR="00C16AA8" w:rsidRDefault="00C16AA8" w:rsidP="00C16AA8">
            <w:pPr>
              <w:adjustRightInd w:val="0"/>
              <w:spacing w:line="240" w:lineRule="auto"/>
              <w:ind w:firstLineChars="0" w:firstLine="0"/>
              <w:jc w:val="center"/>
              <w:rPr>
                <w:rFonts w:eastAsia="Times New Roman"/>
                <w:sz w:val="16"/>
              </w:rPr>
            </w:pPr>
            <w:r w:rsidRPr="00C16AA8">
              <w:rPr>
                <w:rFonts w:eastAsia="Times New Roman" w:hint="eastAsia"/>
                <w:sz w:val="16"/>
              </w:rPr>
              <w:t>0.1347</w:t>
            </w:r>
          </w:p>
        </w:tc>
      </w:tr>
      <w:tr w:rsidR="00C16AA8" w14:paraId="392C0429" w14:textId="77777777" w:rsidTr="005B2E53">
        <w:trPr>
          <w:jc w:val="center"/>
        </w:trPr>
        <w:tc>
          <w:tcPr>
            <w:tcW w:w="699" w:type="pct"/>
            <w:tcMar>
              <w:top w:w="50" w:type="dxa"/>
              <w:left w:w="55" w:type="dxa"/>
              <w:bottom w:w="50" w:type="dxa"/>
              <w:right w:w="55" w:type="dxa"/>
            </w:tcMar>
            <w:vAlign w:val="center"/>
          </w:tcPr>
          <w:p w14:paraId="6E8B3F6A" w14:textId="77777777" w:rsidR="00C16AA8" w:rsidRDefault="00C16AA8" w:rsidP="00C16AA8">
            <w:pPr>
              <w:adjustRightInd w:val="0"/>
              <w:spacing w:line="240" w:lineRule="auto"/>
              <w:ind w:firstLineChars="0" w:firstLine="0"/>
              <w:jc w:val="center"/>
            </w:pPr>
            <w:r>
              <w:rPr>
                <w:rFonts w:eastAsia="Times New Roman"/>
                <w:sz w:val="16"/>
              </w:rPr>
              <w:t>Robustness</w:t>
            </w:r>
          </w:p>
        </w:tc>
        <w:tc>
          <w:tcPr>
            <w:tcW w:w="506" w:type="pct"/>
            <w:tcMar>
              <w:top w:w="50" w:type="dxa"/>
              <w:left w:w="55" w:type="dxa"/>
              <w:bottom w:w="50" w:type="dxa"/>
              <w:right w:w="55" w:type="dxa"/>
            </w:tcMar>
            <w:vAlign w:val="center"/>
          </w:tcPr>
          <w:p w14:paraId="6F0CB932" w14:textId="77777777" w:rsidR="00C16AA8" w:rsidRDefault="00C16AA8" w:rsidP="00C16AA8">
            <w:pPr>
              <w:adjustRightInd w:val="0"/>
              <w:spacing w:line="240" w:lineRule="auto"/>
              <w:ind w:firstLineChars="0" w:firstLine="0"/>
              <w:jc w:val="center"/>
            </w:pPr>
            <w:r>
              <w:rPr>
                <w:rFonts w:eastAsia="Times New Roman"/>
                <w:sz w:val="16"/>
              </w:rPr>
              <w:t>a</w:t>
            </w:r>
          </w:p>
        </w:tc>
        <w:tc>
          <w:tcPr>
            <w:tcW w:w="281" w:type="pct"/>
            <w:tcMar>
              <w:top w:w="50" w:type="dxa"/>
              <w:left w:w="55" w:type="dxa"/>
              <w:bottom w:w="50" w:type="dxa"/>
              <w:right w:w="55" w:type="dxa"/>
            </w:tcMar>
            <w:vAlign w:val="center"/>
          </w:tcPr>
          <w:p w14:paraId="56299E63" w14:textId="77777777" w:rsidR="00C16AA8" w:rsidRDefault="00C16AA8" w:rsidP="00C16AA8">
            <w:pPr>
              <w:adjustRightInd w:val="0"/>
              <w:spacing w:line="240" w:lineRule="auto"/>
              <w:ind w:firstLineChars="0" w:firstLine="0"/>
              <w:jc w:val="center"/>
            </w:pPr>
            <w:r>
              <w:rPr>
                <w:rFonts w:eastAsia="Times New Roman"/>
                <w:sz w:val="16"/>
              </w:rPr>
              <w:t>A3</w:t>
            </w:r>
          </w:p>
        </w:tc>
        <w:tc>
          <w:tcPr>
            <w:tcW w:w="683" w:type="pct"/>
            <w:tcMar>
              <w:top w:w="50" w:type="dxa"/>
              <w:left w:w="55" w:type="dxa"/>
              <w:bottom w:w="50" w:type="dxa"/>
              <w:right w:w="55" w:type="dxa"/>
            </w:tcMar>
            <w:vAlign w:val="center"/>
          </w:tcPr>
          <w:p w14:paraId="15AE131C" w14:textId="77777777" w:rsidR="00C16AA8" w:rsidRDefault="00C16AA8" w:rsidP="00C16AA8">
            <w:pPr>
              <w:adjustRightInd w:val="0"/>
              <w:spacing w:line="240" w:lineRule="auto"/>
              <w:ind w:firstLineChars="0" w:firstLine="0"/>
              <w:jc w:val="center"/>
            </w:pPr>
            <w:r>
              <w:rPr>
                <w:rFonts w:eastAsia="Times New Roman"/>
                <w:sz w:val="16"/>
              </w:rPr>
              <w:t>Proportion of cumulative flood-control investment</w:t>
            </w:r>
          </w:p>
        </w:tc>
        <w:tc>
          <w:tcPr>
            <w:tcW w:w="1029" w:type="pct"/>
            <w:tcMar>
              <w:top w:w="50" w:type="dxa"/>
              <w:left w:w="55" w:type="dxa"/>
              <w:bottom w:w="50" w:type="dxa"/>
              <w:right w:w="55" w:type="dxa"/>
            </w:tcMar>
            <w:vAlign w:val="center"/>
          </w:tcPr>
          <w:p w14:paraId="521FD62A" w14:textId="77777777" w:rsidR="00C16AA8" w:rsidRDefault="00C16AA8" w:rsidP="00C16AA8">
            <w:pPr>
              <w:adjustRightInd w:val="0"/>
              <w:spacing w:line="240" w:lineRule="auto"/>
              <w:ind w:firstLineChars="0" w:firstLine="0"/>
              <w:jc w:val="center"/>
            </w:pPr>
            <w:r>
              <w:rPr>
                <w:rFonts w:eastAsia="Times New Roman"/>
                <w:sz w:val="16"/>
              </w:rPr>
              <w:t>Cumulative flood-control investment relative to total municipal infrastructure investment (-)</w:t>
            </w:r>
          </w:p>
        </w:tc>
        <w:tc>
          <w:tcPr>
            <w:tcW w:w="554" w:type="pct"/>
            <w:tcMar>
              <w:top w:w="50" w:type="dxa"/>
              <w:left w:w="55" w:type="dxa"/>
              <w:bottom w:w="50" w:type="dxa"/>
              <w:right w:w="55" w:type="dxa"/>
            </w:tcMar>
            <w:vAlign w:val="center"/>
          </w:tcPr>
          <w:p w14:paraId="2A67DD8E" w14:textId="77777777" w:rsidR="00C16AA8" w:rsidRDefault="00C16AA8" w:rsidP="00C16AA8">
            <w:pPr>
              <w:adjustRightInd w:val="0"/>
              <w:spacing w:line="240" w:lineRule="auto"/>
              <w:ind w:firstLineChars="0" w:firstLine="0"/>
              <w:jc w:val="center"/>
            </w:pPr>
            <w:r>
              <w:rPr>
                <w:rFonts w:eastAsia="Times New Roman"/>
                <w:sz w:val="16"/>
              </w:rPr>
              <w:t>%</w:t>
            </w:r>
          </w:p>
        </w:tc>
        <w:tc>
          <w:tcPr>
            <w:tcW w:w="722" w:type="pct"/>
            <w:tcMar>
              <w:top w:w="50" w:type="dxa"/>
              <w:left w:w="55" w:type="dxa"/>
              <w:bottom w:w="50" w:type="dxa"/>
              <w:right w:w="55" w:type="dxa"/>
            </w:tcMar>
            <w:vAlign w:val="center"/>
          </w:tcPr>
          <w:p w14:paraId="6DAB5152" w14:textId="77777777" w:rsidR="00C16AA8" w:rsidRDefault="00C16AA8" w:rsidP="00C16AA8">
            <w:pPr>
              <w:adjustRightInd w:val="0"/>
              <w:spacing w:line="240" w:lineRule="auto"/>
              <w:ind w:firstLineChars="0" w:firstLine="0"/>
              <w:jc w:val="center"/>
            </w:pPr>
            <w:r>
              <w:rPr>
                <w:rFonts w:eastAsia="Times New Roman"/>
                <w:sz w:val="16"/>
              </w:rPr>
              <w:t>China Water Statistical Yearbook</w:t>
            </w:r>
          </w:p>
        </w:tc>
        <w:tc>
          <w:tcPr>
            <w:tcW w:w="527" w:type="pct"/>
            <w:vAlign w:val="center"/>
          </w:tcPr>
          <w:p w14:paraId="605BB498" w14:textId="23527C1A" w:rsidR="00C16AA8" w:rsidRPr="00C16AA8" w:rsidRDefault="00C16AA8" w:rsidP="00C16AA8">
            <w:pPr>
              <w:adjustRightInd w:val="0"/>
              <w:spacing w:line="240" w:lineRule="auto"/>
              <w:ind w:firstLineChars="0" w:firstLine="0"/>
              <w:jc w:val="center"/>
              <w:rPr>
                <w:rFonts w:eastAsia="Times New Roman"/>
                <w:sz w:val="16"/>
              </w:rPr>
            </w:pPr>
            <w:r w:rsidRPr="00C16AA8">
              <w:rPr>
                <w:rFonts w:eastAsia="Times New Roman" w:hint="eastAsia"/>
                <w:sz w:val="16"/>
              </w:rPr>
              <w:t>0.1359</w:t>
            </w:r>
          </w:p>
        </w:tc>
      </w:tr>
      <w:tr w:rsidR="00C16AA8" w14:paraId="557B892F" w14:textId="77777777" w:rsidTr="005B2E53">
        <w:trPr>
          <w:jc w:val="center"/>
        </w:trPr>
        <w:tc>
          <w:tcPr>
            <w:tcW w:w="699" w:type="pct"/>
            <w:tcMar>
              <w:top w:w="50" w:type="dxa"/>
              <w:left w:w="55" w:type="dxa"/>
              <w:bottom w:w="50" w:type="dxa"/>
              <w:right w:w="55" w:type="dxa"/>
            </w:tcMar>
            <w:vAlign w:val="center"/>
          </w:tcPr>
          <w:p w14:paraId="68A863AC" w14:textId="77777777" w:rsidR="00C16AA8" w:rsidRDefault="00C16AA8" w:rsidP="00C16AA8">
            <w:pPr>
              <w:adjustRightInd w:val="0"/>
              <w:spacing w:line="240" w:lineRule="auto"/>
              <w:ind w:firstLineChars="0" w:firstLine="0"/>
              <w:jc w:val="center"/>
            </w:pPr>
            <w:r>
              <w:rPr>
                <w:rFonts w:eastAsia="Times New Roman"/>
                <w:sz w:val="16"/>
              </w:rPr>
              <w:t>Redundancy</w:t>
            </w:r>
          </w:p>
        </w:tc>
        <w:tc>
          <w:tcPr>
            <w:tcW w:w="506" w:type="pct"/>
            <w:tcMar>
              <w:top w:w="50" w:type="dxa"/>
              <w:left w:w="55" w:type="dxa"/>
              <w:bottom w:w="50" w:type="dxa"/>
              <w:right w:w="55" w:type="dxa"/>
            </w:tcMar>
            <w:vAlign w:val="center"/>
          </w:tcPr>
          <w:p w14:paraId="1F04A1F7" w14:textId="77777777" w:rsidR="00C16AA8" w:rsidRDefault="00C16AA8" w:rsidP="00C16AA8">
            <w:pPr>
              <w:adjustRightInd w:val="0"/>
              <w:spacing w:line="240" w:lineRule="auto"/>
              <w:ind w:firstLineChars="0" w:firstLine="0"/>
              <w:jc w:val="center"/>
            </w:pPr>
            <w:r>
              <w:rPr>
                <w:rFonts w:eastAsia="Times New Roman"/>
                <w:sz w:val="16"/>
              </w:rPr>
              <w:t>b</w:t>
            </w:r>
          </w:p>
        </w:tc>
        <w:tc>
          <w:tcPr>
            <w:tcW w:w="281" w:type="pct"/>
            <w:tcMar>
              <w:top w:w="50" w:type="dxa"/>
              <w:left w:w="55" w:type="dxa"/>
              <w:bottom w:w="50" w:type="dxa"/>
              <w:right w:w="55" w:type="dxa"/>
            </w:tcMar>
            <w:vAlign w:val="center"/>
          </w:tcPr>
          <w:p w14:paraId="0FC64A77" w14:textId="77777777" w:rsidR="00C16AA8" w:rsidRDefault="00C16AA8" w:rsidP="00C16AA8">
            <w:pPr>
              <w:adjustRightInd w:val="0"/>
              <w:spacing w:line="240" w:lineRule="auto"/>
              <w:ind w:firstLineChars="0" w:firstLine="0"/>
              <w:jc w:val="center"/>
            </w:pPr>
            <w:r>
              <w:rPr>
                <w:rFonts w:eastAsia="Times New Roman"/>
                <w:sz w:val="16"/>
              </w:rPr>
              <w:t>B1</w:t>
            </w:r>
          </w:p>
        </w:tc>
        <w:tc>
          <w:tcPr>
            <w:tcW w:w="683" w:type="pct"/>
            <w:tcMar>
              <w:top w:w="50" w:type="dxa"/>
              <w:left w:w="55" w:type="dxa"/>
              <w:bottom w:w="50" w:type="dxa"/>
              <w:right w:w="55" w:type="dxa"/>
            </w:tcMar>
            <w:vAlign w:val="center"/>
          </w:tcPr>
          <w:p w14:paraId="45236084" w14:textId="77777777" w:rsidR="00C16AA8" w:rsidRDefault="00C16AA8" w:rsidP="00C16AA8">
            <w:pPr>
              <w:adjustRightInd w:val="0"/>
              <w:spacing w:line="240" w:lineRule="auto"/>
              <w:ind w:firstLineChars="0" w:firstLine="0"/>
              <w:jc w:val="center"/>
            </w:pPr>
            <w:r>
              <w:rPr>
                <w:rFonts w:eastAsia="Times New Roman"/>
                <w:sz w:val="16"/>
              </w:rPr>
              <w:t>Labor productivity</w:t>
            </w:r>
          </w:p>
        </w:tc>
        <w:tc>
          <w:tcPr>
            <w:tcW w:w="1029" w:type="pct"/>
            <w:tcMar>
              <w:top w:w="50" w:type="dxa"/>
              <w:left w:w="55" w:type="dxa"/>
              <w:bottom w:w="50" w:type="dxa"/>
              <w:right w:w="55" w:type="dxa"/>
            </w:tcMar>
            <w:vAlign w:val="center"/>
          </w:tcPr>
          <w:p w14:paraId="793A8503" w14:textId="77777777" w:rsidR="00C16AA8" w:rsidRDefault="00C16AA8" w:rsidP="00C16AA8">
            <w:pPr>
              <w:adjustRightInd w:val="0"/>
              <w:spacing w:line="240" w:lineRule="auto"/>
              <w:ind w:firstLineChars="0" w:firstLine="0"/>
              <w:jc w:val="center"/>
            </w:pPr>
            <w:r w:rsidRPr="00032477">
              <w:rPr>
                <w:rFonts w:eastAsia="Times New Roman"/>
                <w:sz w:val="16"/>
              </w:rPr>
              <w:t>GDP of municipal districts per employed person</w:t>
            </w:r>
            <w:r>
              <w:rPr>
                <w:rFonts w:eastAsiaTheme="minorEastAsia" w:hint="eastAsia"/>
                <w:sz w:val="16"/>
              </w:rPr>
              <w:t>s</w:t>
            </w:r>
            <w:r>
              <w:rPr>
                <w:rFonts w:eastAsia="Times New Roman"/>
                <w:sz w:val="16"/>
              </w:rPr>
              <w:t xml:space="preserve"> (+)</w:t>
            </w:r>
          </w:p>
        </w:tc>
        <w:tc>
          <w:tcPr>
            <w:tcW w:w="554" w:type="pct"/>
            <w:tcMar>
              <w:top w:w="50" w:type="dxa"/>
              <w:left w:w="55" w:type="dxa"/>
              <w:bottom w:w="50" w:type="dxa"/>
              <w:right w:w="55" w:type="dxa"/>
            </w:tcMar>
            <w:vAlign w:val="center"/>
          </w:tcPr>
          <w:p w14:paraId="550DB4DB" w14:textId="77777777" w:rsidR="00C16AA8" w:rsidRDefault="00C16AA8" w:rsidP="00C16AA8">
            <w:pPr>
              <w:adjustRightInd w:val="0"/>
              <w:spacing w:line="240" w:lineRule="auto"/>
              <w:ind w:firstLineChars="0" w:firstLine="0"/>
              <w:jc w:val="center"/>
            </w:pPr>
            <w:r w:rsidRPr="00032477">
              <w:rPr>
                <w:rFonts w:eastAsia="Times New Roman"/>
                <w:sz w:val="16"/>
              </w:rPr>
              <w:t>CNY/person</w:t>
            </w:r>
          </w:p>
        </w:tc>
        <w:tc>
          <w:tcPr>
            <w:tcW w:w="722" w:type="pct"/>
            <w:tcMar>
              <w:top w:w="50" w:type="dxa"/>
              <w:left w:w="55" w:type="dxa"/>
              <w:bottom w:w="50" w:type="dxa"/>
              <w:right w:w="55" w:type="dxa"/>
            </w:tcMar>
            <w:vAlign w:val="center"/>
          </w:tcPr>
          <w:p w14:paraId="09E01DA3" w14:textId="77777777" w:rsidR="00C16AA8" w:rsidRDefault="00C16AA8" w:rsidP="00C16AA8">
            <w:pPr>
              <w:adjustRightInd w:val="0"/>
              <w:spacing w:line="240" w:lineRule="auto"/>
              <w:ind w:firstLineChars="0" w:firstLine="0"/>
              <w:jc w:val="center"/>
            </w:pPr>
            <w:r>
              <w:rPr>
                <w:rFonts w:eastAsia="Times New Roman"/>
                <w:sz w:val="16"/>
              </w:rPr>
              <w:t>China Urban Statistical Yearbook</w:t>
            </w:r>
          </w:p>
        </w:tc>
        <w:tc>
          <w:tcPr>
            <w:tcW w:w="527" w:type="pct"/>
            <w:vAlign w:val="center"/>
          </w:tcPr>
          <w:p w14:paraId="75DDB527" w14:textId="0F94BB30" w:rsidR="00C16AA8" w:rsidRDefault="00C16AA8" w:rsidP="00C16AA8">
            <w:pPr>
              <w:adjustRightInd w:val="0"/>
              <w:spacing w:line="240" w:lineRule="auto"/>
              <w:ind w:firstLineChars="0" w:firstLine="0"/>
              <w:jc w:val="center"/>
              <w:rPr>
                <w:rFonts w:eastAsia="Times New Roman"/>
                <w:sz w:val="16"/>
              </w:rPr>
            </w:pPr>
            <w:r w:rsidRPr="00C16AA8">
              <w:rPr>
                <w:rFonts w:eastAsia="Times New Roman" w:hint="eastAsia"/>
                <w:sz w:val="16"/>
              </w:rPr>
              <w:t>0.1646</w:t>
            </w:r>
          </w:p>
        </w:tc>
      </w:tr>
      <w:tr w:rsidR="00C16AA8" w14:paraId="179C2C48" w14:textId="77777777" w:rsidTr="005B2E53">
        <w:trPr>
          <w:jc w:val="center"/>
        </w:trPr>
        <w:tc>
          <w:tcPr>
            <w:tcW w:w="699" w:type="pct"/>
            <w:tcMar>
              <w:top w:w="50" w:type="dxa"/>
              <w:left w:w="55" w:type="dxa"/>
              <w:bottom w:w="50" w:type="dxa"/>
              <w:right w:w="55" w:type="dxa"/>
            </w:tcMar>
            <w:vAlign w:val="center"/>
          </w:tcPr>
          <w:p w14:paraId="7F4ABF30" w14:textId="77777777" w:rsidR="00C16AA8" w:rsidRDefault="00C16AA8" w:rsidP="00C16AA8">
            <w:pPr>
              <w:adjustRightInd w:val="0"/>
              <w:spacing w:line="240" w:lineRule="auto"/>
              <w:ind w:firstLineChars="0" w:firstLine="0"/>
              <w:jc w:val="center"/>
            </w:pPr>
            <w:r>
              <w:rPr>
                <w:rFonts w:eastAsia="Times New Roman"/>
                <w:sz w:val="16"/>
              </w:rPr>
              <w:t>Redundancy</w:t>
            </w:r>
          </w:p>
        </w:tc>
        <w:tc>
          <w:tcPr>
            <w:tcW w:w="506" w:type="pct"/>
            <w:tcMar>
              <w:top w:w="50" w:type="dxa"/>
              <w:left w:w="55" w:type="dxa"/>
              <w:bottom w:w="50" w:type="dxa"/>
              <w:right w:w="55" w:type="dxa"/>
            </w:tcMar>
            <w:vAlign w:val="center"/>
          </w:tcPr>
          <w:p w14:paraId="7195A2F3" w14:textId="77777777" w:rsidR="00C16AA8" w:rsidRDefault="00C16AA8" w:rsidP="00C16AA8">
            <w:pPr>
              <w:adjustRightInd w:val="0"/>
              <w:spacing w:line="240" w:lineRule="auto"/>
              <w:ind w:firstLineChars="0" w:firstLine="0"/>
              <w:jc w:val="center"/>
            </w:pPr>
            <w:r>
              <w:rPr>
                <w:rFonts w:eastAsia="Times New Roman"/>
                <w:sz w:val="16"/>
              </w:rPr>
              <w:t>b</w:t>
            </w:r>
          </w:p>
        </w:tc>
        <w:tc>
          <w:tcPr>
            <w:tcW w:w="281" w:type="pct"/>
            <w:tcMar>
              <w:top w:w="50" w:type="dxa"/>
              <w:left w:w="55" w:type="dxa"/>
              <w:bottom w:w="50" w:type="dxa"/>
              <w:right w:w="55" w:type="dxa"/>
            </w:tcMar>
            <w:vAlign w:val="center"/>
          </w:tcPr>
          <w:p w14:paraId="149930B4" w14:textId="77777777" w:rsidR="00C16AA8" w:rsidRDefault="00C16AA8" w:rsidP="00C16AA8">
            <w:pPr>
              <w:adjustRightInd w:val="0"/>
              <w:spacing w:line="240" w:lineRule="auto"/>
              <w:ind w:firstLineChars="0" w:firstLine="0"/>
              <w:jc w:val="center"/>
            </w:pPr>
            <w:r>
              <w:rPr>
                <w:rFonts w:eastAsia="Times New Roman"/>
                <w:sz w:val="16"/>
              </w:rPr>
              <w:t>B2</w:t>
            </w:r>
          </w:p>
        </w:tc>
        <w:tc>
          <w:tcPr>
            <w:tcW w:w="683" w:type="pct"/>
            <w:tcMar>
              <w:top w:w="50" w:type="dxa"/>
              <w:left w:w="55" w:type="dxa"/>
              <w:bottom w:w="50" w:type="dxa"/>
              <w:right w:w="55" w:type="dxa"/>
            </w:tcMar>
            <w:vAlign w:val="center"/>
          </w:tcPr>
          <w:p w14:paraId="53EE1692" w14:textId="77777777" w:rsidR="00C16AA8" w:rsidRDefault="00C16AA8" w:rsidP="00C16AA8">
            <w:pPr>
              <w:adjustRightInd w:val="0"/>
              <w:spacing w:line="240" w:lineRule="auto"/>
              <w:ind w:firstLineChars="0" w:firstLine="0"/>
              <w:jc w:val="center"/>
            </w:pPr>
            <w:r>
              <w:rPr>
                <w:rFonts w:eastAsia="Times New Roman"/>
                <w:sz w:val="16"/>
              </w:rPr>
              <w:t>Per capita road area</w:t>
            </w:r>
          </w:p>
        </w:tc>
        <w:tc>
          <w:tcPr>
            <w:tcW w:w="1029" w:type="pct"/>
            <w:tcMar>
              <w:top w:w="50" w:type="dxa"/>
              <w:left w:w="55" w:type="dxa"/>
              <w:bottom w:w="50" w:type="dxa"/>
              <w:right w:w="55" w:type="dxa"/>
            </w:tcMar>
            <w:vAlign w:val="center"/>
          </w:tcPr>
          <w:p w14:paraId="6FE4CD2E" w14:textId="77777777" w:rsidR="00C16AA8" w:rsidRDefault="00C16AA8" w:rsidP="00C16AA8">
            <w:pPr>
              <w:adjustRightInd w:val="0"/>
              <w:spacing w:line="240" w:lineRule="auto"/>
              <w:ind w:firstLineChars="0" w:firstLine="0"/>
              <w:jc w:val="center"/>
            </w:pPr>
            <w:r>
              <w:rPr>
                <w:rFonts w:eastAsia="Times New Roman"/>
                <w:sz w:val="16"/>
              </w:rPr>
              <w:t>Urban road area per capita (+)</w:t>
            </w:r>
          </w:p>
        </w:tc>
        <w:tc>
          <w:tcPr>
            <w:tcW w:w="554" w:type="pct"/>
            <w:tcMar>
              <w:top w:w="50" w:type="dxa"/>
              <w:left w:w="55" w:type="dxa"/>
              <w:bottom w:w="50" w:type="dxa"/>
              <w:right w:w="55" w:type="dxa"/>
            </w:tcMar>
            <w:vAlign w:val="center"/>
          </w:tcPr>
          <w:p w14:paraId="37A05E5D" w14:textId="77777777" w:rsidR="00C16AA8" w:rsidRDefault="00C16AA8" w:rsidP="00C16AA8">
            <w:pPr>
              <w:adjustRightInd w:val="0"/>
              <w:spacing w:line="240" w:lineRule="auto"/>
              <w:ind w:firstLineChars="0" w:firstLine="0"/>
              <w:jc w:val="center"/>
            </w:pPr>
            <w:r>
              <w:rPr>
                <w:rFonts w:eastAsia="Times New Roman"/>
                <w:sz w:val="16"/>
              </w:rPr>
              <w:t>m²/person</w:t>
            </w:r>
          </w:p>
        </w:tc>
        <w:tc>
          <w:tcPr>
            <w:tcW w:w="722" w:type="pct"/>
            <w:tcMar>
              <w:top w:w="50" w:type="dxa"/>
              <w:left w:w="55" w:type="dxa"/>
              <w:bottom w:w="50" w:type="dxa"/>
              <w:right w:w="55" w:type="dxa"/>
            </w:tcMar>
            <w:vAlign w:val="center"/>
          </w:tcPr>
          <w:p w14:paraId="1E50EAFB" w14:textId="77777777" w:rsidR="00C16AA8" w:rsidRDefault="00C16AA8" w:rsidP="00C16AA8">
            <w:pPr>
              <w:adjustRightInd w:val="0"/>
              <w:spacing w:line="240" w:lineRule="auto"/>
              <w:ind w:firstLineChars="0" w:firstLine="0"/>
              <w:jc w:val="center"/>
            </w:pPr>
            <w:r>
              <w:rPr>
                <w:rFonts w:eastAsia="Times New Roman"/>
                <w:sz w:val="16"/>
              </w:rPr>
              <w:t>China Urban Construction Statistical Yearbook</w:t>
            </w:r>
          </w:p>
        </w:tc>
        <w:tc>
          <w:tcPr>
            <w:tcW w:w="527" w:type="pct"/>
            <w:vAlign w:val="center"/>
          </w:tcPr>
          <w:p w14:paraId="215366D1" w14:textId="776D4344" w:rsidR="00C16AA8" w:rsidRDefault="00C16AA8" w:rsidP="00C16AA8">
            <w:pPr>
              <w:adjustRightInd w:val="0"/>
              <w:spacing w:line="240" w:lineRule="auto"/>
              <w:ind w:firstLineChars="0" w:firstLine="0"/>
              <w:jc w:val="center"/>
              <w:rPr>
                <w:rFonts w:eastAsia="Times New Roman"/>
                <w:sz w:val="16"/>
              </w:rPr>
            </w:pPr>
            <w:r w:rsidRPr="00C16AA8">
              <w:rPr>
                <w:rFonts w:eastAsia="Times New Roman" w:hint="eastAsia"/>
                <w:sz w:val="16"/>
              </w:rPr>
              <w:t>0.1741</w:t>
            </w:r>
          </w:p>
        </w:tc>
      </w:tr>
      <w:tr w:rsidR="00C16AA8" w14:paraId="339323E2" w14:textId="77777777" w:rsidTr="005B2E53">
        <w:trPr>
          <w:jc w:val="center"/>
        </w:trPr>
        <w:tc>
          <w:tcPr>
            <w:tcW w:w="699" w:type="pct"/>
            <w:tcMar>
              <w:top w:w="50" w:type="dxa"/>
              <w:left w:w="55" w:type="dxa"/>
              <w:bottom w:w="50" w:type="dxa"/>
              <w:right w:w="55" w:type="dxa"/>
            </w:tcMar>
            <w:vAlign w:val="center"/>
          </w:tcPr>
          <w:p w14:paraId="5D5B7D27" w14:textId="77777777" w:rsidR="00C16AA8" w:rsidRDefault="00C16AA8" w:rsidP="00C16AA8">
            <w:pPr>
              <w:adjustRightInd w:val="0"/>
              <w:spacing w:line="240" w:lineRule="auto"/>
              <w:ind w:firstLineChars="0" w:firstLine="0"/>
              <w:jc w:val="center"/>
            </w:pPr>
            <w:r>
              <w:rPr>
                <w:rFonts w:eastAsia="Times New Roman"/>
                <w:sz w:val="16"/>
              </w:rPr>
              <w:t>Redundancy</w:t>
            </w:r>
          </w:p>
        </w:tc>
        <w:tc>
          <w:tcPr>
            <w:tcW w:w="506" w:type="pct"/>
            <w:tcMar>
              <w:top w:w="50" w:type="dxa"/>
              <w:left w:w="55" w:type="dxa"/>
              <w:bottom w:w="50" w:type="dxa"/>
              <w:right w:w="55" w:type="dxa"/>
            </w:tcMar>
            <w:vAlign w:val="center"/>
          </w:tcPr>
          <w:p w14:paraId="19DD2773" w14:textId="77777777" w:rsidR="00C16AA8" w:rsidRDefault="00C16AA8" w:rsidP="00C16AA8">
            <w:pPr>
              <w:adjustRightInd w:val="0"/>
              <w:spacing w:line="240" w:lineRule="auto"/>
              <w:ind w:firstLineChars="0" w:firstLine="0"/>
              <w:jc w:val="center"/>
            </w:pPr>
            <w:r>
              <w:rPr>
                <w:rFonts w:eastAsia="Times New Roman"/>
                <w:sz w:val="16"/>
              </w:rPr>
              <w:t>b</w:t>
            </w:r>
          </w:p>
        </w:tc>
        <w:tc>
          <w:tcPr>
            <w:tcW w:w="281" w:type="pct"/>
            <w:tcMar>
              <w:top w:w="50" w:type="dxa"/>
              <w:left w:w="55" w:type="dxa"/>
              <w:bottom w:w="50" w:type="dxa"/>
              <w:right w:w="55" w:type="dxa"/>
            </w:tcMar>
            <w:vAlign w:val="center"/>
          </w:tcPr>
          <w:p w14:paraId="543F17EE" w14:textId="77777777" w:rsidR="00C16AA8" w:rsidRDefault="00C16AA8" w:rsidP="00C16AA8">
            <w:pPr>
              <w:adjustRightInd w:val="0"/>
              <w:spacing w:line="240" w:lineRule="auto"/>
              <w:ind w:firstLineChars="0" w:firstLine="0"/>
              <w:jc w:val="center"/>
            </w:pPr>
            <w:r>
              <w:rPr>
                <w:rFonts w:eastAsia="Times New Roman"/>
                <w:sz w:val="16"/>
              </w:rPr>
              <w:t>B3</w:t>
            </w:r>
          </w:p>
        </w:tc>
        <w:tc>
          <w:tcPr>
            <w:tcW w:w="683" w:type="pct"/>
            <w:tcMar>
              <w:top w:w="50" w:type="dxa"/>
              <w:left w:w="55" w:type="dxa"/>
              <w:bottom w:w="50" w:type="dxa"/>
              <w:right w:w="55" w:type="dxa"/>
            </w:tcMar>
            <w:vAlign w:val="center"/>
          </w:tcPr>
          <w:p w14:paraId="1385E54C" w14:textId="77777777" w:rsidR="00C16AA8" w:rsidRDefault="00C16AA8" w:rsidP="00C16AA8">
            <w:pPr>
              <w:adjustRightInd w:val="0"/>
              <w:spacing w:line="240" w:lineRule="auto"/>
              <w:ind w:firstLineChars="0" w:firstLine="0"/>
              <w:jc w:val="center"/>
            </w:pPr>
            <w:r>
              <w:rPr>
                <w:rFonts w:eastAsia="Times New Roman"/>
                <w:sz w:val="16"/>
              </w:rPr>
              <w:t>Proportion of water-related personnel</w:t>
            </w:r>
          </w:p>
        </w:tc>
        <w:tc>
          <w:tcPr>
            <w:tcW w:w="1029" w:type="pct"/>
            <w:tcMar>
              <w:top w:w="50" w:type="dxa"/>
              <w:left w:w="55" w:type="dxa"/>
              <w:bottom w:w="50" w:type="dxa"/>
              <w:right w:w="55" w:type="dxa"/>
            </w:tcMar>
            <w:vAlign w:val="center"/>
          </w:tcPr>
          <w:p w14:paraId="12BA544D" w14:textId="77777777" w:rsidR="00C16AA8" w:rsidRDefault="00C16AA8" w:rsidP="00C16AA8">
            <w:pPr>
              <w:adjustRightInd w:val="0"/>
              <w:spacing w:line="240" w:lineRule="auto"/>
              <w:ind w:firstLineChars="0" w:firstLine="0"/>
              <w:jc w:val="center"/>
            </w:pPr>
            <w:r>
              <w:rPr>
                <w:rFonts w:eastAsia="Times New Roman"/>
                <w:sz w:val="16"/>
              </w:rPr>
              <w:t>Share of employees in water, environmental, and public-facility management sectors (+)</w:t>
            </w:r>
          </w:p>
        </w:tc>
        <w:tc>
          <w:tcPr>
            <w:tcW w:w="554" w:type="pct"/>
            <w:tcMar>
              <w:top w:w="50" w:type="dxa"/>
              <w:left w:w="55" w:type="dxa"/>
              <w:bottom w:w="50" w:type="dxa"/>
              <w:right w:w="55" w:type="dxa"/>
            </w:tcMar>
            <w:vAlign w:val="center"/>
          </w:tcPr>
          <w:p w14:paraId="1140D096" w14:textId="77777777" w:rsidR="00C16AA8" w:rsidRDefault="00C16AA8" w:rsidP="00C16AA8">
            <w:pPr>
              <w:adjustRightInd w:val="0"/>
              <w:spacing w:line="240" w:lineRule="auto"/>
              <w:ind w:firstLineChars="0" w:firstLine="0"/>
              <w:jc w:val="center"/>
            </w:pPr>
            <w:r>
              <w:rPr>
                <w:rFonts w:eastAsia="Times New Roman"/>
                <w:sz w:val="16"/>
              </w:rPr>
              <w:t>%</w:t>
            </w:r>
          </w:p>
        </w:tc>
        <w:tc>
          <w:tcPr>
            <w:tcW w:w="722" w:type="pct"/>
            <w:tcMar>
              <w:top w:w="50" w:type="dxa"/>
              <w:left w:w="55" w:type="dxa"/>
              <w:bottom w:w="50" w:type="dxa"/>
              <w:right w:w="55" w:type="dxa"/>
            </w:tcMar>
            <w:vAlign w:val="center"/>
          </w:tcPr>
          <w:p w14:paraId="7E8ED052" w14:textId="77777777" w:rsidR="00C16AA8" w:rsidRDefault="00C16AA8" w:rsidP="00C16AA8">
            <w:pPr>
              <w:adjustRightInd w:val="0"/>
              <w:spacing w:line="240" w:lineRule="auto"/>
              <w:ind w:firstLineChars="0" w:firstLine="0"/>
              <w:jc w:val="center"/>
            </w:pPr>
            <w:r>
              <w:rPr>
                <w:rFonts w:eastAsia="Times New Roman"/>
                <w:sz w:val="16"/>
              </w:rPr>
              <w:t>China Urban Statistical Yearbook</w:t>
            </w:r>
          </w:p>
        </w:tc>
        <w:tc>
          <w:tcPr>
            <w:tcW w:w="527" w:type="pct"/>
            <w:vAlign w:val="center"/>
          </w:tcPr>
          <w:p w14:paraId="47DAE515" w14:textId="50783B8B" w:rsidR="00C16AA8" w:rsidRDefault="00C16AA8" w:rsidP="00C16AA8">
            <w:pPr>
              <w:adjustRightInd w:val="0"/>
              <w:spacing w:line="240" w:lineRule="auto"/>
              <w:ind w:firstLineChars="0" w:firstLine="0"/>
              <w:jc w:val="center"/>
              <w:rPr>
                <w:rFonts w:eastAsia="Times New Roman"/>
                <w:sz w:val="16"/>
              </w:rPr>
            </w:pPr>
            <w:r w:rsidRPr="00C16AA8">
              <w:rPr>
                <w:rFonts w:eastAsia="Times New Roman" w:hint="eastAsia"/>
                <w:sz w:val="16"/>
              </w:rPr>
              <w:t>0.3504</w:t>
            </w:r>
          </w:p>
        </w:tc>
      </w:tr>
      <w:tr w:rsidR="00C16AA8" w14:paraId="60AE0F66" w14:textId="77777777" w:rsidTr="005B2E53">
        <w:trPr>
          <w:jc w:val="center"/>
        </w:trPr>
        <w:tc>
          <w:tcPr>
            <w:tcW w:w="699" w:type="pct"/>
            <w:tcMar>
              <w:top w:w="50" w:type="dxa"/>
              <w:left w:w="55" w:type="dxa"/>
              <w:bottom w:w="50" w:type="dxa"/>
              <w:right w:w="55" w:type="dxa"/>
            </w:tcMar>
            <w:vAlign w:val="center"/>
          </w:tcPr>
          <w:p w14:paraId="2ED452FE" w14:textId="77777777" w:rsidR="00C16AA8" w:rsidRDefault="00C16AA8" w:rsidP="00C16AA8">
            <w:pPr>
              <w:adjustRightInd w:val="0"/>
              <w:spacing w:line="240" w:lineRule="auto"/>
              <w:ind w:firstLineChars="0" w:firstLine="0"/>
              <w:jc w:val="center"/>
            </w:pPr>
            <w:r>
              <w:rPr>
                <w:rFonts w:eastAsia="Times New Roman"/>
                <w:sz w:val="16"/>
              </w:rPr>
              <w:t>Redundancy</w:t>
            </w:r>
          </w:p>
        </w:tc>
        <w:tc>
          <w:tcPr>
            <w:tcW w:w="506" w:type="pct"/>
            <w:tcMar>
              <w:top w:w="50" w:type="dxa"/>
              <w:left w:w="55" w:type="dxa"/>
              <w:bottom w:w="50" w:type="dxa"/>
              <w:right w:w="55" w:type="dxa"/>
            </w:tcMar>
            <w:vAlign w:val="center"/>
          </w:tcPr>
          <w:p w14:paraId="2280B577" w14:textId="77777777" w:rsidR="00C16AA8" w:rsidRDefault="00C16AA8" w:rsidP="00C16AA8">
            <w:pPr>
              <w:adjustRightInd w:val="0"/>
              <w:spacing w:line="240" w:lineRule="auto"/>
              <w:ind w:firstLineChars="0" w:firstLine="0"/>
              <w:jc w:val="center"/>
            </w:pPr>
            <w:r>
              <w:rPr>
                <w:rFonts w:eastAsia="Times New Roman"/>
                <w:sz w:val="16"/>
              </w:rPr>
              <w:t>b</w:t>
            </w:r>
          </w:p>
        </w:tc>
        <w:tc>
          <w:tcPr>
            <w:tcW w:w="281" w:type="pct"/>
            <w:tcMar>
              <w:top w:w="50" w:type="dxa"/>
              <w:left w:w="55" w:type="dxa"/>
              <w:bottom w:w="50" w:type="dxa"/>
              <w:right w:w="55" w:type="dxa"/>
            </w:tcMar>
            <w:vAlign w:val="center"/>
          </w:tcPr>
          <w:p w14:paraId="3EBE4BE1" w14:textId="77777777" w:rsidR="00C16AA8" w:rsidRDefault="00C16AA8" w:rsidP="00C16AA8">
            <w:pPr>
              <w:adjustRightInd w:val="0"/>
              <w:spacing w:line="240" w:lineRule="auto"/>
              <w:ind w:firstLineChars="0" w:firstLine="0"/>
              <w:jc w:val="center"/>
            </w:pPr>
            <w:r>
              <w:rPr>
                <w:rFonts w:eastAsia="Times New Roman"/>
                <w:sz w:val="16"/>
              </w:rPr>
              <w:t>B4</w:t>
            </w:r>
          </w:p>
        </w:tc>
        <w:tc>
          <w:tcPr>
            <w:tcW w:w="683" w:type="pct"/>
            <w:tcMar>
              <w:top w:w="50" w:type="dxa"/>
              <w:left w:w="55" w:type="dxa"/>
              <w:bottom w:w="50" w:type="dxa"/>
              <w:right w:w="55" w:type="dxa"/>
            </w:tcMar>
            <w:vAlign w:val="center"/>
          </w:tcPr>
          <w:p w14:paraId="2571D2AD" w14:textId="77777777" w:rsidR="00C16AA8" w:rsidRDefault="00C16AA8" w:rsidP="00C16AA8">
            <w:pPr>
              <w:adjustRightInd w:val="0"/>
              <w:spacing w:line="240" w:lineRule="auto"/>
              <w:ind w:firstLineChars="0" w:firstLine="0"/>
              <w:jc w:val="center"/>
            </w:pPr>
            <w:r>
              <w:rPr>
                <w:rFonts w:eastAsia="Times New Roman"/>
                <w:sz w:val="16"/>
              </w:rPr>
              <w:t>Proportion of land for logistics and warehousing</w:t>
            </w:r>
          </w:p>
        </w:tc>
        <w:tc>
          <w:tcPr>
            <w:tcW w:w="1029" w:type="pct"/>
            <w:tcMar>
              <w:top w:w="50" w:type="dxa"/>
              <w:left w:w="55" w:type="dxa"/>
              <w:bottom w:w="50" w:type="dxa"/>
              <w:right w:w="55" w:type="dxa"/>
            </w:tcMar>
            <w:vAlign w:val="center"/>
          </w:tcPr>
          <w:p w14:paraId="1AAC0BD2" w14:textId="77777777" w:rsidR="00C16AA8" w:rsidRDefault="00C16AA8" w:rsidP="00C16AA8">
            <w:pPr>
              <w:adjustRightInd w:val="0"/>
              <w:spacing w:line="240" w:lineRule="auto"/>
              <w:ind w:firstLineChars="0" w:firstLine="0"/>
              <w:jc w:val="center"/>
            </w:pPr>
            <w:r>
              <w:rPr>
                <w:rFonts w:eastAsia="Times New Roman"/>
                <w:sz w:val="16"/>
              </w:rPr>
              <w:t>Logistics and warehousing land relative to total urban construction land (+)</w:t>
            </w:r>
          </w:p>
        </w:tc>
        <w:tc>
          <w:tcPr>
            <w:tcW w:w="554" w:type="pct"/>
            <w:tcMar>
              <w:top w:w="50" w:type="dxa"/>
              <w:left w:w="55" w:type="dxa"/>
              <w:bottom w:w="50" w:type="dxa"/>
              <w:right w:w="55" w:type="dxa"/>
            </w:tcMar>
            <w:vAlign w:val="center"/>
          </w:tcPr>
          <w:p w14:paraId="554E2A04" w14:textId="77777777" w:rsidR="00C16AA8" w:rsidRDefault="00C16AA8" w:rsidP="00C16AA8">
            <w:pPr>
              <w:adjustRightInd w:val="0"/>
              <w:spacing w:line="240" w:lineRule="auto"/>
              <w:ind w:firstLineChars="0" w:firstLine="0"/>
              <w:jc w:val="center"/>
            </w:pPr>
            <w:r>
              <w:rPr>
                <w:rFonts w:eastAsia="Times New Roman"/>
                <w:sz w:val="16"/>
              </w:rPr>
              <w:t>%</w:t>
            </w:r>
          </w:p>
        </w:tc>
        <w:tc>
          <w:tcPr>
            <w:tcW w:w="722" w:type="pct"/>
            <w:tcMar>
              <w:top w:w="50" w:type="dxa"/>
              <w:left w:w="55" w:type="dxa"/>
              <w:bottom w:w="50" w:type="dxa"/>
              <w:right w:w="55" w:type="dxa"/>
            </w:tcMar>
            <w:vAlign w:val="center"/>
          </w:tcPr>
          <w:p w14:paraId="32AEB42B" w14:textId="77777777" w:rsidR="00C16AA8" w:rsidRDefault="00C16AA8" w:rsidP="00C16AA8">
            <w:pPr>
              <w:adjustRightInd w:val="0"/>
              <w:spacing w:line="240" w:lineRule="auto"/>
              <w:ind w:firstLineChars="0" w:firstLine="0"/>
              <w:jc w:val="center"/>
            </w:pPr>
            <w:r>
              <w:rPr>
                <w:rFonts w:eastAsia="Times New Roman"/>
                <w:sz w:val="16"/>
              </w:rPr>
              <w:t>China Urban Construction Statistical Yearbook</w:t>
            </w:r>
          </w:p>
        </w:tc>
        <w:tc>
          <w:tcPr>
            <w:tcW w:w="527" w:type="pct"/>
            <w:vAlign w:val="center"/>
          </w:tcPr>
          <w:p w14:paraId="7342B1DB" w14:textId="6B956FA1" w:rsidR="00C16AA8" w:rsidRDefault="00C16AA8" w:rsidP="00C16AA8">
            <w:pPr>
              <w:adjustRightInd w:val="0"/>
              <w:spacing w:line="240" w:lineRule="auto"/>
              <w:ind w:firstLineChars="0" w:firstLine="0"/>
              <w:jc w:val="center"/>
              <w:rPr>
                <w:rFonts w:eastAsia="Times New Roman"/>
                <w:sz w:val="16"/>
              </w:rPr>
            </w:pPr>
            <w:r w:rsidRPr="00C16AA8">
              <w:rPr>
                <w:rFonts w:eastAsia="Times New Roman" w:hint="eastAsia"/>
                <w:sz w:val="16"/>
              </w:rPr>
              <w:t>0.3108</w:t>
            </w:r>
          </w:p>
        </w:tc>
      </w:tr>
      <w:tr w:rsidR="00C16AA8" w14:paraId="0EC20FFA" w14:textId="77777777" w:rsidTr="005B2E53">
        <w:trPr>
          <w:jc w:val="center"/>
        </w:trPr>
        <w:tc>
          <w:tcPr>
            <w:tcW w:w="699" w:type="pct"/>
            <w:tcMar>
              <w:top w:w="50" w:type="dxa"/>
              <w:left w:w="55" w:type="dxa"/>
              <w:bottom w:w="50" w:type="dxa"/>
              <w:right w:w="55" w:type="dxa"/>
            </w:tcMar>
            <w:vAlign w:val="center"/>
          </w:tcPr>
          <w:p w14:paraId="1091AB2D" w14:textId="77777777" w:rsidR="00C16AA8" w:rsidRDefault="00C16AA8" w:rsidP="00C16AA8">
            <w:pPr>
              <w:adjustRightInd w:val="0"/>
              <w:spacing w:line="240" w:lineRule="auto"/>
              <w:ind w:firstLineChars="0" w:firstLine="0"/>
              <w:jc w:val="center"/>
            </w:pPr>
            <w:r>
              <w:rPr>
                <w:rFonts w:eastAsia="Times New Roman"/>
                <w:sz w:val="16"/>
              </w:rPr>
              <w:t>Rapidity</w:t>
            </w:r>
          </w:p>
        </w:tc>
        <w:tc>
          <w:tcPr>
            <w:tcW w:w="506" w:type="pct"/>
            <w:tcMar>
              <w:top w:w="50" w:type="dxa"/>
              <w:left w:w="55" w:type="dxa"/>
              <w:bottom w:w="50" w:type="dxa"/>
              <w:right w:w="55" w:type="dxa"/>
            </w:tcMar>
            <w:vAlign w:val="center"/>
          </w:tcPr>
          <w:p w14:paraId="3F609F23" w14:textId="77777777" w:rsidR="00C16AA8" w:rsidRDefault="00C16AA8" w:rsidP="00C16AA8">
            <w:pPr>
              <w:adjustRightInd w:val="0"/>
              <w:spacing w:line="240" w:lineRule="auto"/>
              <w:ind w:firstLineChars="0" w:firstLine="0"/>
              <w:jc w:val="center"/>
            </w:pPr>
            <w:r>
              <w:rPr>
                <w:rFonts w:eastAsia="Times New Roman"/>
                <w:sz w:val="16"/>
              </w:rPr>
              <w:t>c</w:t>
            </w:r>
          </w:p>
        </w:tc>
        <w:tc>
          <w:tcPr>
            <w:tcW w:w="281" w:type="pct"/>
            <w:tcMar>
              <w:top w:w="50" w:type="dxa"/>
              <w:left w:w="55" w:type="dxa"/>
              <w:bottom w:w="50" w:type="dxa"/>
              <w:right w:w="55" w:type="dxa"/>
            </w:tcMar>
            <w:vAlign w:val="center"/>
          </w:tcPr>
          <w:p w14:paraId="78C5C79F" w14:textId="77777777" w:rsidR="00C16AA8" w:rsidRDefault="00C16AA8" w:rsidP="00C16AA8">
            <w:pPr>
              <w:adjustRightInd w:val="0"/>
              <w:spacing w:line="240" w:lineRule="auto"/>
              <w:ind w:firstLineChars="0" w:firstLine="0"/>
              <w:jc w:val="center"/>
            </w:pPr>
            <w:r>
              <w:rPr>
                <w:rFonts w:eastAsia="Times New Roman"/>
                <w:sz w:val="16"/>
              </w:rPr>
              <w:t>C1</w:t>
            </w:r>
          </w:p>
        </w:tc>
        <w:tc>
          <w:tcPr>
            <w:tcW w:w="683" w:type="pct"/>
            <w:tcMar>
              <w:top w:w="50" w:type="dxa"/>
              <w:left w:w="55" w:type="dxa"/>
              <w:bottom w:w="50" w:type="dxa"/>
              <w:right w:w="55" w:type="dxa"/>
            </w:tcMar>
            <w:vAlign w:val="center"/>
          </w:tcPr>
          <w:p w14:paraId="56880AA8" w14:textId="77777777" w:rsidR="00C16AA8" w:rsidRDefault="00C16AA8" w:rsidP="00C16AA8">
            <w:pPr>
              <w:adjustRightInd w:val="0"/>
              <w:spacing w:line="240" w:lineRule="auto"/>
              <w:ind w:firstLineChars="0" w:firstLine="0"/>
              <w:jc w:val="center"/>
            </w:pPr>
            <w:r>
              <w:rPr>
                <w:rFonts w:eastAsia="Times New Roman"/>
                <w:sz w:val="16"/>
              </w:rPr>
              <w:t>Total factor productivity</w:t>
            </w:r>
          </w:p>
        </w:tc>
        <w:tc>
          <w:tcPr>
            <w:tcW w:w="1029" w:type="pct"/>
            <w:tcMar>
              <w:top w:w="50" w:type="dxa"/>
              <w:left w:w="55" w:type="dxa"/>
              <w:bottom w:w="50" w:type="dxa"/>
              <w:right w:w="55" w:type="dxa"/>
            </w:tcMar>
            <w:vAlign w:val="center"/>
          </w:tcPr>
          <w:p w14:paraId="3C0DBE73" w14:textId="77777777" w:rsidR="00C16AA8" w:rsidRDefault="00C16AA8" w:rsidP="00C16AA8">
            <w:pPr>
              <w:adjustRightInd w:val="0"/>
              <w:spacing w:line="240" w:lineRule="auto"/>
              <w:ind w:firstLineChars="0" w:firstLine="0"/>
              <w:jc w:val="center"/>
            </w:pPr>
            <w:r>
              <w:rPr>
                <w:rFonts w:eastAsia="Times New Roman"/>
                <w:sz w:val="16"/>
              </w:rPr>
              <w:t xml:space="preserve">Output efficiency and technological progress </w:t>
            </w:r>
            <w:r>
              <w:rPr>
                <w:rFonts w:eastAsia="Times New Roman"/>
                <w:sz w:val="16"/>
              </w:rPr>
              <w:lastRenderedPageBreak/>
              <w:t>under given production inputs (+)</w:t>
            </w:r>
          </w:p>
        </w:tc>
        <w:tc>
          <w:tcPr>
            <w:tcW w:w="554" w:type="pct"/>
            <w:tcMar>
              <w:top w:w="50" w:type="dxa"/>
              <w:left w:w="55" w:type="dxa"/>
              <w:bottom w:w="50" w:type="dxa"/>
              <w:right w:w="55" w:type="dxa"/>
            </w:tcMar>
            <w:vAlign w:val="center"/>
          </w:tcPr>
          <w:p w14:paraId="76501F6F" w14:textId="77777777" w:rsidR="00C16AA8" w:rsidRDefault="00C16AA8" w:rsidP="00C16AA8">
            <w:pPr>
              <w:adjustRightInd w:val="0"/>
              <w:spacing w:line="240" w:lineRule="auto"/>
              <w:ind w:firstLineChars="0" w:firstLine="0"/>
              <w:jc w:val="center"/>
            </w:pPr>
            <w:r>
              <w:rPr>
                <w:rFonts w:eastAsia="Times New Roman"/>
                <w:sz w:val="16"/>
              </w:rPr>
              <w:lastRenderedPageBreak/>
              <w:t>%</w:t>
            </w:r>
          </w:p>
        </w:tc>
        <w:tc>
          <w:tcPr>
            <w:tcW w:w="722" w:type="pct"/>
            <w:tcMar>
              <w:top w:w="50" w:type="dxa"/>
              <w:left w:w="55" w:type="dxa"/>
              <w:bottom w:w="50" w:type="dxa"/>
              <w:right w:w="55" w:type="dxa"/>
            </w:tcMar>
            <w:vAlign w:val="center"/>
          </w:tcPr>
          <w:p w14:paraId="7AD2E779" w14:textId="77777777" w:rsidR="00C16AA8" w:rsidRDefault="00C16AA8" w:rsidP="00C16AA8">
            <w:pPr>
              <w:adjustRightInd w:val="0"/>
              <w:spacing w:line="240" w:lineRule="auto"/>
              <w:ind w:firstLineChars="0" w:firstLine="0"/>
              <w:jc w:val="center"/>
            </w:pPr>
            <w:r>
              <w:rPr>
                <w:rFonts w:eastAsia="Times New Roman"/>
                <w:sz w:val="16"/>
              </w:rPr>
              <w:t xml:space="preserve">China Urban Statistical </w:t>
            </w:r>
            <w:r>
              <w:rPr>
                <w:rFonts w:eastAsia="Times New Roman"/>
                <w:sz w:val="16"/>
              </w:rPr>
              <w:lastRenderedPageBreak/>
              <w:t>Yearbook</w:t>
            </w:r>
          </w:p>
        </w:tc>
        <w:tc>
          <w:tcPr>
            <w:tcW w:w="527" w:type="pct"/>
            <w:vAlign w:val="center"/>
          </w:tcPr>
          <w:p w14:paraId="0806FA6E" w14:textId="14F91281" w:rsidR="00C16AA8" w:rsidRDefault="00C16AA8" w:rsidP="00C16AA8">
            <w:pPr>
              <w:adjustRightInd w:val="0"/>
              <w:spacing w:line="240" w:lineRule="auto"/>
              <w:ind w:firstLineChars="0" w:firstLine="0"/>
              <w:jc w:val="center"/>
              <w:rPr>
                <w:rFonts w:eastAsia="Times New Roman"/>
                <w:sz w:val="16"/>
              </w:rPr>
            </w:pPr>
            <w:r w:rsidRPr="00C16AA8">
              <w:rPr>
                <w:rFonts w:eastAsia="Times New Roman" w:hint="eastAsia"/>
                <w:sz w:val="16"/>
              </w:rPr>
              <w:lastRenderedPageBreak/>
              <w:t>0.1388</w:t>
            </w:r>
          </w:p>
        </w:tc>
      </w:tr>
      <w:tr w:rsidR="00C16AA8" w14:paraId="64E1027B" w14:textId="77777777" w:rsidTr="005B2E53">
        <w:trPr>
          <w:jc w:val="center"/>
        </w:trPr>
        <w:tc>
          <w:tcPr>
            <w:tcW w:w="699" w:type="pct"/>
            <w:tcMar>
              <w:top w:w="50" w:type="dxa"/>
              <w:left w:w="55" w:type="dxa"/>
              <w:bottom w:w="50" w:type="dxa"/>
              <w:right w:w="55" w:type="dxa"/>
            </w:tcMar>
            <w:vAlign w:val="center"/>
          </w:tcPr>
          <w:p w14:paraId="45EB9E45" w14:textId="77777777" w:rsidR="00C16AA8" w:rsidRDefault="00C16AA8" w:rsidP="00C16AA8">
            <w:pPr>
              <w:adjustRightInd w:val="0"/>
              <w:spacing w:line="240" w:lineRule="auto"/>
              <w:ind w:firstLineChars="0" w:firstLine="0"/>
              <w:jc w:val="center"/>
            </w:pPr>
            <w:r>
              <w:rPr>
                <w:rFonts w:eastAsia="Times New Roman"/>
                <w:sz w:val="16"/>
              </w:rPr>
              <w:t>Rapidity</w:t>
            </w:r>
          </w:p>
        </w:tc>
        <w:tc>
          <w:tcPr>
            <w:tcW w:w="506" w:type="pct"/>
            <w:tcMar>
              <w:top w:w="50" w:type="dxa"/>
              <w:left w:w="55" w:type="dxa"/>
              <w:bottom w:w="50" w:type="dxa"/>
              <w:right w:w="55" w:type="dxa"/>
            </w:tcMar>
            <w:vAlign w:val="center"/>
          </w:tcPr>
          <w:p w14:paraId="7B239C99" w14:textId="77777777" w:rsidR="00C16AA8" w:rsidRDefault="00C16AA8" w:rsidP="00C16AA8">
            <w:pPr>
              <w:adjustRightInd w:val="0"/>
              <w:spacing w:line="240" w:lineRule="auto"/>
              <w:ind w:firstLineChars="0" w:firstLine="0"/>
              <w:jc w:val="center"/>
            </w:pPr>
            <w:r>
              <w:rPr>
                <w:rFonts w:eastAsia="Times New Roman"/>
                <w:sz w:val="16"/>
              </w:rPr>
              <w:t>c</w:t>
            </w:r>
          </w:p>
        </w:tc>
        <w:tc>
          <w:tcPr>
            <w:tcW w:w="281" w:type="pct"/>
            <w:tcMar>
              <w:top w:w="50" w:type="dxa"/>
              <w:left w:w="55" w:type="dxa"/>
              <w:bottom w:w="50" w:type="dxa"/>
              <w:right w:w="55" w:type="dxa"/>
            </w:tcMar>
            <w:vAlign w:val="center"/>
          </w:tcPr>
          <w:p w14:paraId="203B8A20" w14:textId="77777777" w:rsidR="00C16AA8" w:rsidRDefault="00C16AA8" w:rsidP="00C16AA8">
            <w:pPr>
              <w:adjustRightInd w:val="0"/>
              <w:spacing w:line="240" w:lineRule="auto"/>
              <w:ind w:firstLineChars="0" w:firstLine="0"/>
              <w:jc w:val="center"/>
            </w:pPr>
            <w:r>
              <w:rPr>
                <w:rFonts w:eastAsia="Times New Roman"/>
                <w:sz w:val="16"/>
              </w:rPr>
              <w:t>C2</w:t>
            </w:r>
          </w:p>
        </w:tc>
        <w:tc>
          <w:tcPr>
            <w:tcW w:w="683" w:type="pct"/>
            <w:tcMar>
              <w:top w:w="50" w:type="dxa"/>
              <w:left w:w="55" w:type="dxa"/>
              <w:bottom w:w="50" w:type="dxa"/>
              <w:right w:w="55" w:type="dxa"/>
            </w:tcMar>
            <w:vAlign w:val="center"/>
          </w:tcPr>
          <w:p w14:paraId="272EC0DF" w14:textId="77777777" w:rsidR="00C16AA8" w:rsidRDefault="00C16AA8" w:rsidP="00C16AA8">
            <w:pPr>
              <w:adjustRightInd w:val="0"/>
              <w:spacing w:line="240" w:lineRule="auto"/>
              <w:ind w:firstLineChars="0" w:firstLine="0"/>
              <w:jc w:val="center"/>
            </w:pPr>
            <w:r>
              <w:rPr>
                <w:rFonts w:eastAsia="Times New Roman"/>
                <w:sz w:val="16"/>
              </w:rPr>
              <w:t>Proportion of fiscal expenditure on disaster prevention and emergency management</w:t>
            </w:r>
          </w:p>
        </w:tc>
        <w:tc>
          <w:tcPr>
            <w:tcW w:w="1029" w:type="pct"/>
            <w:tcMar>
              <w:top w:w="50" w:type="dxa"/>
              <w:left w:w="55" w:type="dxa"/>
              <w:bottom w:w="50" w:type="dxa"/>
              <w:right w:w="55" w:type="dxa"/>
            </w:tcMar>
            <w:vAlign w:val="center"/>
          </w:tcPr>
          <w:p w14:paraId="47A9FD48" w14:textId="77777777" w:rsidR="00C16AA8" w:rsidRDefault="00C16AA8" w:rsidP="00C16AA8">
            <w:pPr>
              <w:adjustRightInd w:val="0"/>
              <w:spacing w:line="240" w:lineRule="auto"/>
              <w:ind w:firstLineChars="0" w:firstLine="0"/>
              <w:jc w:val="center"/>
            </w:pPr>
            <w:r>
              <w:rPr>
                <w:rFonts w:eastAsia="Times New Roman"/>
                <w:sz w:val="16"/>
              </w:rPr>
              <w:t>Disaster-prevention and emergency-management expenditure relative to total local fiscal expenditure (+)</w:t>
            </w:r>
          </w:p>
        </w:tc>
        <w:tc>
          <w:tcPr>
            <w:tcW w:w="554" w:type="pct"/>
            <w:tcMar>
              <w:top w:w="50" w:type="dxa"/>
              <w:left w:w="55" w:type="dxa"/>
              <w:bottom w:w="50" w:type="dxa"/>
              <w:right w:w="55" w:type="dxa"/>
            </w:tcMar>
            <w:vAlign w:val="center"/>
          </w:tcPr>
          <w:p w14:paraId="5F669DED" w14:textId="77777777" w:rsidR="00C16AA8" w:rsidRDefault="00C16AA8" w:rsidP="00C16AA8">
            <w:pPr>
              <w:adjustRightInd w:val="0"/>
              <w:spacing w:line="240" w:lineRule="auto"/>
              <w:ind w:firstLineChars="0" w:firstLine="0"/>
              <w:jc w:val="center"/>
            </w:pPr>
            <w:r>
              <w:rPr>
                <w:rFonts w:eastAsia="Times New Roman"/>
                <w:sz w:val="16"/>
              </w:rPr>
              <w:t>%</w:t>
            </w:r>
          </w:p>
        </w:tc>
        <w:tc>
          <w:tcPr>
            <w:tcW w:w="722" w:type="pct"/>
            <w:tcMar>
              <w:top w:w="50" w:type="dxa"/>
              <w:left w:w="55" w:type="dxa"/>
              <w:bottom w:w="50" w:type="dxa"/>
              <w:right w:w="55" w:type="dxa"/>
            </w:tcMar>
            <w:vAlign w:val="center"/>
          </w:tcPr>
          <w:p w14:paraId="7EC58714" w14:textId="77777777" w:rsidR="00C16AA8" w:rsidRDefault="00C16AA8" w:rsidP="00C16AA8">
            <w:pPr>
              <w:adjustRightInd w:val="0"/>
              <w:spacing w:line="240" w:lineRule="auto"/>
              <w:ind w:firstLineChars="0" w:firstLine="0"/>
              <w:jc w:val="center"/>
            </w:pPr>
            <w:r>
              <w:rPr>
                <w:rFonts w:eastAsia="Times New Roman"/>
                <w:sz w:val="16"/>
              </w:rPr>
              <w:t>Annual Final Fiscal Accounts Reports of municipal governments</w:t>
            </w:r>
          </w:p>
        </w:tc>
        <w:tc>
          <w:tcPr>
            <w:tcW w:w="527" w:type="pct"/>
            <w:vAlign w:val="center"/>
          </w:tcPr>
          <w:p w14:paraId="7ADBFF60" w14:textId="7FF97770" w:rsidR="00C16AA8" w:rsidRDefault="00C16AA8" w:rsidP="00C16AA8">
            <w:pPr>
              <w:adjustRightInd w:val="0"/>
              <w:spacing w:line="240" w:lineRule="auto"/>
              <w:ind w:firstLineChars="0" w:firstLine="0"/>
              <w:jc w:val="center"/>
              <w:rPr>
                <w:rFonts w:eastAsia="Times New Roman"/>
                <w:sz w:val="16"/>
              </w:rPr>
            </w:pPr>
            <w:r w:rsidRPr="00C16AA8">
              <w:rPr>
                <w:rFonts w:eastAsia="Times New Roman" w:hint="eastAsia"/>
                <w:sz w:val="16"/>
              </w:rPr>
              <w:t>0.1996</w:t>
            </w:r>
          </w:p>
        </w:tc>
      </w:tr>
      <w:tr w:rsidR="00C16AA8" w14:paraId="7902FE53" w14:textId="77777777" w:rsidTr="005B2E53">
        <w:trPr>
          <w:jc w:val="center"/>
        </w:trPr>
        <w:tc>
          <w:tcPr>
            <w:tcW w:w="699" w:type="pct"/>
            <w:tcMar>
              <w:top w:w="50" w:type="dxa"/>
              <w:left w:w="55" w:type="dxa"/>
              <w:bottom w:w="50" w:type="dxa"/>
              <w:right w:w="55" w:type="dxa"/>
            </w:tcMar>
            <w:vAlign w:val="center"/>
          </w:tcPr>
          <w:p w14:paraId="27290539" w14:textId="77777777" w:rsidR="00C16AA8" w:rsidRDefault="00C16AA8" w:rsidP="00C16AA8">
            <w:pPr>
              <w:adjustRightInd w:val="0"/>
              <w:spacing w:line="240" w:lineRule="auto"/>
              <w:ind w:firstLineChars="0" w:firstLine="0"/>
              <w:jc w:val="center"/>
            </w:pPr>
            <w:r>
              <w:rPr>
                <w:rFonts w:eastAsia="Times New Roman"/>
                <w:sz w:val="16"/>
              </w:rPr>
              <w:t>Rapidity</w:t>
            </w:r>
          </w:p>
        </w:tc>
        <w:tc>
          <w:tcPr>
            <w:tcW w:w="506" w:type="pct"/>
            <w:tcMar>
              <w:top w:w="50" w:type="dxa"/>
              <w:left w:w="55" w:type="dxa"/>
              <w:bottom w:w="50" w:type="dxa"/>
              <w:right w:w="55" w:type="dxa"/>
            </w:tcMar>
            <w:vAlign w:val="center"/>
          </w:tcPr>
          <w:p w14:paraId="6BBA1BB2" w14:textId="77777777" w:rsidR="00C16AA8" w:rsidRDefault="00C16AA8" w:rsidP="00C16AA8">
            <w:pPr>
              <w:adjustRightInd w:val="0"/>
              <w:spacing w:line="240" w:lineRule="auto"/>
              <w:ind w:firstLineChars="0" w:firstLine="0"/>
              <w:jc w:val="center"/>
            </w:pPr>
            <w:r>
              <w:rPr>
                <w:rFonts w:eastAsia="Times New Roman"/>
                <w:sz w:val="16"/>
              </w:rPr>
              <w:t>c</w:t>
            </w:r>
          </w:p>
        </w:tc>
        <w:tc>
          <w:tcPr>
            <w:tcW w:w="281" w:type="pct"/>
            <w:tcMar>
              <w:top w:w="50" w:type="dxa"/>
              <w:left w:w="55" w:type="dxa"/>
              <w:bottom w:w="50" w:type="dxa"/>
              <w:right w:w="55" w:type="dxa"/>
            </w:tcMar>
            <w:vAlign w:val="center"/>
          </w:tcPr>
          <w:p w14:paraId="5DC55A26" w14:textId="77777777" w:rsidR="00C16AA8" w:rsidRDefault="00C16AA8" w:rsidP="00C16AA8">
            <w:pPr>
              <w:adjustRightInd w:val="0"/>
              <w:spacing w:line="240" w:lineRule="auto"/>
              <w:ind w:firstLineChars="0" w:firstLine="0"/>
              <w:jc w:val="center"/>
            </w:pPr>
            <w:r>
              <w:rPr>
                <w:rFonts w:eastAsia="Times New Roman"/>
                <w:sz w:val="16"/>
              </w:rPr>
              <w:t>C3</w:t>
            </w:r>
          </w:p>
        </w:tc>
        <w:tc>
          <w:tcPr>
            <w:tcW w:w="683" w:type="pct"/>
            <w:tcMar>
              <w:top w:w="50" w:type="dxa"/>
              <w:left w:w="55" w:type="dxa"/>
              <w:bottom w:w="50" w:type="dxa"/>
              <w:right w:w="55" w:type="dxa"/>
            </w:tcMar>
            <w:vAlign w:val="center"/>
          </w:tcPr>
          <w:p w14:paraId="77203F97" w14:textId="77777777" w:rsidR="00C16AA8" w:rsidRDefault="00C16AA8" w:rsidP="00C16AA8">
            <w:pPr>
              <w:adjustRightInd w:val="0"/>
              <w:spacing w:line="240" w:lineRule="auto"/>
              <w:ind w:firstLineChars="0" w:firstLine="0"/>
              <w:jc w:val="center"/>
            </w:pPr>
            <w:r>
              <w:rPr>
                <w:rFonts w:eastAsia="Times New Roman"/>
                <w:sz w:val="16"/>
              </w:rPr>
              <w:t>Proportion of cumulative waterlogging-mitigation investment</w:t>
            </w:r>
          </w:p>
        </w:tc>
        <w:tc>
          <w:tcPr>
            <w:tcW w:w="1029" w:type="pct"/>
            <w:tcMar>
              <w:top w:w="50" w:type="dxa"/>
              <w:left w:w="55" w:type="dxa"/>
              <w:bottom w:w="50" w:type="dxa"/>
              <w:right w:w="55" w:type="dxa"/>
            </w:tcMar>
            <w:vAlign w:val="center"/>
          </w:tcPr>
          <w:p w14:paraId="2B347141" w14:textId="77777777" w:rsidR="00C16AA8" w:rsidRDefault="00C16AA8" w:rsidP="00C16AA8">
            <w:pPr>
              <w:adjustRightInd w:val="0"/>
              <w:spacing w:line="240" w:lineRule="auto"/>
              <w:ind w:firstLineChars="0" w:firstLine="0"/>
              <w:jc w:val="center"/>
            </w:pPr>
            <w:r>
              <w:rPr>
                <w:rFonts w:eastAsia="Times New Roman"/>
                <w:sz w:val="16"/>
              </w:rPr>
              <w:t>Cumulative waterlogging-mitigation investment relative to total municipal infrastructure investment (+)</w:t>
            </w:r>
          </w:p>
        </w:tc>
        <w:tc>
          <w:tcPr>
            <w:tcW w:w="554" w:type="pct"/>
            <w:tcMar>
              <w:top w:w="50" w:type="dxa"/>
              <w:left w:w="55" w:type="dxa"/>
              <w:bottom w:w="50" w:type="dxa"/>
              <w:right w:w="55" w:type="dxa"/>
            </w:tcMar>
            <w:vAlign w:val="center"/>
          </w:tcPr>
          <w:p w14:paraId="15E98596" w14:textId="77777777" w:rsidR="00C16AA8" w:rsidRDefault="00C16AA8" w:rsidP="00C16AA8">
            <w:pPr>
              <w:adjustRightInd w:val="0"/>
              <w:spacing w:line="240" w:lineRule="auto"/>
              <w:ind w:firstLineChars="0" w:firstLine="0"/>
              <w:jc w:val="center"/>
            </w:pPr>
            <w:r>
              <w:rPr>
                <w:rFonts w:eastAsia="Times New Roman"/>
                <w:sz w:val="16"/>
              </w:rPr>
              <w:t>%</w:t>
            </w:r>
          </w:p>
        </w:tc>
        <w:tc>
          <w:tcPr>
            <w:tcW w:w="722" w:type="pct"/>
            <w:tcMar>
              <w:top w:w="50" w:type="dxa"/>
              <w:left w:w="55" w:type="dxa"/>
              <w:bottom w:w="50" w:type="dxa"/>
              <w:right w:w="55" w:type="dxa"/>
            </w:tcMar>
            <w:vAlign w:val="center"/>
          </w:tcPr>
          <w:p w14:paraId="3AB67D18" w14:textId="77777777" w:rsidR="00C16AA8" w:rsidRDefault="00C16AA8" w:rsidP="00C16AA8">
            <w:pPr>
              <w:adjustRightInd w:val="0"/>
              <w:spacing w:line="240" w:lineRule="auto"/>
              <w:ind w:firstLineChars="0" w:firstLine="0"/>
              <w:jc w:val="center"/>
            </w:pPr>
            <w:r>
              <w:rPr>
                <w:rFonts w:eastAsia="Times New Roman"/>
                <w:sz w:val="16"/>
              </w:rPr>
              <w:t>China Water Statistical Yearbook</w:t>
            </w:r>
          </w:p>
        </w:tc>
        <w:tc>
          <w:tcPr>
            <w:tcW w:w="527" w:type="pct"/>
            <w:vAlign w:val="center"/>
          </w:tcPr>
          <w:p w14:paraId="05E9E501" w14:textId="4E8194FF" w:rsidR="00C16AA8" w:rsidRDefault="00C16AA8" w:rsidP="00C16AA8">
            <w:pPr>
              <w:adjustRightInd w:val="0"/>
              <w:spacing w:line="240" w:lineRule="auto"/>
              <w:ind w:firstLineChars="0" w:firstLine="0"/>
              <w:jc w:val="center"/>
              <w:rPr>
                <w:rFonts w:eastAsia="Times New Roman"/>
                <w:sz w:val="16"/>
              </w:rPr>
            </w:pPr>
            <w:r w:rsidRPr="00C16AA8">
              <w:rPr>
                <w:rFonts w:eastAsia="Times New Roman" w:hint="eastAsia"/>
                <w:sz w:val="16"/>
              </w:rPr>
              <w:t>0.4996</w:t>
            </w:r>
          </w:p>
        </w:tc>
      </w:tr>
      <w:tr w:rsidR="00C16AA8" w14:paraId="12DDE7BE" w14:textId="77777777" w:rsidTr="005B2E53">
        <w:trPr>
          <w:jc w:val="center"/>
        </w:trPr>
        <w:tc>
          <w:tcPr>
            <w:tcW w:w="699" w:type="pct"/>
            <w:tcMar>
              <w:top w:w="50" w:type="dxa"/>
              <w:left w:w="55" w:type="dxa"/>
              <w:bottom w:w="50" w:type="dxa"/>
              <w:right w:w="55" w:type="dxa"/>
            </w:tcMar>
            <w:vAlign w:val="center"/>
          </w:tcPr>
          <w:p w14:paraId="02E3A161" w14:textId="77777777" w:rsidR="00C16AA8" w:rsidRDefault="00C16AA8" w:rsidP="00C16AA8">
            <w:pPr>
              <w:adjustRightInd w:val="0"/>
              <w:spacing w:line="240" w:lineRule="auto"/>
              <w:ind w:firstLineChars="0" w:firstLine="0"/>
              <w:jc w:val="center"/>
            </w:pPr>
            <w:r>
              <w:rPr>
                <w:rFonts w:eastAsia="Times New Roman"/>
                <w:sz w:val="16"/>
              </w:rPr>
              <w:t>Rapidity</w:t>
            </w:r>
          </w:p>
        </w:tc>
        <w:tc>
          <w:tcPr>
            <w:tcW w:w="506" w:type="pct"/>
            <w:tcMar>
              <w:top w:w="50" w:type="dxa"/>
              <w:left w:w="55" w:type="dxa"/>
              <w:bottom w:w="50" w:type="dxa"/>
              <w:right w:w="55" w:type="dxa"/>
            </w:tcMar>
            <w:vAlign w:val="center"/>
          </w:tcPr>
          <w:p w14:paraId="71B2B704" w14:textId="77777777" w:rsidR="00C16AA8" w:rsidRDefault="00C16AA8" w:rsidP="00C16AA8">
            <w:pPr>
              <w:adjustRightInd w:val="0"/>
              <w:spacing w:line="240" w:lineRule="auto"/>
              <w:ind w:firstLineChars="0" w:firstLine="0"/>
              <w:jc w:val="center"/>
            </w:pPr>
            <w:r>
              <w:rPr>
                <w:rFonts w:eastAsia="Times New Roman"/>
                <w:sz w:val="16"/>
              </w:rPr>
              <w:t>c</w:t>
            </w:r>
          </w:p>
        </w:tc>
        <w:tc>
          <w:tcPr>
            <w:tcW w:w="281" w:type="pct"/>
            <w:tcMar>
              <w:top w:w="50" w:type="dxa"/>
              <w:left w:w="55" w:type="dxa"/>
              <w:bottom w:w="50" w:type="dxa"/>
              <w:right w:w="55" w:type="dxa"/>
            </w:tcMar>
            <w:vAlign w:val="center"/>
          </w:tcPr>
          <w:p w14:paraId="7023F7CF" w14:textId="77777777" w:rsidR="00C16AA8" w:rsidRDefault="00C16AA8" w:rsidP="00C16AA8">
            <w:pPr>
              <w:adjustRightInd w:val="0"/>
              <w:spacing w:line="240" w:lineRule="auto"/>
              <w:ind w:firstLineChars="0" w:firstLine="0"/>
              <w:jc w:val="center"/>
            </w:pPr>
            <w:r>
              <w:rPr>
                <w:rFonts w:eastAsia="Times New Roman"/>
                <w:sz w:val="16"/>
              </w:rPr>
              <w:t>C4</w:t>
            </w:r>
          </w:p>
        </w:tc>
        <w:tc>
          <w:tcPr>
            <w:tcW w:w="683" w:type="pct"/>
            <w:tcMar>
              <w:top w:w="50" w:type="dxa"/>
              <w:left w:w="55" w:type="dxa"/>
              <w:bottom w:w="50" w:type="dxa"/>
              <w:right w:w="55" w:type="dxa"/>
            </w:tcMar>
            <w:vAlign w:val="center"/>
          </w:tcPr>
          <w:p w14:paraId="2EE6AB93" w14:textId="77777777" w:rsidR="00C16AA8" w:rsidRDefault="00C16AA8" w:rsidP="00C16AA8">
            <w:pPr>
              <w:adjustRightInd w:val="0"/>
              <w:spacing w:line="240" w:lineRule="auto"/>
              <w:ind w:firstLineChars="0" w:firstLine="0"/>
              <w:jc w:val="center"/>
            </w:pPr>
            <w:r>
              <w:rPr>
                <w:rFonts w:eastAsia="Times New Roman"/>
                <w:sz w:val="16"/>
              </w:rPr>
              <w:t>Hospital beds per 10,000 people</w:t>
            </w:r>
          </w:p>
        </w:tc>
        <w:tc>
          <w:tcPr>
            <w:tcW w:w="1029" w:type="pct"/>
            <w:tcMar>
              <w:top w:w="50" w:type="dxa"/>
              <w:left w:w="55" w:type="dxa"/>
              <w:bottom w:w="50" w:type="dxa"/>
              <w:right w:w="55" w:type="dxa"/>
            </w:tcMar>
            <w:vAlign w:val="center"/>
          </w:tcPr>
          <w:p w14:paraId="6250E51E" w14:textId="77777777" w:rsidR="00C16AA8" w:rsidRDefault="00C16AA8" w:rsidP="00C16AA8">
            <w:pPr>
              <w:adjustRightInd w:val="0"/>
              <w:spacing w:line="240" w:lineRule="auto"/>
              <w:ind w:firstLineChars="0" w:firstLine="0"/>
              <w:jc w:val="center"/>
            </w:pPr>
            <w:r>
              <w:rPr>
                <w:rFonts w:eastAsia="Times New Roman"/>
                <w:sz w:val="16"/>
              </w:rPr>
              <w:t>Number of hospital beds per 10,000 residents (+)</w:t>
            </w:r>
          </w:p>
        </w:tc>
        <w:tc>
          <w:tcPr>
            <w:tcW w:w="554" w:type="pct"/>
            <w:tcMar>
              <w:top w:w="50" w:type="dxa"/>
              <w:left w:w="55" w:type="dxa"/>
              <w:bottom w:w="50" w:type="dxa"/>
              <w:right w:w="55" w:type="dxa"/>
            </w:tcMar>
            <w:vAlign w:val="center"/>
          </w:tcPr>
          <w:p w14:paraId="54728B03" w14:textId="77777777" w:rsidR="00C16AA8" w:rsidRDefault="00C16AA8" w:rsidP="00C16AA8">
            <w:pPr>
              <w:adjustRightInd w:val="0"/>
              <w:spacing w:line="240" w:lineRule="auto"/>
              <w:ind w:firstLineChars="0" w:firstLine="0"/>
              <w:jc w:val="center"/>
            </w:pPr>
            <w:r>
              <w:rPr>
                <w:rFonts w:eastAsia="Times New Roman"/>
                <w:sz w:val="16"/>
              </w:rPr>
              <w:t>beds / 10,000 people</w:t>
            </w:r>
          </w:p>
        </w:tc>
        <w:tc>
          <w:tcPr>
            <w:tcW w:w="722" w:type="pct"/>
            <w:tcMar>
              <w:top w:w="50" w:type="dxa"/>
              <w:left w:w="55" w:type="dxa"/>
              <w:bottom w:w="50" w:type="dxa"/>
              <w:right w:w="55" w:type="dxa"/>
            </w:tcMar>
            <w:vAlign w:val="center"/>
          </w:tcPr>
          <w:p w14:paraId="494BC722" w14:textId="77777777" w:rsidR="00C16AA8" w:rsidRDefault="00C16AA8" w:rsidP="00C16AA8">
            <w:pPr>
              <w:adjustRightInd w:val="0"/>
              <w:spacing w:line="240" w:lineRule="auto"/>
              <w:ind w:firstLineChars="0" w:firstLine="0"/>
              <w:jc w:val="center"/>
            </w:pPr>
            <w:r>
              <w:rPr>
                <w:rFonts w:eastAsia="Times New Roman"/>
                <w:sz w:val="16"/>
              </w:rPr>
              <w:t>China Urban Statistical Yearbook</w:t>
            </w:r>
          </w:p>
        </w:tc>
        <w:tc>
          <w:tcPr>
            <w:tcW w:w="527" w:type="pct"/>
            <w:vAlign w:val="center"/>
          </w:tcPr>
          <w:p w14:paraId="7B234368" w14:textId="49F64A89" w:rsidR="00C16AA8" w:rsidRDefault="00C16AA8" w:rsidP="00C16AA8">
            <w:pPr>
              <w:adjustRightInd w:val="0"/>
              <w:spacing w:line="240" w:lineRule="auto"/>
              <w:ind w:firstLineChars="0" w:firstLine="0"/>
              <w:jc w:val="center"/>
              <w:rPr>
                <w:rFonts w:eastAsia="Times New Roman"/>
                <w:sz w:val="16"/>
              </w:rPr>
            </w:pPr>
            <w:r w:rsidRPr="00C16AA8">
              <w:rPr>
                <w:rFonts w:eastAsia="Times New Roman" w:hint="eastAsia"/>
                <w:sz w:val="16"/>
              </w:rPr>
              <w:t>0.1620</w:t>
            </w:r>
          </w:p>
        </w:tc>
      </w:tr>
      <w:tr w:rsidR="00C16AA8" w14:paraId="7B47A83D" w14:textId="77777777" w:rsidTr="005B2E53">
        <w:trPr>
          <w:jc w:val="center"/>
        </w:trPr>
        <w:tc>
          <w:tcPr>
            <w:tcW w:w="699" w:type="pct"/>
            <w:tcMar>
              <w:top w:w="50" w:type="dxa"/>
              <w:left w:w="55" w:type="dxa"/>
              <w:bottom w:w="50" w:type="dxa"/>
              <w:right w:w="55" w:type="dxa"/>
            </w:tcMar>
            <w:vAlign w:val="center"/>
          </w:tcPr>
          <w:p w14:paraId="66101A58" w14:textId="77777777" w:rsidR="00C16AA8" w:rsidRDefault="00C16AA8" w:rsidP="00C16AA8">
            <w:pPr>
              <w:adjustRightInd w:val="0"/>
              <w:spacing w:line="240" w:lineRule="auto"/>
              <w:ind w:firstLineChars="0" w:firstLine="0"/>
              <w:jc w:val="center"/>
            </w:pPr>
            <w:r>
              <w:rPr>
                <w:rFonts w:eastAsia="Times New Roman"/>
                <w:sz w:val="16"/>
              </w:rPr>
              <w:t>Resourcefulness</w:t>
            </w:r>
          </w:p>
        </w:tc>
        <w:tc>
          <w:tcPr>
            <w:tcW w:w="506" w:type="pct"/>
            <w:tcMar>
              <w:top w:w="50" w:type="dxa"/>
              <w:left w:w="55" w:type="dxa"/>
              <w:bottom w:w="50" w:type="dxa"/>
              <w:right w:w="55" w:type="dxa"/>
            </w:tcMar>
            <w:vAlign w:val="center"/>
          </w:tcPr>
          <w:p w14:paraId="12CF9643" w14:textId="77777777" w:rsidR="00C16AA8" w:rsidRDefault="00C16AA8" w:rsidP="00C16AA8">
            <w:pPr>
              <w:adjustRightInd w:val="0"/>
              <w:spacing w:line="240" w:lineRule="auto"/>
              <w:ind w:firstLineChars="0" w:firstLine="0"/>
              <w:jc w:val="center"/>
            </w:pPr>
            <w:r>
              <w:rPr>
                <w:rFonts w:eastAsia="Times New Roman"/>
                <w:sz w:val="16"/>
              </w:rPr>
              <w:t>d</w:t>
            </w:r>
          </w:p>
        </w:tc>
        <w:tc>
          <w:tcPr>
            <w:tcW w:w="281" w:type="pct"/>
            <w:tcMar>
              <w:top w:w="50" w:type="dxa"/>
              <w:left w:w="55" w:type="dxa"/>
              <w:bottom w:w="50" w:type="dxa"/>
              <w:right w:w="55" w:type="dxa"/>
            </w:tcMar>
            <w:vAlign w:val="center"/>
          </w:tcPr>
          <w:p w14:paraId="40C43838" w14:textId="77777777" w:rsidR="00C16AA8" w:rsidRDefault="00C16AA8" w:rsidP="00C16AA8">
            <w:pPr>
              <w:adjustRightInd w:val="0"/>
              <w:spacing w:line="240" w:lineRule="auto"/>
              <w:ind w:firstLineChars="0" w:firstLine="0"/>
              <w:jc w:val="center"/>
            </w:pPr>
            <w:r>
              <w:rPr>
                <w:rFonts w:eastAsia="Times New Roman"/>
                <w:sz w:val="16"/>
              </w:rPr>
              <w:t>D1</w:t>
            </w:r>
          </w:p>
        </w:tc>
        <w:tc>
          <w:tcPr>
            <w:tcW w:w="683" w:type="pct"/>
            <w:tcMar>
              <w:top w:w="50" w:type="dxa"/>
              <w:left w:w="55" w:type="dxa"/>
              <w:bottom w:w="50" w:type="dxa"/>
              <w:right w:w="55" w:type="dxa"/>
            </w:tcMar>
            <w:vAlign w:val="center"/>
          </w:tcPr>
          <w:p w14:paraId="42AD98CE" w14:textId="77777777" w:rsidR="00C16AA8" w:rsidRDefault="00C16AA8" w:rsidP="00C16AA8">
            <w:pPr>
              <w:adjustRightInd w:val="0"/>
              <w:spacing w:line="240" w:lineRule="auto"/>
              <w:ind w:firstLineChars="0" w:firstLine="0"/>
              <w:jc w:val="center"/>
            </w:pPr>
            <w:r>
              <w:rPr>
                <w:rFonts w:eastAsia="Times New Roman"/>
                <w:sz w:val="16"/>
              </w:rPr>
              <w:t>Proportion of local fiscal expenditure on science and technology</w:t>
            </w:r>
          </w:p>
        </w:tc>
        <w:tc>
          <w:tcPr>
            <w:tcW w:w="1029" w:type="pct"/>
            <w:tcMar>
              <w:top w:w="50" w:type="dxa"/>
              <w:left w:w="55" w:type="dxa"/>
              <w:bottom w:w="50" w:type="dxa"/>
              <w:right w:w="55" w:type="dxa"/>
            </w:tcMar>
            <w:vAlign w:val="center"/>
          </w:tcPr>
          <w:p w14:paraId="18CBF639" w14:textId="77777777" w:rsidR="00C16AA8" w:rsidRDefault="00C16AA8" w:rsidP="00C16AA8">
            <w:pPr>
              <w:adjustRightInd w:val="0"/>
              <w:spacing w:line="240" w:lineRule="auto"/>
              <w:ind w:firstLineChars="0" w:firstLine="0"/>
              <w:jc w:val="center"/>
            </w:pPr>
            <w:r>
              <w:rPr>
                <w:rFonts w:eastAsia="Times New Roman"/>
                <w:sz w:val="16"/>
              </w:rPr>
              <w:t>Science and technology expenditure relative to local fiscal expenditure (+)</w:t>
            </w:r>
          </w:p>
        </w:tc>
        <w:tc>
          <w:tcPr>
            <w:tcW w:w="554" w:type="pct"/>
            <w:tcMar>
              <w:top w:w="50" w:type="dxa"/>
              <w:left w:w="55" w:type="dxa"/>
              <w:bottom w:w="50" w:type="dxa"/>
              <w:right w:w="55" w:type="dxa"/>
            </w:tcMar>
            <w:vAlign w:val="center"/>
          </w:tcPr>
          <w:p w14:paraId="63B1A4F3" w14:textId="77777777" w:rsidR="00C16AA8" w:rsidRDefault="00C16AA8" w:rsidP="00C16AA8">
            <w:pPr>
              <w:adjustRightInd w:val="0"/>
              <w:spacing w:line="240" w:lineRule="auto"/>
              <w:ind w:firstLineChars="0" w:firstLine="0"/>
              <w:jc w:val="center"/>
            </w:pPr>
            <w:r>
              <w:rPr>
                <w:rFonts w:eastAsia="Times New Roman"/>
                <w:sz w:val="16"/>
              </w:rPr>
              <w:t>%</w:t>
            </w:r>
          </w:p>
        </w:tc>
        <w:tc>
          <w:tcPr>
            <w:tcW w:w="722" w:type="pct"/>
            <w:tcMar>
              <w:top w:w="50" w:type="dxa"/>
              <w:left w:w="55" w:type="dxa"/>
              <w:bottom w:w="50" w:type="dxa"/>
              <w:right w:w="55" w:type="dxa"/>
            </w:tcMar>
            <w:vAlign w:val="center"/>
          </w:tcPr>
          <w:p w14:paraId="3111D99E" w14:textId="77777777" w:rsidR="00C16AA8" w:rsidRDefault="00C16AA8" w:rsidP="00C16AA8">
            <w:pPr>
              <w:adjustRightInd w:val="0"/>
              <w:spacing w:line="240" w:lineRule="auto"/>
              <w:ind w:firstLineChars="0" w:firstLine="0"/>
              <w:jc w:val="center"/>
            </w:pPr>
            <w:r>
              <w:rPr>
                <w:rFonts w:eastAsia="Times New Roman"/>
                <w:sz w:val="16"/>
              </w:rPr>
              <w:t>China Urban Construction Statistical Yearbook / harmonized city database</w:t>
            </w:r>
          </w:p>
        </w:tc>
        <w:tc>
          <w:tcPr>
            <w:tcW w:w="527" w:type="pct"/>
            <w:vAlign w:val="center"/>
          </w:tcPr>
          <w:p w14:paraId="14D645FD" w14:textId="0A054E51" w:rsidR="00C16AA8" w:rsidRDefault="00C16AA8" w:rsidP="00C16AA8">
            <w:pPr>
              <w:adjustRightInd w:val="0"/>
              <w:spacing w:line="240" w:lineRule="auto"/>
              <w:ind w:firstLineChars="0" w:firstLine="0"/>
              <w:jc w:val="center"/>
              <w:rPr>
                <w:rFonts w:eastAsia="Times New Roman"/>
                <w:sz w:val="16"/>
              </w:rPr>
            </w:pPr>
            <w:r w:rsidRPr="00C16AA8">
              <w:rPr>
                <w:rFonts w:eastAsia="Times New Roman" w:hint="eastAsia"/>
                <w:sz w:val="16"/>
              </w:rPr>
              <w:t>0.5603</w:t>
            </w:r>
          </w:p>
        </w:tc>
      </w:tr>
      <w:tr w:rsidR="00C16AA8" w14:paraId="46C2C408" w14:textId="77777777" w:rsidTr="005B2E53">
        <w:trPr>
          <w:jc w:val="center"/>
        </w:trPr>
        <w:tc>
          <w:tcPr>
            <w:tcW w:w="699" w:type="pct"/>
            <w:tcMar>
              <w:top w:w="50" w:type="dxa"/>
              <w:left w:w="55" w:type="dxa"/>
              <w:bottom w:w="50" w:type="dxa"/>
              <w:right w:w="55" w:type="dxa"/>
            </w:tcMar>
            <w:vAlign w:val="center"/>
          </w:tcPr>
          <w:p w14:paraId="070E283F" w14:textId="77777777" w:rsidR="00C16AA8" w:rsidRDefault="00C16AA8" w:rsidP="00C16AA8">
            <w:pPr>
              <w:adjustRightInd w:val="0"/>
              <w:spacing w:line="240" w:lineRule="auto"/>
              <w:ind w:firstLineChars="0" w:firstLine="0"/>
              <w:jc w:val="center"/>
            </w:pPr>
            <w:r>
              <w:rPr>
                <w:rFonts w:eastAsia="Times New Roman"/>
                <w:sz w:val="16"/>
              </w:rPr>
              <w:t>Resourcefulness</w:t>
            </w:r>
          </w:p>
        </w:tc>
        <w:tc>
          <w:tcPr>
            <w:tcW w:w="506" w:type="pct"/>
            <w:tcMar>
              <w:top w:w="50" w:type="dxa"/>
              <w:left w:w="55" w:type="dxa"/>
              <w:bottom w:w="50" w:type="dxa"/>
              <w:right w:w="55" w:type="dxa"/>
            </w:tcMar>
            <w:vAlign w:val="center"/>
          </w:tcPr>
          <w:p w14:paraId="452AA492" w14:textId="77777777" w:rsidR="00C16AA8" w:rsidRDefault="00C16AA8" w:rsidP="00C16AA8">
            <w:pPr>
              <w:adjustRightInd w:val="0"/>
              <w:spacing w:line="240" w:lineRule="auto"/>
              <w:ind w:firstLineChars="0" w:firstLine="0"/>
              <w:jc w:val="center"/>
            </w:pPr>
            <w:r>
              <w:rPr>
                <w:rFonts w:eastAsia="Times New Roman"/>
                <w:sz w:val="16"/>
              </w:rPr>
              <w:t>d</w:t>
            </w:r>
          </w:p>
        </w:tc>
        <w:tc>
          <w:tcPr>
            <w:tcW w:w="281" w:type="pct"/>
            <w:tcMar>
              <w:top w:w="50" w:type="dxa"/>
              <w:left w:w="55" w:type="dxa"/>
              <w:bottom w:w="50" w:type="dxa"/>
              <w:right w:w="55" w:type="dxa"/>
            </w:tcMar>
            <w:vAlign w:val="center"/>
          </w:tcPr>
          <w:p w14:paraId="0FF84AE9" w14:textId="77777777" w:rsidR="00C16AA8" w:rsidRDefault="00C16AA8" w:rsidP="00C16AA8">
            <w:pPr>
              <w:adjustRightInd w:val="0"/>
              <w:spacing w:line="240" w:lineRule="auto"/>
              <w:ind w:firstLineChars="0" w:firstLine="0"/>
              <w:jc w:val="center"/>
            </w:pPr>
            <w:r>
              <w:rPr>
                <w:rFonts w:eastAsia="Times New Roman"/>
                <w:sz w:val="16"/>
              </w:rPr>
              <w:t>D2</w:t>
            </w:r>
          </w:p>
        </w:tc>
        <w:tc>
          <w:tcPr>
            <w:tcW w:w="683" w:type="pct"/>
            <w:tcMar>
              <w:top w:w="50" w:type="dxa"/>
              <w:left w:w="55" w:type="dxa"/>
              <w:bottom w:w="50" w:type="dxa"/>
              <w:right w:w="55" w:type="dxa"/>
            </w:tcMar>
            <w:vAlign w:val="center"/>
          </w:tcPr>
          <w:p w14:paraId="435E8644" w14:textId="77777777" w:rsidR="00C16AA8" w:rsidRDefault="00C16AA8" w:rsidP="00C16AA8">
            <w:pPr>
              <w:adjustRightInd w:val="0"/>
              <w:spacing w:line="240" w:lineRule="auto"/>
              <w:ind w:firstLineChars="0" w:firstLine="0"/>
              <w:jc w:val="center"/>
            </w:pPr>
            <w:r>
              <w:rPr>
                <w:rFonts w:eastAsia="Times New Roman"/>
                <w:sz w:val="16"/>
              </w:rPr>
              <w:t>Share of tertiary-industry GDP</w:t>
            </w:r>
          </w:p>
        </w:tc>
        <w:tc>
          <w:tcPr>
            <w:tcW w:w="1029" w:type="pct"/>
            <w:tcMar>
              <w:top w:w="50" w:type="dxa"/>
              <w:left w:w="55" w:type="dxa"/>
              <w:bottom w:w="50" w:type="dxa"/>
              <w:right w:w="55" w:type="dxa"/>
            </w:tcMar>
            <w:vAlign w:val="center"/>
          </w:tcPr>
          <w:p w14:paraId="1C51AC55" w14:textId="77777777" w:rsidR="00C16AA8" w:rsidRDefault="00C16AA8" w:rsidP="00C16AA8">
            <w:pPr>
              <w:adjustRightInd w:val="0"/>
              <w:spacing w:line="240" w:lineRule="auto"/>
              <w:ind w:firstLineChars="0" w:firstLine="0"/>
              <w:jc w:val="center"/>
            </w:pPr>
            <w:r>
              <w:rPr>
                <w:rFonts w:eastAsia="Times New Roman"/>
                <w:sz w:val="16"/>
              </w:rPr>
              <w:t>Tertiary-industry output relative to total GDP (+)</w:t>
            </w:r>
          </w:p>
        </w:tc>
        <w:tc>
          <w:tcPr>
            <w:tcW w:w="554" w:type="pct"/>
            <w:tcMar>
              <w:top w:w="50" w:type="dxa"/>
              <w:left w:w="55" w:type="dxa"/>
              <w:bottom w:w="50" w:type="dxa"/>
              <w:right w:w="55" w:type="dxa"/>
            </w:tcMar>
            <w:vAlign w:val="center"/>
          </w:tcPr>
          <w:p w14:paraId="044CF341" w14:textId="77777777" w:rsidR="00C16AA8" w:rsidRDefault="00C16AA8" w:rsidP="00C16AA8">
            <w:pPr>
              <w:adjustRightInd w:val="0"/>
              <w:spacing w:line="240" w:lineRule="auto"/>
              <w:ind w:firstLineChars="0" w:firstLine="0"/>
              <w:jc w:val="center"/>
            </w:pPr>
            <w:r>
              <w:rPr>
                <w:rFonts w:eastAsia="Times New Roman"/>
                <w:sz w:val="16"/>
              </w:rPr>
              <w:t>%</w:t>
            </w:r>
          </w:p>
        </w:tc>
        <w:tc>
          <w:tcPr>
            <w:tcW w:w="722" w:type="pct"/>
            <w:tcMar>
              <w:top w:w="50" w:type="dxa"/>
              <w:left w:w="55" w:type="dxa"/>
              <w:bottom w:w="50" w:type="dxa"/>
              <w:right w:w="55" w:type="dxa"/>
            </w:tcMar>
            <w:vAlign w:val="center"/>
          </w:tcPr>
          <w:p w14:paraId="171CA4D6" w14:textId="77777777" w:rsidR="00C16AA8" w:rsidRDefault="00C16AA8" w:rsidP="00C16AA8">
            <w:pPr>
              <w:adjustRightInd w:val="0"/>
              <w:spacing w:line="240" w:lineRule="auto"/>
              <w:ind w:firstLineChars="0" w:firstLine="0"/>
              <w:jc w:val="center"/>
            </w:pPr>
            <w:r>
              <w:rPr>
                <w:rFonts w:eastAsia="Times New Roman"/>
                <w:sz w:val="16"/>
              </w:rPr>
              <w:t>China Urban Construction Statistical Yearbook / harmonized city database</w:t>
            </w:r>
          </w:p>
        </w:tc>
        <w:tc>
          <w:tcPr>
            <w:tcW w:w="527" w:type="pct"/>
            <w:vAlign w:val="center"/>
          </w:tcPr>
          <w:p w14:paraId="40EC5D44" w14:textId="20CFE807" w:rsidR="00C16AA8" w:rsidRDefault="00C16AA8" w:rsidP="00C16AA8">
            <w:pPr>
              <w:adjustRightInd w:val="0"/>
              <w:spacing w:line="240" w:lineRule="auto"/>
              <w:ind w:firstLineChars="0" w:firstLine="0"/>
              <w:jc w:val="center"/>
              <w:rPr>
                <w:rFonts w:eastAsia="Times New Roman"/>
                <w:sz w:val="16"/>
              </w:rPr>
            </w:pPr>
            <w:r w:rsidRPr="00C16AA8">
              <w:rPr>
                <w:rFonts w:eastAsia="Times New Roman" w:hint="eastAsia"/>
                <w:sz w:val="16"/>
              </w:rPr>
              <w:t>0.1524</w:t>
            </w:r>
          </w:p>
        </w:tc>
      </w:tr>
      <w:tr w:rsidR="00C16AA8" w14:paraId="78E5A4EA" w14:textId="77777777" w:rsidTr="005B2E53">
        <w:trPr>
          <w:jc w:val="center"/>
        </w:trPr>
        <w:tc>
          <w:tcPr>
            <w:tcW w:w="699" w:type="pct"/>
            <w:tcMar>
              <w:top w:w="50" w:type="dxa"/>
              <w:left w:w="55" w:type="dxa"/>
              <w:bottom w:w="50" w:type="dxa"/>
              <w:right w:w="55" w:type="dxa"/>
            </w:tcMar>
            <w:vAlign w:val="center"/>
          </w:tcPr>
          <w:p w14:paraId="38E747F0" w14:textId="77777777" w:rsidR="00C16AA8" w:rsidRDefault="00C16AA8" w:rsidP="00C16AA8">
            <w:pPr>
              <w:adjustRightInd w:val="0"/>
              <w:spacing w:line="240" w:lineRule="auto"/>
              <w:ind w:firstLineChars="0" w:firstLine="0"/>
              <w:jc w:val="center"/>
            </w:pPr>
            <w:r>
              <w:rPr>
                <w:rFonts w:eastAsia="Times New Roman"/>
                <w:sz w:val="16"/>
              </w:rPr>
              <w:t>Resourcefulness</w:t>
            </w:r>
          </w:p>
        </w:tc>
        <w:tc>
          <w:tcPr>
            <w:tcW w:w="506" w:type="pct"/>
            <w:tcMar>
              <w:top w:w="50" w:type="dxa"/>
              <w:left w:w="55" w:type="dxa"/>
              <w:bottom w:w="50" w:type="dxa"/>
              <w:right w:w="55" w:type="dxa"/>
            </w:tcMar>
            <w:vAlign w:val="center"/>
          </w:tcPr>
          <w:p w14:paraId="1BBFA4A5" w14:textId="77777777" w:rsidR="00C16AA8" w:rsidRDefault="00C16AA8" w:rsidP="00C16AA8">
            <w:pPr>
              <w:adjustRightInd w:val="0"/>
              <w:spacing w:line="240" w:lineRule="auto"/>
              <w:ind w:firstLineChars="0" w:firstLine="0"/>
              <w:jc w:val="center"/>
            </w:pPr>
            <w:r>
              <w:rPr>
                <w:rFonts w:eastAsia="Times New Roman"/>
                <w:sz w:val="16"/>
              </w:rPr>
              <w:t>d</w:t>
            </w:r>
          </w:p>
        </w:tc>
        <w:tc>
          <w:tcPr>
            <w:tcW w:w="281" w:type="pct"/>
            <w:tcMar>
              <w:top w:w="50" w:type="dxa"/>
              <w:left w:w="55" w:type="dxa"/>
              <w:bottom w:w="50" w:type="dxa"/>
              <w:right w:w="55" w:type="dxa"/>
            </w:tcMar>
            <w:vAlign w:val="center"/>
          </w:tcPr>
          <w:p w14:paraId="221C1B58" w14:textId="77777777" w:rsidR="00C16AA8" w:rsidRDefault="00C16AA8" w:rsidP="00C16AA8">
            <w:pPr>
              <w:adjustRightInd w:val="0"/>
              <w:spacing w:line="240" w:lineRule="auto"/>
              <w:ind w:firstLineChars="0" w:firstLine="0"/>
              <w:jc w:val="center"/>
            </w:pPr>
            <w:r>
              <w:rPr>
                <w:rFonts w:eastAsia="Times New Roman"/>
                <w:sz w:val="16"/>
              </w:rPr>
              <w:t>D3</w:t>
            </w:r>
          </w:p>
        </w:tc>
        <w:tc>
          <w:tcPr>
            <w:tcW w:w="683" w:type="pct"/>
            <w:tcMar>
              <w:top w:w="50" w:type="dxa"/>
              <w:left w:w="55" w:type="dxa"/>
              <w:bottom w:w="50" w:type="dxa"/>
              <w:right w:w="55" w:type="dxa"/>
            </w:tcMar>
            <w:vAlign w:val="center"/>
          </w:tcPr>
          <w:p w14:paraId="2B51CACC" w14:textId="77777777" w:rsidR="00C16AA8" w:rsidRDefault="00C16AA8" w:rsidP="00C16AA8">
            <w:pPr>
              <w:adjustRightInd w:val="0"/>
              <w:spacing w:line="240" w:lineRule="auto"/>
              <w:ind w:firstLineChars="0" w:firstLine="0"/>
              <w:jc w:val="center"/>
            </w:pPr>
            <w:r>
              <w:rPr>
                <w:rFonts w:eastAsia="Times New Roman"/>
                <w:sz w:val="16"/>
              </w:rPr>
              <w:t>Internet penetration rate</w:t>
            </w:r>
          </w:p>
        </w:tc>
        <w:tc>
          <w:tcPr>
            <w:tcW w:w="1029" w:type="pct"/>
            <w:tcMar>
              <w:top w:w="50" w:type="dxa"/>
              <w:left w:w="55" w:type="dxa"/>
              <w:bottom w:w="50" w:type="dxa"/>
              <w:right w:w="55" w:type="dxa"/>
            </w:tcMar>
            <w:vAlign w:val="center"/>
          </w:tcPr>
          <w:p w14:paraId="7BDDC70D" w14:textId="77777777" w:rsidR="00C16AA8" w:rsidRDefault="00C16AA8" w:rsidP="00C16AA8">
            <w:pPr>
              <w:adjustRightInd w:val="0"/>
              <w:spacing w:line="240" w:lineRule="auto"/>
              <w:ind w:firstLineChars="0" w:firstLine="0"/>
              <w:jc w:val="center"/>
            </w:pPr>
            <w:r>
              <w:rPr>
                <w:rFonts w:eastAsia="Times New Roman"/>
                <w:sz w:val="16"/>
              </w:rPr>
              <w:t>Internet users relative to population (+)</w:t>
            </w:r>
          </w:p>
        </w:tc>
        <w:tc>
          <w:tcPr>
            <w:tcW w:w="554" w:type="pct"/>
            <w:tcMar>
              <w:top w:w="50" w:type="dxa"/>
              <w:left w:w="55" w:type="dxa"/>
              <w:bottom w:w="50" w:type="dxa"/>
              <w:right w:w="55" w:type="dxa"/>
            </w:tcMar>
            <w:vAlign w:val="center"/>
          </w:tcPr>
          <w:p w14:paraId="062A40DA" w14:textId="77777777" w:rsidR="00C16AA8" w:rsidRDefault="00C16AA8" w:rsidP="00C16AA8">
            <w:pPr>
              <w:adjustRightInd w:val="0"/>
              <w:spacing w:line="240" w:lineRule="auto"/>
              <w:ind w:firstLineChars="0" w:firstLine="0"/>
              <w:jc w:val="center"/>
            </w:pPr>
            <w:r>
              <w:rPr>
                <w:rFonts w:eastAsia="Times New Roman"/>
                <w:sz w:val="16"/>
              </w:rPr>
              <w:t>%</w:t>
            </w:r>
          </w:p>
        </w:tc>
        <w:tc>
          <w:tcPr>
            <w:tcW w:w="722" w:type="pct"/>
            <w:tcMar>
              <w:top w:w="50" w:type="dxa"/>
              <w:left w:w="55" w:type="dxa"/>
              <w:bottom w:w="50" w:type="dxa"/>
              <w:right w:w="55" w:type="dxa"/>
            </w:tcMar>
            <w:vAlign w:val="center"/>
          </w:tcPr>
          <w:p w14:paraId="1E0699E1" w14:textId="77777777" w:rsidR="00C16AA8" w:rsidRDefault="00C16AA8" w:rsidP="00C16AA8">
            <w:pPr>
              <w:adjustRightInd w:val="0"/>
              <w:spacing w:line="240" w:lineRule="auto"/>
              <w:ind w:firstLineChars="0" w:firstLine="0"/>
              <w:jc w:val="center"/>
            </w:pPr>
            <w:r>
              <w:rPr>
                <w:rFonts w:eastAsia="Times New Roman"/>
                <w:sz w:val="16"/>
              </w:rPr>
              <w:t>China Urban Construction Statistical Yearbook / harmonized city database</w:t>
            </w:r>
          </w:p>
        </w:tc>
        <w:tc>
          <w:tcPr>
            <w:tcW w:w="527" w:type="pct"/>
            <w:vAlign w:val="center"/>
          </w:tcPr>
          <w:p w14:paraId="7E4A066E" w14:textId="55A3BBDF" w:rsidR="00C16AA8" w:rsidRDefault="00C16AA8" w:rsidP="00C16AA8">
            <w:pPr>
              <w:adjustRightInd w:val="0"/>
              <w:spacing w:line="240" w:lineRule="auto"/>
              <w:ind w:firstLineChars="0" w:firstLine="0"/>
              <w:jc w:val="center"/>
              <w:rPr>
                <w:rFonts w:eastAsia="Times New Roman"/>
                <w:sz w:val="16"/>
              </w:rPr>
            </w:pPr>
            <w:r w:rsidRPr="00C16AA8">
              <w:rPr>
                <w:rFonts w:eastAsia="Times New Roman" w:hint="eastAsia"/>
                <w:sz w:val="16"/>
              </w:rPr>
              <w:t>0.2873</w:t>
            </w:r>
          </w:p>
        </w:tc>
      </w:tr>
    </w:tbl>
    <w:p w14:paraId="28CEE2B2" w14:textId="7D590404" w:rsidR="00C16AA8" w:rsidRPr="00C16AA8" w:rsidRDefault="00C16AA8" w:rsidP="00C16AA8">
      <w:pPr>
        <w:widowControl/>
        <w:ind w:firstLineChars="0" w:firstLine="0"/>
        <w:rPr>
          <w:rFonts w:eastAsiaTheme="minorEastAsia"/>
          <w:sz w:val="18"/>
          <w:szCs w:val="16"/>
        </w:rPr>
      </w:pPr>
      <w:r w:rsidRPr="00C16AA8">
        <w:rPr>
          <w:rFonts w:eastAsiaTheme="minorEastAsia"/>
          <w:b/>
          <w:bCs/>
          <w:sz w:val="18"/>
          <w:szCs w:val="16"/>
        </w:rPr>
        <w:t>Note</w:t>
      </w:r>
      <w:r w:rsidRPr="00C16AA8">
        <w:rPr>
          <w:rFonts w:eastAsiaTheme="minorEastAsia"/>
          <w:sz w:val="18"/>
          <w:szCs w:val="16"/>
        </w:rPr>
        <w:t>: Objective weights are rounded for presentation; therefore, displayed values may not sum exactly to 1.</w:t>
      </w:r>
    </w:p>
    <w:p w14:paraId="5F59E9A6" w14:textId="0547A699" w:rsidR="00922F4A" w:rsidRDefault="00000000">
      <w:pPr>
        <w:widowControl/>
        <w:ind w:firstLine="480"/>
      </w:pPr>
      <w:r>
        <w:rPr>
          <w:rFonts w:eastAsia="Times New Roman"/>
        </w:rPr>
        <w:t>Access information for the principal statistical sources:</w:t>
      </w:r>
    </w:p>
    <w:p w14:paraId="17656B49" w14:textId="20051433" w:rsidR="00922F4A" w:rsidRDefault="00922F4A" w:rsidP="00647965">
      <w:pPr>
        <w:pStyle w:val="ad"/>
        <w:widowControl/>
        <w:numPr>
          <w:ilvl w:val="0"/>
          <w:numId w:val="24"/>
        </w:numPr>
        <w:ind w:firstLineChars="0"/>
      </w:pPr>
      <w:hyperlink r:id="rId8">
        <w:r w:rsidRPr="00647965">
          <w:rPr>
            <w:color w:val="0563C1"/>
            <w:sz w:val="20"/>
            <w:u w:val="single"/>
          </w:rPr>
          <w:t>Daily gridded precipitation dataset (Han et al. 2023)</w:t>
        </w:r>
      </w:hyperlink>
    </w:p>
    <w:p w14:paraId="28D18B2A" w14:textId="493881E5" w:rsidR="00922F4A" w:rsidRDefault="00922F4A" w:rsidP="00647965">
      <w:pPr>
        <w:pStyle w:val="ad"/>
        <w:widowControl/>
        <w:numPr>
          <w:ilvl w:val="0"/>
          <w:numId w:val="24"/>
        </w:numPr>
        <w:ind w:firstLineChars="0"/>
      </w:pPr>
      <w:hyperlink r:id="rId9">
        <w:r w:rsidRPr="00647965">
          <w:rPr>
            <w:color w:val="0563C1"/>
            <w:sz w:val="20"/>
            <w:u w:val="single"/>
          </w:rPr>
          <w:t>China Urban Construction Statistical Yearbook</w:t>
        </w:r>
      </w:hyperlink>
    </w:p>
    <w:p w14:paraId="09D49437" w14:textId="6D1084E4" w:rsidR="00922F4A" w:rsidRDefault="00922F4A" w:rsidP="00647965">
      <w:pPr>
        <w:pStyle w:val="ad"/>
        <w:widowControl/>
        <w:numPr>
          <w:ilvl w:val="0"/>
          <w:numId w:val="24"/>
        </w:numPr>
        <w:ind w:firstLineChars="0"/>
      </w:pPr>
      <w:hyperlink r:id="rId10">
        <w:r w:rsidRPr="00647965">
          <w:rPr>
            <w:color w:val="0563C1"/>
            <w:sz w:val="20"/>
            <w:u w:val="single"/>
          </w:rPr>
          <w:t>China Urban Statistical Yearbook</w:t>
        </w:r>
      </w:hyperlink>
    </w:p>
    <w:p w14:paraId="3B46C02C" w14:textId="464CBDB6" w:rsidR="00922F4A" w:rsidRDefault="00922F4A" w:rsidP="00647965">
      <w:pPr>
        <w:pStyle w:val="ad"/>
        <w:widowControl/>
        <w:numPr>
          <w:ilvl w:val="0"/>
          <w:numId w:val="24"/>
        </w:numPr>
        <w:ind w:firstLineChars="0"/>
      </w:pPr>
      <w:hyperlink r:id="rId11">
        <w:r w:rsidRPr="00647965">
          <w:rPr>
            <w:color w:val="0563C1"/>
            <w:sz w:val="20"/>
            <w:u w:val="single"/>
          </w:rPr>
          <w:t>China Water Statistical Yearbook</w:t>
        </w:r>
      </w:hyperlink>
    </w:p>
    <w:p w14:paraId="244728AF" w14:textId="4A928BE4" w:rsidR="00922F4A" w:rsidRDefault="00922F4A" w:rsidP="00647965">
      <w:pPr>
        <w:pStyle w:val="ad"/>
        <w:widowControl/>
        <w:numPr>
          <w:ilvl w:val="0"/>
          <w:numId w:val="24"/>
        </w:numPr>
        <w:ind w:firstLineChars="0"/>
      </w:pPr>
      <w:hyperlink r:id="rId12">
        <w:r w:rsidRPr="00647965">
          <w:rPr>
            <w:color w:val="0563C1"/>
            <w:sz w:val="20"/>
            <w:u w:val="single"/>
          </w:rPr>
          <w:t>Example of a municipal Final Fiscal Accounts Report (Beijing, 2022)</w:t>
        </w:r>
      </w:hyperlink>
    </w:p>
    <w:p w14:paraId="58F08D1A" w14:textId="77777777" w:rsidR="00922F4A" w:rsidRDefault="00000000" w:rsidP="00454F8A">
      <w:pPr>
        <w:pStyle w:val="2"/>
      </w:pPr>
      <w:bookmarkStart w:id="1" w:name="_Toc240017607"/>
      <w:r>
        <w:t>Scenario-dependent extreme-rainfall shock indicator</w:t>
      </w:r>
      <w:bookmarkEnd w:id="1"/>
    </w:p>
    <w:p w14:paraId="65E62038" w14:textId="0EBDC197" w:rsidR="00F530F9" w:rsidRPr="00F530F9" w:rsidRDefault="00F530F9" w:rsidP="00F530F9">
      <w:pPr>
        <w:widowControl/>
        <w:ind w:firstLine="480"/>
        <w:rPr>
          <w:rFonts w:eastAsia="Times New Roman"/>
        </w:rPr>
      </w:pPr>
      <w:r w:rsidRPr="00F530F9">
        <w:rPr>
          <w:rFonts w:eastAsia="Times New Roman"/>
        </w:rPr>
        <w:t xml:space="preserve">The first robustness indicator (A1), denoted as </w:t>
      </w:r>
      <w:proofErr w:type="spellStart"/>
      <w:r w:rsidRPr="00F530F9">
        <w:rPr>
          <w:rFonts w:eastAsia="Times New Roman"/>
          <w:i/>
          <w:iCs/>
        </w:rPr>
        <w:t>Prep_shock</w:t>
      </w:r>
      <w:proofErr w:type="spellEnd"/>
      <w:r w:rsidRPr="00F530F9">
        <w:rPr>
          <w:rFonts w:eastAsia="Times New Roman"/>
        </w:rPr>
        <w:t>, represents the effective external rainfall shock experienced by urban functions. It combines the relative exceedance of rainfall intensity over local defense capacity with the spatial distribution of urban exposure. The calculation is first conducted at the grid scale and then aggregated to the city level.</w:t>
      </w:r>
    </w:p>
    <w:p w14:paraId="486EE214" w14:textId="20B87AED" w:rsidR="00F530F9" w:rsidRDefault="00F530F9" w:rsidP="00F530F9">
      <w:pPr>
        <w:widowControl/>
        <w:ind w:firstLine="480"/>
        <w:rPr>
          <w:rFonts w:eastAsiaTheme="minorEastAsia"/>
        </w:rPr>
      </w:pPr>
      <w:r w:rsidRPr="00F530F9">
        <w:rPr>
          <w:rFonts w:eastAsia="Times New Roman"/>
        </w:rPr>
        <w:t xml:space="preserve">For grid </w:t>
      </w:r>
      <m:oMath>
        <m:r>
          <w:rPr>
            <w:rFonts w:ascii="Cambria Math" w:eastAsia="Times New Roman" w:hAnsi="Cambria Math"/>
          </w:rPr>
          <m:t>g</m:t>
        </m:r>
      </m:oMath>
      <w:r>
        <w:rPr>
          <w:rFonts w:eastAsiaTheme="minorEastAsia" w:hint="eastAsia"/>
        </w:rPr>
        <w:t xml:space="preserve"> </w:t>
      </w:r>
      <w:r w:rsidRPr="00F530F9">
        <w:rPr>
          <w:rFonts w:eastAsia="Times New Roman"/>
        </w:rPr>
        <w:t xml:space="preserve">under return-period scenario </w:t>
      </w:r>
      <m:oMath>
        <m:r>
          <w:rPr>
            <w:rFonts w:ascii="Cambria Math" w:eastAsia="Times New Roman" w:hAnsi="Cambria Math"/>
          </w:rPr>
          <m:t>s</m:t>
        </m:r>
      </m:oMath>
      <w:r w:rsidRPr="00F530F9">
        <w:rPr>
          <w:rFonts w:eastAsia="Times New Roman"/>
        </w:rPr>
        <w:t>, the hazard component is defined as:</w:t>
      </w:r>
    </w:p>
    <w:p w14:paraId="2AF147A4" w14:textId="782762EF" w:rsidR="00F530F9" w:rsidRPr="00F530F9" w:rsidRDefault="00F530F9" w:rsidP="00F530F9">
      <w:pPr>
        <w:pStyle w:val="a6"/>
        <w:rPr>
          <w:rFonts w:eastAsiaTheme="minorEastAsia"/>
        </w:rPr>
      </w:pPr>
      <w:r>
        <w:rPr>
          <w:rFonts w:eastAsiaTheme="minorEastAsia"/>
        </w:rPr>
        <w:lastRenderedPageBreak/>
        <w:tab/>
      </w:r>
      <m:oMath>
        <m:sSub>
          <m:sSubPr>
            <m:ctrlPr>
              <w:rPr>
                <w:rFonts w:ascii="Cambria Math" w:hAnsi="Cambria Math"/>
              </w:rPr>
            </m:ctrlPr>
          </m:sSubPr>
          <m:e>
            <m:r>
              <w:rPr>
                <w:rFonts w:ascii="Cambria Math" w:hAnsi="Cambria Math"/>
              </w:rPr>
              <m:t>H</m:t>
            </m:r>
          </m:e>
          <m:sub>
            <m:r>
              <w:rPr>
                <w:rFonts w:ascii="Cambria Math" w:hAnsi="Cambria Math"/>
              </w:rPr>
              <m:t>g,s</m:t>
            </m:r>
          </m:sub>
        </m:sSub>
        <m:r>
          <w:rPr>
            <w:rFonts w:ascii="Cambria Math" w:hAnsi="Cambria Math"/>
          </w:rPr>
          <m:t>=</m:t>
        </m:r>
        <m:func>
          <m:funcPr>
            <m:ctrlPr>
              <w:rPr>
                <w:rFonts w:ascii="Cambria Math" w:hAnsi="Cambria Math"/>
              </w:rPr>
            </m:ctrlPr>
          </m:funcPr>
          <m:fName>
            <m:r>
              <m:rPr>
                <m:sty m:val="p"/>
              </m:rPr>
              <w:rPr>
                <w:rFonts w:ascii="Cambria Math" w:hAnsi="Cambria Math"/>
              </w:rPr>
              <m:t>max</m:t>
            </m:r>
          </m:fName>
          <m:e>
            <m:d>
              <m:dPr>
                <m:begChr m:val="["/>
                <m:sepChr m:val=","/>
                <m:endChr m:val="]"/>
                <m:ctrlPr>
                  <w:rPr>
                    <w:rFonts w:ascii="Cambria Math" w:hAnsi="Cambria Math"/>
                  </w:rPr>
                </m:ctrlPr>
              </m:dPr>
              <m:e>
                <m:r>
                  <w:rPr>
                    <w:rFonts w:ascii="Cambria Math" w:hAnsi="Cambria Math"/>
                  </w:rPr>
                  <m:t>0</m:t>
                </m:r>
              </m:e>
              <m:e>
                <m:f>
                  <m:fPr>
                    <m:ctrlPr>
                      <w:rPr>
                        <w:rFonts w:ascii="Cambria Math" w:hAnsi="Cambria Math"/>
                      </w:rPr>
                    </m:ctrlPr>
                  </m:fPr>
                  <m:num>
                    <m:sSub>
                      <m:sSubPr>
                        <m:ctrlPr>
                          <w:rPr>
                            <w:rFonts w:ascii="Cambria Math" w:hAnsi="Cambria Math"/>
                          </w:rPr>
                        </m:ctrlPr>
                      </m:sSubPr>
                      <m:e>
                        <m:r>
                          <w:rPr>
                            <w:rFonts w:ascii="Cambria Math" w:hAnsi="Cambria Math"/>
                          </w:rPr>
                          <m:t>R</m:t>
                        </m:r>
                      </m:e>
                      <m:sub>
                        <m:r>
                          <w:rPr>
                            <w:rFonts w:ascii="Cambria Math" w:hAnsi="Cambria Math"/>
                          </w:rPr>
                          <m:t>g,s</m:t>
                        </m:r>
                      </m:sub>
                    </m:sSub>
                    <m:r>
                      <w:rPr>
                        <w:rFonts w:ascii="Cambria Math" w:hAnsi="Cambria Math"/>
                      </w:rPr>
                      <m:t>-</m:t>
                    </m:r>
                    <m:sSub>
                      <m:sSubPr>
                        <m:ctrlPr>
                          <w:rPr>
                            <w:rFonts w:ascii="Cambria Math" w:hAnsi="Cambria Math"/>
                          </w:rPr>
                        </m:ctrlPr>
                      </m:sSubPr>
                      <m:e>
                        <m:r>
                          <w:rPr>
                            <w:rFonts w:ascii="Cambria Math" w:hAnsi="Cambria Math"/>
                          </w:rPr>
                          <m:t>C</m:t>
                        </m:r>
                      </m:e>
                      <m:sub>
                        <m:r>
                          <w:rPr>
                            <w:rFonts w:ascii="Cambria Math" w:hAnsi="Cambria Math"/>
                          </w:rPr>
                          <m:t>g</m:t>
                        </m:r>
                      </m:sub>
                    </m:sSub>
                  </m:num>
                  <m:den>
                    <m:sSub>
                      <m:sSubPr>
                        <m:ctrlPr>
                          <w:rPr>
                            <w:rFonts w:ascii="Cambria Math" w:hAnsi="Cambria Math"/>
                          </w:rPr>
                        </m:ctrlPr>
                      </m:sSubPr>
                      <m:e>
                        <m:r>
                          <w:rPr>
                            <w:rFonts w:ascii="Cambria Math" w:hAnsi="Cambria Math"/>
                          </w:rPr>
                          <m:t>C</m:t>
                        </m:r>
                      </m:e>
                      <m:sub>
                        <m:r>
                          <w:rPr>
                            <w:rFonts w:ascii="Cambria Math" w:hAnsi="Cambria Math"/>
                          </w:rPr>
                          <m:t>g</m:t>
                        </m:r>
                      </m:sub>
                    </m:sSub>
                  </m:den>
                </m:f>
              </m:e>
            </m:d>
          </m:e>
        </m:func>
      </m:oMath>
      <w:r>
        <w:rPr>
          <w:rFonts w:eastAsiaTheme="minorEastAsia"/>
        </w:rPr>
        <w:tab/>
      </w:r>
      <w:r>
        <w:rPr>
          <w:rFonts w:eastAsiaTheme="minorEastAsia" w:hint="eastAsia"/>
        </w:rPr>
        <w:t>(S1)</w:t>
      </w:r>
    </w:p>
    <w:p w14:paraId="25483518" w14:textId="40415DE1" w:rsidR="00F530F9" w:rsidRPr="00F530F9" w:rsidRDefault="00F530F9" w:rsidP="00F530F9">
      <w:pPr>
        <w:widowControl/>
        <w:ind w:firstLine="480"/>
        <w:rPr>
          <w:rFonts w:eastAsia="Times New Roman"/>
        </w:rPr>
      </w:pPr>
      <w:r w:rsidRPr="00F530F9">
        <w:rPr>
          <w:rFonts w:eastAsia="Times New Roman"/>
        </w:rPr>
        <w:t xml:space="preserve">where </w:t>
      </w:r>
      <m:oMath>
        <m:sSub>
          <m:sSubPr>
            <m:ctrlPr>
              <w:rPr>
                <w:rFonts w:ascii="Cambria Math" w:eastAsia="Times New Roman" w:hAnsi="Cambria Math"/>
              </w:rPr>
            </m:ctrlPr>
          </m:sSubPr>
          <m:e>
            <m:r>
              <w:rPr>
                <w:rFonts w:ascii="Cambria Math" w:eastAsia="Times New Roman" w:hAnsi="Cambria Math"/>
              </w:rPr>
              <m:t>R</m:t>
            </m:r>
          </m:e>
          <m:sub>
            <m:r>
              <w:rPr>
                <w:rFonts w:ascii="Cambria Math" w:eastAsia="Times New Roman" w:hAnsi="Cambria Math"/>
              </w:rPr>
              <m:t>g,s</m:t>
            </m:r>
          </m:sub>
        </m:sSub>
      </m:oMath>
      <w:r>
        <w:rPr>
          <w:rFonts w:eastAsiaTheme="minorEastAsia" w:hint="eastAsia"/>
        </w:rPr>
        <w:t xml:space="preserve"> </w:t>
      </w:r>
      <w:r w:rsidRPr="00F530F9">
        <w:rPr>
          <w:rFonts w:eastAsia="Times New Roman"/>
        </w:rPr>
        <w:t xml:space="preserve">is the rainfall intensity under scenario </w:t>
      </w:r>
      <m:oMath>
        <m:r>
          <w:rPr>
            <w:rFonts w:ascii="Cambria Math" w:eastAsia="Times New Roman" w:hAnsi="Cambria Math"/>
          </w:rPr>
          <m:t>s</m:t>
        </m:r>
      </m:oMath>
      <w:r w:rsidRPr="00F530F9">
        <w:rPr>
          <w:rFonts w:eastAsia="Times New Roman"/>
        </w:rPr>
        <w:t xml:space="preserve">, and </w:t>
      </w:r>
      <m:oMath>
        <m:sSub>
          <m:sSubPr>
            <m:ctrlPr>
              <w:rPr>
                <w:rFonts w:ascii="Cambria Math" w:eastAsia="Times New Roman" w:hAnsi="Cambria Math"/>
              </w:rPr>
            </m:ctrlPr>
          </m:sSubPr>
          <m:e>
            <m:r>
              <w:rPr>
                <w:rFonts w:ascii="Cambria Math" w:eastAsia="Times New Roman" w:hAnsi="Cambria Math"/>
              </w:rPr>
              <m:t>C</m:t>
            </m:r>
          </m:e>
          <m:sub>
            <m:r>
              <w:rPr>
                <w:rFonts w:ascii="Cambria Math" w:eastAsia="Times New Roman" w:hAnsi="Cambria Math"/>
              </w:rPr>
              <m:t>g</m:t>
            </m:r>
          </m:sub>
        </m:sSub>
      </m:oMath>
      <w:r>
        <w:rPr>
          <w:rFonts w:eastAsiaTheme="minorEastAsia" w:hint="eastAsia"/>
        </w:rPr>
        <w:t xml:space="preserve"> </w:t>
      </w:r>
      <w:r w:rsidRPr="00F530F9">
        <w:rPr>
          <w:rFonts w:eastAsia="Times New Roman"/>
        </w:rPr>
        <w:t>is the rainfall intensity corresponding to the local drainage or flood-defense capacity. Rainfall below the local defense threshold therefore produces no effective shock, whereas rainfall exceeding the threshold is represented by its relative exceedance.</w:t>
      </w:r>
    </w:p>
    <w:p w14:paraId="5E29950F" w14:textId="77777777" w:rsidR="00F530F9" w:rsidRDefault="00F530F9" w:rsidP="00F530F9">
      <w:pPr>
        <w:widowControl/>
        <w:ind w:firstLine="480"/>
        <w:rPr>
          <w:rFonts w:eastAsiaTheme="minorEastAsia"/>
        </w:rPr>
      </w:pPr>
      <w:r w:rsidRPr="00F530F9">
        <w:rPr>
          <w:rFonts w:eastAsia="Times New Roman"/>
        </w:rPr>
        <w:t>Urban exposure is represented using the spatial distribution of economically weighted POIs. The raw POI-based exposure density is first aggregated within each grid and subsequently transformed as:</w:t>
      </w:r>
    </w:p>
    <w:p w14:paraId="7C485B41" w14:textId="5F8709A1" w:rsidR="00F530F9" w:rsidRPr="00F530F9" w:rsidRDefault="00F530F9" w:rsidP="00F530F9">
      <w:pPr>
        <w:pStyle w:val="a6"/>
        <w:rPr>
          <w:rFonts w:eastAsiaTheme="minorEastAsia"/>
        </w:rPr>
      </w:pPr>
      <w:r>
        <w:rPr>
          <w:rFonts w:eastAsiaTheme="minorEastAsia"/>
        </w:rPr>
        <w:tab/>
      </w:r>
      <m:oMath>
        <m:sSub>
          <m:sSubPr>
            <m:ctrlPr>
              <w:rPr>
                <w:rFonts w:ascii="Cambria Math" w:hAnsi="Cambria Math"/>
              </w:rPr>
            </m:ctrlPr>
          </m:sSubPr>
          <m:e>
            <m:r>
              <w:rPr>
                <w:rFonts w:ascii="Cambria Math" w:hAnsi="Cambria Math"/>
              </w:rPr>
              <m:t>E</m:t>
            </m:r>
          </m:e>
          <m:sub>
            <m:r>
              <w:rPr>
                <w:rFonts w:ascii="Cambria Math" w:hAnsi="Cambria Math"/>
              </w:rPr>
              <m:t>g,i</m:t>
            </m:r>
          </m:sub>
        </m:sSub>
        <m:r>
          <w:rPr>
            <w:rFonts w:ascii="Cambria Math" w:hAnsi="Cambria Math"/>
          </w:rPr>
          <m:t>=</m:t>
        </m:r>
        <m:func>
          <m:funcPr>
            <m:ctrlPr>
              <w:rPr>
                <w:rFonts w:ascii="Cambria Math" w:hAnsi="Cambria Math"/>
              </w:rPr>
            </m:ctrlPr>
          </m:funcPr>
          <m:fName>
            <m:r>
              <m:rPr>
                <m:sty m:val="p"/>
              </m:rPr>
              <w:rPr>
                <w:rFonts w:ascii="Cambria Math" w:hAnsi="Cambria Math"/>
              </w:rPr>
              <m:t>ln</m:t>
            </m:r>
          </m:fName>
          <m:e>
            <m:d>
              <m:dPr>
                <m:ctrlPr>
                  <w:rPr>
                    <w:rFonts w:ascii="Cambria Math" w:hAnsi="Cambria Math"/>
                  </w:rPr>
                </m:ctrlPr>
              </m:dPr>
              <m:e>
                <m:r>
                  <w:rPr>
                    <w:rFonts w:ascii="Cambria Math" w:hAnsi="Cambria Math"/>
                  </w:rPr>
                  <m:t>1+</m:t>
                </m:r>
                <m:sSub>
                  <m:sSubPr>
                    <m:ctrlPr>
                      <w:rPr>
                        <w:rFonts w:ascii="Cambria Math" w:hAnsi="Cambria Math"/>
                      </w:rPr>
                    </m:ctrlPr>
                  </m:sSubPr>
                  <m:e>
                    <m:r>
                      <w:rPr>
                        <w:rFonts w:ascii="Cambria Math" w:hAnsi="Cambria Math"/>
                      </w:rPr>
                      <m:t>D</m:t>
                    </m:r>
                  </m:e>
                  <m:sub>
                    <m:r>
                      <w:rPr>
                        <w:rFonts w:ascii="Cambria Math" w:hAnsi="Cambria Math"/>
                      </w:rPr>
                      <m:t>g,i</m:t>
                    </m:r>
                  </m:sub>
                </m:sSub>
              </m:e>
            </m:d>
          </m:e>
        </m:func>
      </m:oMath>
      <w:r>
        <w:rPr>
          <w:rFonts w:eastAsiaTheme="minorEastAsia"/>
        </w:rPr>
        <w:tab/>
      </w:r>
      <w:r>
        <w:rPr>
          <w:rFonts w:eastAsiaTheme="minorEastAsia" w:hint="eastAsia"/>
        </w:rPr>
        <w:t>(S2)</w:t>
      </w:r>
    </w:p>
    <w:p w14:paraId="7EE1C1A6" w14:textId="60E74D50" w:rsidR="00F530F9" w:rsidRPr="00F530F9" w:rsidRDefault="00F530F9" w:rsidP="00F530F9">
      <w:pPr>
        <w:widowControl/>
        <w:ind w:firstLine="480"/>
        <w:rPr>
          <w:rFonts w:eastAsia="Times New Roman"/>
        </w:rPr>
      </w:pPr>
      <w:r w:rsidRPr="00F530F9">
        <w:rPr>
          <w:rFonts w:eastAsia="Times New Roman"/>
        </w:rPr>
        <w:t xml:space="preserve">where </w:t>
      </w:r>
      <m:oMath>
        <m:sSub>
          <m:sSubPr>
            <m:ctrlPr>
              <w:rPr>
                <w:rFonts w:ascii="Cambria Math" w:eastAsia="Times New Roman" w:hAnsi="Cambria Math"/>
              </w:rPr>
            </m:ctrlPr>
          </m:sSubPr>
          <m:e>
            <m:r>
              <w:rPr>
                <w:rFonts w:ascii="Cambria Math" w:eastAsia="Times New Roman" w:hAnsi="Cambria Math"/>
              </w:rPr>
              <m:t>D</m:t>
            </m:r>
          </m:e>
          <m:sub>
            <m:r>
              <w:rPr>
                <w:rFonts w:ascii="Cambria Math" w:eastAsia="Times New Roman" w:hAnsi="Cambria Math"/>
              </w:rPr>
              <m:t>g,i</m:t>
            </m:r>
          </m:sub>
        </m:sSub>
      </m:oMath>
      <w:r>
        <w:rPr>
          <w:rFonts w:eastAsiaTheme="minorEastAsia" w:hint="eastAsia"/>
        </w:rPr>
        <w:t xml:space="preserve"> </w:t>
      </w:r>
      <w:r w:rsidRPr="00F530F9">
        <w:rPr>
          <w:rFonts w:eastAsia="Times New Roman"/>
        </w:rPr>
        <w:t xml:space="preserve">denotes the aggregated raw POI-based exposure density of grid </w:t>
      </w:r>
      <m:oMath>
        <m:r>
          <w:rPr>
            <w:rFonts w:ascii="Cambria Math" w:eastAsia="Times New Roman" w:hAnsi="Cambria Math"/>
          </w:rPr>
          <m:t>g</m:t>
        </m:r>
      </m:oMath>
      <w:r>
        <w:rPr>
          <w:rFonts w:eastAsiaTheme="minorEastAsia" w:hint="eastAsia"/>
        </w:rPr>
        <w:t xml:space="preserve"> </w:t>
      </w:r>
      <w:r w:rsidRPr="00F530F9">
        <w:rPr>
          <w:rFonts w:eastAsia="Times New Roman"/>
        </w:rPr>
        <w:t xml:space="preserve">in city </w:t>
      </w:r>
      <m:oMath>
        <m:r>
          <w:rPr>
            <w:rFonts w:ascii="Cambria Math" w:eastAsia="Times New Roman" w:hAnsi="Cambria Math"/>
          </w:rPr>
          <m:t>i</m:t>
        </m:r>
      </m:oMath>
      <w:r w:rsidRPr="00F530F9">
        <w:rPr>
          <w:rFonts w:eastAsia="Times New Roman"/>
        </w:rPr>
        <w:t xml:space="preserve">. The logarithmic transformation is applied after spatial aggregation to reduce excessive concentration while retaining differences in the spatial distribution of urban functions. </w:t>
      </w:r>
    </w:p>
    <w:p w14:paraId="35CEF305" w14:textId="77777777" w:rsidR="00F530F9" w:rsidRDefault="00F530F9" w:rsidP="00F530F9">
      <w:pPr>
        <w:widowControl/>
        <w:ind w:firstLine="480"/>
        <w:rPr>
          <w:rFonts w:eastAsiaTheme="minorEastAsia"/>
        </w:rPr>
      </w:pPr>
      <w:r w:rsidRPr="00F530F9">
        <w:rPr>
          <w:rFonts w:eastAsia="Times New Roman"/>
        </w:rPr>
        <w:t xml:space="preserve">The city-level </w:t>
      </w:r>
      <w:proofErr w:type="spellStart"/>
      <w:r w:rsidRPr="00F530F9">
        <w:rPr>
          <w:rFonts w:eastAsia="Times New Roman"/>
          <w:i/>
          <w:iCs/>
        </w:rPr>
        <w:t>Prep_shock</w:t>
      </w:r>
      <w:proofErr w:type="spellEnd"/>
      <w:r w:rsidRPr="00F530F9">
        <w:rPr>
          <w:rFonts w:eastAsia="Times New Roman"/>
        </w:rPr>
        <w:t xml:space="preserve"> is finally calculated as the exposure-weighted mean of the grid-level rainfall hazard:</w:t>
      </w:r>
    </w:p>
    <w:p w14:paraId="49C89A56" w14:textId="777CCCD1" w:rsidR="00F530F9" w:rsidRPr="00F530F9" w:rsidRDefault="00F530F9" w:rsidP="00F530F9">
      <w:pPr>
        <w:pStyle w:val="a6"/>
        <w:rPr>
          <w:rFonts w:eastAsiaTheme="minorEastAsia"/>
        </w:rPr>
      </w:pPr>
      <w:r>
        <w:rPr>
          <w:rFonts w:eastAsiaTheme="minorEastAsia"/>
          <w:iCs/>
        </w:rPr>
        <w:tab/>
      </w:r>
      <m:oMath>
        <m:r>
          <w:rPr>
            <w:rFonts w:ascii="Cambria Math" w:hAnsi="Cambria Math"/>
          </w:rPr>
          <m:t>Prep</m:t>
        </m:r>
        <m:r>
          <m:rPr>
            <m:lit/>
            <m:sty m:val="p"/>
          </m:rPr>
          <w:rPr>
            <w:rFonts w:ascii="Cambria Math" w:hAnsi="Cambria Math"/>
          </w:rPr>
          <m:t>_</m:t>
        </m:r>
        <m:r>
          <w:rPr>
            <w:rFonts w:ascii="Cambria Math" w:hAnsi="Cambria Math"/>
          </w:rPr>
          <m:t>shoc</m:t>
        </m:r>
        <m:sSub>
          <m:sSubPr>
            <m:ctrlPr>
              <w:rPr>
                <w:rFonts w:ascii="Cambria Math" w:hAnsi="Cambria Math"/>
              </w:rPr>
            </m:ctrlPr>
          </m:sSubPr>
          <m:e>
            <m:r>
              <w:rPr>
                <w:rFonts w:ascii="Cambria Math" w:hAnsi="Cambria Math"/>
              </w:rPr>
              <m:t>k</m:t>
            </m:r>
          </m:e>
          <m:sub>
            <m:r>
              <w:rPr>
                <w:rFonts w:ascii="Cambria Math" w:hAnsi="Cambria Math"/>
              </w:rPr>
              <m:t>i</m:t>
            </m:r>
            <m:r>
              <m:rPr>
                <m:sty m:val="p"/>
              </m:rPr>
              <w:rPr>
                <w:rFonts w:ascii="Cambria Math" w:hAnsi="Cambria Math"/>
              </w:rPr>
              <m:t>,</m:t>
            </m:r>
            <m:r>
              <w:rPr>
                <w:rFonts w:ascii="Cambria Math" w:hAnsi="Cambria Math"/>
              </w:rPr>
              <m:t>s</m:t>
            </m:r>
          </m:sub>
        </m:sSub>
        <m:r>
          <m:rPr>
            <m:sty m:val="p"/>
          </m:rPr>
          <w:rPr>
            <w:rFonts w:ascii="Cambria Math" w:hAnsi="Cambria Math"/>
          </w:rPr>
          <m:t>=</m:t>
        </m:r>
        <m:f>
          <m:fPr>
            <m:ctrlPr>
              <w:rPr>
                <w:rFonts w:ascii="Cambria Math" w:hAnsi="Cambria Math"/>
              </w:rPr>
            </m:ctrlPr>
          </m:fPr>
          <m:num>
            <m:nary>
              <m:naryPr>
                <m:chr m:val="∑"/>
                <m:limLoc m:val="undOvr"/>
                <m:grow m:val="1"/>
                <m:supHide m:val="1"/>
                <m:ctrlPr>
                  <w:rPr>
                    <w:rFonts w:ascii="Cambria Math" w:hAnsi="Cambria Math"/>
                  </w:rPr>
                </m:ctrlPr>
              </m:naryPr>
              <m:sub>
                <m:r>
                  <w:rPr>
                    <w:rFonts w:ascii="Cambria Math" w:hAnsi="Cambria Math"/>
                  </w:rPr>
                  <m:t>g</m:t>
                </m:r>
                <m:r>
                  <m:rPr>
                    <m:sty m:val="p"/>
                  </m:rPr>
                  <w:rPr>
                    <w:rFonts w:ascii="Cambria Math" w:hAnsi="Cambria Math"/>
                  </w:rPr>
                  <m:t>∈</m:t>
                </m:r>
                <m:r>
                  <w:rPr>
                    <w:rFonts w:ascii="Cambria Math" w:hAnsi="Cambria Math"/>
                  </w:rPr>
                  <m:t>i</m:t>
                </m:r>
              </m:sub>
              <m:sup/>
              <m:e>
                <m:sSub>
                  <m:sSubPr>
                    <m:ctrlPr>
                      <w:rPr>
                        <w:rFonts w:ascii="Cambria Math" w:hAnsi="Cambria Math"/>
                      </w:rPr>
                    </m:ctrlPr>
                  </m:sSubPr>
                  <m:e>
                    <m:r>
                      <w:rPr>
                        <w:rFonts w:ascii="Cambria Math" w:hAnsi="Cambria Math"/>
                      </w:rPr>
                      <m:t>H</m:t>
                    </m:r>
                  </m:e>
                  <m:sub>
                    <m:r>
                      <w:rPr>
                        <w:rFonts w:ascii="Cambria Math" w:hAnsi="Cambria Math"/>
                      </w:rPr>
                      <m:t>g</m:t>
                    </m:r>
                    <m:r>
                      <m:rPr>
                        <m:sty m:val="p"/>
                      </m:rPr>
                      <w:rPr>
                        <w:rFonts w:ascii="Cambria Math" w:hAnsi="Cambria Math"/>
                      </w:rPr>
                      <m:t>,</m:t>
                    </m:r>
                    <m:r>
                      <w:rPr>
                        <w:rFonts w:ascii="Cambria Math" w:hAnsi="Cambria Math"/>
                      </w:rPr>
                      <m:t>s</m:t>
                    </m:r>
                  </m:sub>
                </m:sSub>
              </m:e>
            </m:nary>
            <m:sSub>
              <m:sSubPr>
                <m:ctrlPr>
                  <w:rPr>
                    <w:rFonts w:ascii="Cambria Math" w:hAnsi="Cambria Math"/>
                  </w:rPr>
                </m:ctrlPr>
              </m:sSubPr>
              <m:e>
                <m:r>
                  <w:rPr>
                    <w:rFonts w:ascii="Cambria Math" w:hAnsi="Cambria Math"/>
                  </w:rPr>
                  <m:t>E</m:t>
                </m:r>
              </m:e>
              <m:sub>
                <m:r>
                  <w:rPr>
                    <w:rFonts w:ascii="Cambria Math" w:hAnsi="Cambria Math"/>
                  </w:rPr>
                  <m:t>g</m:t>
                </m:r>
                <m:r>
                  <m:rPr>
                    <m:sty m:val="p"/>
                  </m:rPr>
                  <w:rPr>
                    <w:rFonts w:ascii="Cambria Math" w:hAnsi="Cambria Math"/>
                  </w:rPr>
                  <m:t>,</m:t>
                </m:r>
                <m:r>
                  <w:rPr>
                    <w:rFonts w:ascii="Cambria Math" w:hAnsi="Cambria Math"/>
                  </w:rPr>
                  <m:t>i</m:t>
                </m:r>
              </m:sub>
            </m:sSub>
          </m:num>
          <m:den>
            <m:nary>
              <m:naryPr>
                <m:chr m:val="∑"/>
                <m:limLoc m:val="undOvr"/>
                <m:grow m:val="1"/>
                <m:supHide m:val="1"/>
                <m:ctrlPr>
                  <w:rPr>
                    <w:rFonts w:ascii="Cambria Math" w:hAnsi="Cambria Math"/>
                  </w:rPr>
                </m:ctrlPr>
              </m:naryPr>
              <m:sub>
                <m:r>
                  <w:rPr>
                    <w:rFonts w:ascii="Cambria Math" w:hAnsi="Cambria Math"/>
                  </w:rPr>
                  <m:t>g</m:t>
                </m:r>
                <m:r>
                  <m:rPr>
                    <m:sty m:val="p"/>
                  </m:rPr>
                  <w:rPr>
                    <w:rFonts w:ascii="Cambria Math" w:hAnsi="Cambria Math"/>
                  </w:rPr>
                  <m:t>∈</m:t>
                </m:r>
                <m:r>
                  <w:rPr>
                    <w:rFonts w:ascii="Cambria Math" w:hAnsi="Cambria Math"/>
                  </w:rPr>
                  <m:t>i</m:t>
                </m:r>
              </m:sub>
              <m:sup/>
              <m:e>
                <m:sSub>
                  <m:sSubPr>
                    <m:ctrlPr>
                      <w:rPr>
                        <w:rFonts w:ascii="Cambria Math" w:hAnsi="Cambria Math"/>
                      </w:rPr>
                    </m:ctrlPr>
                  </m:sSubPr>
                  <m:e>
                    <m:r>
                      <w:rPr>
                        <w:rFonts w:ascii="Cambria Math" w:hAnsi="Cambria Math"/>
                      </w:rPr>
                      <m:t>E</m:t>
                    </m:r>
                  </m:e>
                  <m:sub>
                    <m:r>
                      <w:rPr>
                        <w:rFonts w:ascii="Cambria Math" w:hAnsi="Cambria Math"/>
                      </w:rPr>
                      <m:t>g</m:t>
                    </m:r>
                    <m:r>
                      <m:rPr>
                        <m:sty m:val="p"/>
                      </m:rPr>
                      <w:rPr>
                        <w:rFonts w:ascii="Cambria Math" w:hAnsi="Cambria Math"/>
                      </w:rPr>
                      <m:t>,</m:t>
                    </m:r>
                    <m:r>
                      <w:rPr>
                        <w:rFonts w:ascii="Cambria Math" w:hAnsi="Cambria Math"/>
                      </w:rPr>
                      <m:t>i</m:t>
                    </m:r>
                  </m:sub>
                </m:sSub>
              </m:e>
            </m:nary>
          </m:den>
        </m:f>
      </m:oMath>
      <w:r>
        <w:rPr>
          <w:rFonts w:eastAsiaTheme="minorEastAsia"/>
        </w:rPr>
        <w:tab/>
      </w:r>
      <w:r>
        <w:rPr>
          <w:rFonts w:eastAsiaTheme="minorEastAsia" w:hint="eastAsia"/>
        </w:rPr>
        <w:t>(S3)</w:t>
      </w:r>
    </w:p>
    <w:p w14:paraId="26B93DF2" w14:textId="5143EAFA" w:rsidR="00922F4A" w:rsidRPr="00B25E0D" w:rsidRDefault="00F530F9" w:rsidP="00F530F9">
      <w:pPr>
        <w:widowControl/>
        <w:ind w:firstLine="480"/>
        <w:rPr>
          <w:rFonts w:eastAsia="Times New Roman"/>
        </w:rPr>
      </w:pPr>
      <w:r w:rsidRPr="00F530F9">
        <w:rPr>
          <w:rFonts w:eastAsia="Times New Roman"/>
        </w:rPr>
        <w:t xml:space="preserve">where </w:t>
      </w:r>
      <m:oMath>
        <m:r>
          <w:rPr>
            <w:rFonts w:ascii="Cambria Math" w:eastAsia="Times New Roman" w:hAnsi="Cambria Math"/>
          </w:rPr>
          <m:t>Prep</m:t>
        </m:r>
        <m:r>
          <m:rPr>
            <m:lit/>
          </m:rPr>
          <w:rPr>
            <w:rFonts w:ascii="Cambria Math" w:eastAsia="Times New Roman" w:hAnsi="Cambria Math"/>
          </w:rPr>
          <m:t>_</m:t>
        </m:r>
        <m:r>
          <w:rPr>
            <w:rFonts w:ascii="Cambria Math" w:eastAsia="Times New Roman" w:hAnsi="Cambria Math"/>
          </w:rPr>
          <m:t>shoc</m:t>
        </m:r>
        <m:sSub>
          <m:sSubPr>
            <m:ctrlPr>
              <w:rPr>
                <w:rFonts w:ascii="Cambria Math" w:eastAsia="Times New Roman" w:hAnsi="Cambria Math"/>
              </w:rPr>
            </m:ctrlPr>
          </m:sSubPr>
          <m:e>
            <m:r>
              <w:rPr>
                <w:rFonts w:ascii="Cambria Math" w:eastAsia="Times New Roman" w:hAnsi="Cambria Math"/>
              </w:rPr>
              <m:t>k</m:t>
            </m:r>
          </m:e>
          <m:sub>
            <m:r>
              <w:rPr>
                <w:rFonts w:ascii="Cambria Math" w:eastAsia="Times New Roman" w:hAnsi="Cambria Math"/>
              </w:rPr>
              <m:t>i,s</m:t>
            </m:r>
          </m:sub>
        </m:sSub>
      </m:oMath>
      <w:r>
        <w:rPr>
          <w:rFonts w:eastAsiaTheme="minorEastAsia" w:hint="eastAsia"/>
        </w:rPr>
        <w:t xml:space="preserve"> </w:t>
      </w:r>
      <w:r w:rsidRPr="00F530F9">
        <w:rPr>
          <w:rFonts w:eastAsia="Times New Roman"/>
        </w:rPr>
        <w:t xml:space="preserve">is the dimensionless effective rainfall shock for city </w:t>
      </w:r>
      <m:oMath>
        <m:r>
          <w:rPr>
            <w:rFonts w:ascii="Cambria Math" w:eastAsia="Times New Roman" w:hAnsi="Cambria Math"/>
          </w:rPr>
          <m:t>i</m:t>
        </m:r>
      </m:oMath>
      <w:r>
        <w:rPr>
          <w:rFonts w:eastAsiaTheme="minorEastAsia" w:hint="eastAsia"/>
        </w:rPr>
        <w:t xml:space="preserve"> </w:t>
      </w:r>
      <w:r w:rsidRPr="00F530F9">
        <w:rPr>
          <w:rFonts w:eastAsia="Times New Roman"/>
        </w:rPr>
        <w:t xml:space="preserve">under return-period scenario </w:t>
      </w:r>
      <m:oMath>
        <m:r>
          <w:rPr>
            <w:rFonts w:ascii="Cambria Math" w:eastAsia="Times New Roman" w:hAnsi="Cambria Math"/>
          </w:rPr>
          <m:t>s</m:t>
        </m:r>
      </m:oMath>
      <w:r w:rsidRPr="00F530F9">
        <w:rPr>
          <w:rFonts w:eastAsia="Times New Roman"/>
        </w:rPr>
        <w:t>. Higher values indicate that a larger relative rainfall exceedance occurs in areas with greater concentrations of exposed urban functions. In the CRM application,</w:t>
      </w:r>
      <w:r w:rsidR="007633D4" w:rsidRPr="007633D4">
        <w:t xml:space="preserve"> </w:t>
      </w:r>
      <w:r w:rsidR="007633D4" w:rsidRPr="007633D4">
        <w:rPr>
          <w:rFonts w:eastAsia="Times New Roman"/>
        </w:rPr>
        <w:t>the total urban system is considered</w:t>
      </w:r>
      <w:r w:rsidRPr="00F530F9">
        <w:rPr>
          <w:rFonts w:eastAsia="Times New Roman"/>
        </w:rPr>
        <w:t xml:space="preserve"> and </w:t>
      </w:r>
      <m:oMath>
        <m:r>
          <w:rPr>
            <w:rFonts w:ascii="Cambria Math" w:eastAsia="Times New Roman" w:hAnsi="Cambria Math"/>
          </w:rPr>
          <m:t>s</m:t>
        </m:r>
      </m:oMath>
      <w:r w:rsidR="00A2522D">
        <w:rPr>
          <w:rFonts w:eastAsiaTheme="minorEastAsia" w:hint="eastAsia"/>
        </w:rPr>
        <w:t xml:space="preserve"> </w:t>
      </w:r>
      <w:r w:rsidRPr="00F530F9">
        <w:rPr>
          <w:rFonts w:eastAsia="Times New Roman"/>
        </w:rPr>
        <w:t>corresponds to the 10-, 100-, and 500-year rainfall scenarios</w:t>
      </w:r>
      <w:r>
        <w:rPr>
          <w:rFonts w:eastAsia="Times New Roman"/>
        </w:rPr>
        <w:t>.</w:t>
      </w:r>
    </w:p>
    <w:p w14:paraId="2B8A26C3" w14:textId="77777777" w:rsidR="00922F4A" w:rsidRDefault="00000000">
      <w:pPr>
        <w:pStyle w:val="1"/>
        <w:spacing w:before="163" w:after="163"/>
      </w:pPr>
      <w:bookmarkStart w:id="2" w:name="_Toc240017608"/>
      <w:r>
        <w:rPr>
          <w:rFonts w:eastAsia="Times New Roman"/>
        </w:rPr>
        <w:t>Combined objective weighting method</w:t>
      </w:r>
      <w:bookmarkEnd w:id="2"/>
    </w:p>
    <w:p w14:paraId="07370FF8" w14:textId="40D333AF" w:rsidR="00E065AF" w:rsidRPr="0083220F" w:rsidRDefault="00E065AF" w:rsidP="00E065AF">
      <w:pPr>
        <w:widowControl/>
        <w:ind w:firstLine="480"/>
        <w:rPr>
          <w:rFonts w:eastAsiaTheme="minorEastAsia"/>
        </w:rPr>
      </w:pPr>
      <w:r w:rsidRPr="00E065AF">
        <w:rPr>
          <w:rFonts w:eastAsia="Times New Roman"/>
        </w:rPr>
        <w:t xml:space="preserve">A fixed set of objective weights is estimated from the strictly balanced master panel and applied consistently throughout the empirical analysis. The weighting procedure combines the entropy-weighting principle, which measures the information provided by the dispersion of each indicator, with the CRITIC approach, which additionally considers contrast intensity and inter-indicator dependence </w:t>
      </w:r>
      <w:r w:rsidR="001974FC">
        <w:rPr>
          <w:rFonts w:eastAsia="Times New Roman"/>
        </w:rPr>
        <w:fldChar w:fldCharType="begin"/>
      </w:r>
      <w:r w:rsidR="001974FC">
        <w:rPr>
          <w:rFonts w:eastAsia="Times New Roman"/>
        </w:rPr>
        <w:instrText xml:space="preserve"> ADDIN ZOTERO_ITEM CSL_CITATION {"citationID":"meBlYRbl","properties":{"unsorted":false,"formattedCitation":"(Diakoulaki et al., 1995; Shannon, 1948)","plainCitation":"(Diakoulaki et al., 1995; Shannon, 1948)","noteIndex":0},"citationItems":[{"id":301,"uris":["http://zotero.org/users/10401942/items/9I5MV48V"],"itemData":{"id":301,"type":"article-journal","abstract":"The association of weights in multiple criteria problems is a critical stage of the whole decision making process. In some decision situations the extraction of subjective preferences is either difficult or undesirable. This paper proposes a method for the determination of objective weights which is based on the quantification of two fundamental notions of MCDM: the contrast intensity and the conflicting character of the evaluation criteria. The latter notion is of great importance in interfirm comparisons because the financial indices used are often highly correlated. The method developed is applied to a sample of industrial firms. The results are compared to those obtained by other sets of objective weights and show this method ensures a better compromise of the criteria examined.","container-title":"Computers &amp; Operations Research","DOI":"10.1016/0305-0548(94)00059-H","ISSN":"0305-0548","issue":"7","journalAbbreviation":"Computers &amp; Operations Research","page":"763-770","source":"ScienceDirect","title":"Determining objective weights in multiple criteria problems: The critic method","title-short":"Determining objective weights in multiple criteria problems","volume":"22","author":[{"family":"Diakoulaki","given":"D."},{"family":"Mavrotas","given":"G."},{"family":"Papayannakis","given":"L."}],"issued":{"date-parts":[["1995",8,1]]}}},{"id":3921,"uris":["http://zotero.org/users/10401942/items/9LWKJEQI"],"itemData":{"id":3921,"type":"article-journal","container-title":"Bell System Technical Journal","DOI":"10.1002/j.1538-7305.1948.tb01338.x","ISSN":"1538-7305","issue":"3","language":"en","license":"© 1948 The Bell System Technical Journal","page":"379-423","source":"Wiley Online Library","title":"A Mathematical Theory of Communication","volume":"27","author":[{"family":"Shannon","given":"C. E."}],"issued":{"date-parts":[["1948"]]}}}],"schema":"https://github.com/citation-style-language/schema/raw/master/csl-citation.json"} </w:instrText>
      </w:r>
      <w:r w:rsidR="001974FC">
        <w:rPr>
          <w:rFonts w:eastAsia="Times New Roman"/>
        </w:rPr>
        <w:fldChar w:fldCharType="separate"/>
      </w:r>
      <w:r w:rsidR="001974FC" w:rsidRPr="001974FC">
        <w:rPr>
          <w:rFonts w:cs="Times New Roman"/>
        </w:rPr>
        <w:t>(Diakoulaki et al., 1995; Shannon, 1948)</w:t>
      </w:r>
      <w:r w:rsidR="001974FC">
        <w:rPr>
          <w:rFonts w:eastAsia="Times New Roman"/>
        </w:rPr>
        <w:fldChar w:fldCharType="end"/>
      </w:r>
      <w:r w:rsidRPr="00E065AF">
        <w:rPr>
          <w:rFonts w:eastAsia="Times New Roman"/>
        </w:rPr>
        <w:t xml:space="preserve">. To improve sensitivity to relative dispersion, the standard deviation term in the original CRITIC formulation is replaced by the coefficient of variation, while absolute correlations are used to characterize inter-indicator conflict. The combined weights are calculated separately within each of the four CRM attributes </w:t>
      </w:r>
      <w:r w:rsidRPr="00E065AF">
        <w:rPr>
          <w:rFonts w:eastAsia="Times New Roman"/>
        </w:rPr>
        <w:lastRenderedPageBreak/>
        <w:t>and remain fixed across cities and rainfall scenarios. This avoids changes in parameter values being induced by repeated recalculation of the weighting structure.</w:t>
      </w:r>
    </w:p>
    <w:p w14:paraId="666C4ACC" w14:textId="77777777" w:rsidR="00E065AF" w:rsidRPr="00E065AF" w:rsidRDefault="00E065AF" w:rsidP="001974FC">
      <w:pPr>
        <w:widowControl/>
        <w:ind w:left="482" w:firstLineChars="0" w:firstLine="0"/>
        <w:rPr>
          <w:rFonts w:eastAsia="Times New Roman"/>
          <w:b/>
          <w:bCs/>
        </w:rPr>
      </w:pPr>
      <w:r w:rsidRPr="00E065AF">
        <w:rPr>
          <w:rFonts w:eastAsia="Times New Roman"/>
          <w:b/>
          <w:bCs/>
        </w:rPr>
        <w:t>(1) Entropy information</w:t>
      </w:r>
    </w:p>
    <w:p w14:paraId="637E6CAB" w14:textId="68C6E390" w:rsidR="00E065AF" w:rsidRDefault="00E065AF" w:rsidP="00E065AF">
      <w:pPr>
        <w:widowControl/>
        <w:ind w:firstLine="480"/>
        <w:rPr>
          <w:rFonts w:eastAsiaTheme="minorEastAsia"/>
        </w:rPr>
      </w:pPr>
      <w:r w:rsidRPr="00E065AF">
        <w:rPr>
          <w:rFonts w:eastAsia="Times New Roman"/>
        </w:rPr>
        <w:t xml:space="preserve">For a normalized value </w:t>
      </w:r>
      <m:oMath>
        <m:sSub>
          <m:sSubPr>
            <m:ctrlPr>
              <w:rPr>
                <w:rFonts w:ascii="Cambria Math" w:eastAsia="Times New Roman" w:hAnsi="Cambria Math"/>
              </w:rPr>
            </m:ctrlPr>
          </m:sSubPr>
          <m:e>
            <m:r>
              <w:rPr>
                <w:rFonts w:ascii="Cambria Math" w:eastAsia="Times New Roman" w:hAnsi="Cambria Math"/>
              </w:rPr>
              <m:t>z</m:t>
            </m:r>
          </m:e>
          <m:sub>
            <m:r>
              <w:rPr>
                <w:rFonts w:ascii="Cambria Math" w:eastAsia="Times New Roman" w:hAnsi="Cambria Math"/>
              </w:rPr>
              <m:t>ij</m:t>
            </m:r>
          </m:sub>
        </m:sSub>
      </m:oMath>
      <w:r w:rsidR="001974FC">
        <w:rPr>
          <w:rFonts w:eastAsiaTheme="minorEastAsia" w:hint="eastAsia"/>
        </w:rPr>
        <w:t xml:space="preserve"> </w:t>
      </w:r>
      <w:r w:rsidRPr="00E065AF">
        <w:rPr>
          <w:rFonts w:eastAsia="Times New Roman"/>
        </w:rPr>
        <w:t xml:space="preserve">of indicator </w:t>
      </w:r>
      <m:oMath>
        <m:r>
          <w:rPr>
            <w:rFonts w:ascii="Cambria Math" w:eastAsia="Times New Roman" w:hAnsi="Cambria Math"/>
          </w:rPr>
          <m:t>j</m:t>
        </m:r>
      </m:oMath>
      <w:r w:rsidR="00DE398B">
        <w:rPr>
          <w:rFonts w:eastAsiaTheme="minorEastAsia" w:hint="eastAsia"/>
        </w:rPr>
        <w:t xml:space="preserve"> </w:t>
      </w:r>
      <w:r w:rsidRPr="00E065AF">
        <w:rPr>
          <w:rFonts w:eastAsia="Times New Roman"/>
        </w:rPr>
        <w:t xml:space="preserve">for observation </w:t>
      </w:r>
      <m:oMath>
        <m:r>
          <w:rPr>
            <w:rFonts w:ascii="Cambria Math" w:eastAsia="Times New Roman" w:hAnsi="Cambria Math"/>
          </w:rPr>
          <m:t>i</m:t>
        </m:r>
      </m:oMath>
      <w:r w:rsidRPr="00E065AF">
        <w:rPr>
          <w:rFonts w:eastAsia="Times New Roman"/>
        </w:rPr>
        <w:t xml:space="preserve">, the proportional value </w:t>
      </w:r>
      <m:oMath>
        <m:sSub>
          <m:sSubPr>
            <m:ctrlPr>
              <w:rPr>
                <w:rFonts w:ascii="Cambria Math" w:eastAsia="Times New Roman" w:hAnsi="Cambria Math"/>
              </w:rPr>
            </m:ctrlPr>
          </m:sSubPr>
          <m:e>
            <m:r>
              <w:rPr>
                <w:rFonts w:ascii="Cambria Math" w:eastAsia="Times New Roman" w:hAnsi="Cambria Math"/>
              </w:rPr>
              <m:t>p</m:t>
            </m:r>
          </m:e>
          <m:sub>
            <m:r>
              <w:rPr>
                <w:rFonts w:ascii="Cambria Math" w:eastAsia="Times New Roman" w:hAnsi="Cambria Math"/>
              </w:rPr>
              <m:t>ij</m:t>
            </m:r>
          </m:sub>
        </m:sSub>
      </m:oMath>
      <w:r w:rsidR="001974FC">
        <w:rPr>
          <w:rFonts w:eastAsiaTheme="minorEastAsia" w:hint="eastAsia"/>
        </w:rPr>
        <w:t xml:space="preserve"> </w:t>
      </w:r>
      <w:r w:rsidRPr="00E065AF">
        <w:rPr>
          <w:rFonts w:eastAsia="Times New Roman"/>
        </w:rPr>
        <w:t>is calculated as:</w:t>
      </w:r>
    </w:p>
    <w:p w14:paraId="041BBFEE" w14:textId="2225570F" w:rsidR="00E065AF" w:rsidRPr="001974FC" w:rsidRDefault="001974FC" w:rsidP="001974FC">
      <w:pPr>
        <w:pStyle w:val="a6"/>
        <w:rPr>
          <w:rFonts w:eastAsiaTheme="minorEastAsia"/>
        </w:rPr>
      </w:pPr>
      <w:r>
        <w:rPr>
          <w:rFonts w:eastAsiaTheme="minorEastAsia"/>
        </w:rPr>
        <w:tab/>
      </w:r>
      <m:oMath>
        <m:sSub>
          <m:sSubPr>
            <m:ctrlPr>
              <w:rPr>
                <w:rFonts w:ascii="Cambria Math" w:hAnsi="Cambria Math"/>
              </w:rPr>
            </m:ctrlPr>
          </m:sSubPr>
          <m:e>
            <m:r>
              <w:rPr>
                <w:rFonts w:ascii="Cambria Math" w:hAnsi="Cambria Math"/>
              </w:rPr>
              <m:t>p</m:t>
            </m:r>
          </m:e>
          <m:sub>
            <m:r>
              <w:rPr>
                <w:rFonts w:ascii="Cambria Math" w:hAnsi="Cambria Math"/>
              </w:rPr>
              <m:t>ij</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z</m:t>
                </m:r>
              </m:e>
              <m:sub>
                <m:r>
                  <w:rPr>
                    <w:rFonts w:ascii="Cambria Math" w:hAnsi="Cambria Math"/>
                  </w:rPr>
                  <m:t>ij</m:t>
                </m:r>
              </m:sub>
            </m:sSub>
            <m:r>
              <m:rPr>
                <m:sty m:val="p"/>
              </m:rPr>
              <w:rPr>
                <w:rFonts w:ascii="Cambria Math" w:hAnsi="Cambria Math"/>
              </w:rPr>
              <m:t>+</m:t>
            </m:r>
            <m:r>
              <w:rPr>
                <w:rFonts w:ascii="Cambria Math" w:hAnsi="Cambria Math"/>
              </w:rPr>
              <m:t>ε</m:t>
            </m:r>
          </m:num>
          <m:den>
            <m:nary>
              <m:naryPr>
                <m:chr m:val="∑"/>
                <m:limLoc m:val="undOvr"/>
                <m:grow m:val="1"/>
                <m:ctrlPr>
                  <w:rPr>
                    <w:rFonts w:ascii="Cambria Math" w:hAnsi="Cambria Math"/>
                  </w:rPr>
                </m:ctrlPr>
              </m:naryPr>
              <m:sub>
                <m:r>
                  <w:rPr>
                    <w:rFonts w:ascii="Cambria Math" w:hAnsi="Cambria Math"/>
                  </w:rPr>
                  <m:t>i</m:t>
                </m:r>
                <m:r>
                  <m:rPr>
                    <m:sty m:val="p"/>
                  </m:rPr>
                  <w:rPr>
                    <w:rFonts w:ascii="Cambria Math" w:hAnsi="Cambria Math"/>
                  </w:rPr>
                  <m:t>=1</m:t>
                </m:r>
              </m:sub>
              <m:sup>
                <m:r>
                  <w:rPr>
                    <w:rFonts w:ascii="Cambria Math" w:hAnsi="Cambria Math"/>
                  </w:rPr>
                  <m:t>n</m:t>
                </m:r>
              </m:sup>
              <m:e>
                <m:r>
                  <m:rPr>
                    <m:sty m:val="p"/>
                  </m:rPr>
                  <w:rPr>
                    <w:rFonts w:ascii="Cambria Math" w:hAnsi="Cambria Math"/>
                  </w:rPr>
                  <m:t>(</m:t>
                </m:r>
              </m:e>
            </m:nary>
            <m:d>
              <m:dPr>
                <m:begChr m:val=""/>
                <m:ctrlPr>
                  <w:rPr>
                    <w:rFonts w:ascii="Cambria Math" w:hAnsi="Cambria Math"/>
                  </w:rPr>
                </m:ctrlPr>
              </m:dPr>
              <m:e>
                <m:sSub>
                  <m:sSubPr>
                    <m:ctrlPr>
                      <w:rPr>
                        <w:rFonts w:ascii="Cambria Math" w:hAnsi="Cambria Math"/>
                      </w:rPr>
                    </m:ctrlPr>
                  </m:sSubPr>
                  <m:e>
                    <m:r>
                      <w:rPr>
                        <w:rFonts w:ascii="Cambria Math" w:hAnsi="Cambria Math"/>
                      </w:rPr>
                      <m:t>z</m:t>
                    </m:r>
                  </m:e>
                  <m:sub>
                    <m:r>
                      <w:rPr>
                        <w:rFonts w:ascii="Cambria Math" w:hAnsi="Cambria Math"/>
                      </w:rPr>
                      <m:t>ij</m:t>
                    </m:r>
                  </m:sub>
                </m:sSub>
                <m:r>
                  <m:rPr>
                    <m:sty m:val="p"/>
                  </m:rPr>
                  <w:rPr>
                    <w:rFonts w:ascii="Cambria Math" w:hAnsi="Cambria Math"/>
                  </w:rPr>
                  <m:t>+</m:t>
                </m:r>
                <m:r>
                  <w:rPr>
                    <w:rFonts w:ascii="Cambria Math" w:hAnsi="Cambria Math"/>
                  </w:rPr>
                  <m:t>ε</m:t>
                </m:r>
              </m:e>
            </m:d>
          </m:den>
        </m:f>
      </m:oMath>
      <w:r>
        <w:rPr>
          <w:rFonts w:eastAsiaTheme="minorEastAsia"/>
        </w:rPr>
        <w:tab/>
      </w:r>
      <w:r>
        <w:rPr>
          <w:rFonts w:eastAsiaTheme="minorEastAsia" w:hint="eastAsia"/>
        </w:rPr>
        <w:t>(S4)</w:t>
      </w:r>
    </w:p>
    <w:p w14:paraId="379EBED7" w14:textId="2A9EE5CB" w:rsidR="00E065AF" w:rsidRDefault="00E065AF" w:rsidP="00E065AF">
      <w:pPr>
        <w:widowControl/>
        <w:ind w:firstLine="480"/>
        <w:rPr>
          <w:rFonts w:eastAsiaTheme="minorEastAsia"/>
        </w:rPr>
      </w:pPr>
      <w:r w:rsidRPr="00E065AF">
        <w:rPr>
          <w:rFonts w:eastAsia="Times New Roman"/>
        </w:rPr>
        <w:t xml:space="preserve">where </w:t>
      </w:r>
      <m:oMath>
        <m:r>
          <w:rPr>
            <w:rFonts w:ascii="Cambria Math" w:eastAsia="Times New Roman" w:hAnsi="Cambria Math"/>
          </w:rPr>
          <m:t>n</m:t>
        </m:r>
      </m:oMath>
      <w:r w:rsidR="001974FC">
        <w:rPr>
          <w:rFonts w:eastAsiaTheme="minorEastAsia" w:hint="eastAsia"/>
        </w:rPr>
        <w:t xml:space="preserve"> </w:t>
      </w:r>
      <w:r w:rsidRPr="00E065AF">
        <w:rPr>
          <w:rFonts w:eastAsia="Times New Roman"/>
        </w:rPr>
        <w:t xml:space="preserve">is the number of observations and </w:t>
      </w:r>
      <m:oMath>
        <m:r>
          <w:rPr>
            <w:rFonts w:ascii="Cambria Math" w:eastAsia="Times New Roman" w:hAnsi="Cambria Math"/>
          </w:rPr>
          <m:t>ε=</m:t>
        </m:r>
        <m:sSup>
          <m:sSupPr>
            <m:ctrlPr>
              <w:rPr>
                <w:rFonts w:ascii="Cambria Math" w:eastAsia="Times New Roman" w:hAnsi="Cambria Math"/>
              </w:rPr>
            </m:ctrlPr>
          </m:sSupPr>
          <m:e>
            <m:r>
              <w:rPr>
                <w:rFonts w:ascii="Cambria Math" w:eastAsia="Times New Roman" w:hAnsi="Cambria Math"/>
              </w:rPr>
              <m:t>10</m:t>
            </m:r>
          </m:e>
          <m:sup>
            <m:r>
              <w:rPr>
                <w:rFonts w:ascii="Cambria Math" w:eastAsia="Times New Roman" w:hAnsi="Cambria Math"/>
              </w:rPr>
              <m:t>-4</m:t>
            </m:r>
          </m:sup>
        </m:sSup>
      </m:oMath>
      <w:r w:rsidR="001974FC">
        <w:rPr>
          <w:rFonts w:eastAsiaTheme="minorEastAsia" w:hint="eastAsia"/>
        </w:rPr>
        <w:t xml:space="preserve"> </w:t>
      </w:r>
      <w:r w:rsidRPr="00E065AF">
        <w:rPr>
          <w:rFonts w:eastAsia="Times New Roman"/>
        </w:rPr>
        <w:t xml:space="preserve">is a small constant introduced to avoid </w:t>
      </w:r>
      <m:oMath>
        <m:r>
          <m:rPr>
            <m:sty m:val="p"/>
          </m:rPr>
          <w:rPr>
            <w:rFonts w:ascii="Cambria Math" w:eastAsia="Times New Roman" w:hAnsi="Cambria Math"/>
          </w:rPr>
          <m:t>ln</m:t>
        </m:r>
        <m:r>
          <w:rPr>
            <w:rFonts w:ascii="Cambria Math" w:eastAsia="Times New Roman" w:hAnsi="Cambria Math"/>
          </w:rPr>
          <m:t>⁡</m:t>
        </m:r>
        <m:d>
          <m:dPr>
            <m:ctrlPr>
              <w:rPr>
                <w:rFonts w:ascii="Cambria Math" w:eastAsia="Times New Roman" w:hAnsi="Cambria Math"/>
              </w:rPr>
            </m:ctrlPr>
          </m:dPr>
          <m:e>
            <m:r>
              <w:rPr>
                <w:rFonts w:ascii="Cambria Math" w:eastAsia="Times New Roman" w:hAnsi="Cambria Math"/>
              </w:rPr>
              <m:t>0</m:t>
            </m:r>
          </m:e>
        </m:d>
      </m:oMath>
      <w:r w:rsidRPr="00E065AF">
        <w:rPr>
          <w:rFonts w:eastAsia="Times New Roman"/>
        </w:rPr>
        <w:t xml:space="preserve">. The entropy of indicator </w:t>
      </w:r>
      <m:oMath>
        <m:r>
          <w:rPr>
            <w:rFonts w:ascii="Cambria Math" w:eastAsia="Times New Roman" w:hAnsi="Cambria Math"/>
          </w:rPr>
          <m:t>j</m:t>
        </m:r>
      </m:oMath>
      <w:r w:rsidR="001974FC">
        <w:rPr>
          <w:rFonts w:eastAsiaTheme="minorEastAsia" w:hint="eastAsia"/>
        </w:rPr>
        <w:t xml:space="preserve"> </w:t>
      </w:r>
      <w:r w:rsidRPr="00E065AF">
        <w:rPr>
          <w:rFonts w:eastAsia="Times New Roman"/>
        </w:rPr>
        <w:t>is then calculated as:</w:t>
      </w:r>
    </w:p>
    <w:p w14:paraId="600C0C7B" w14:textId="3F4433D3" w:rsidR="00E065AF" w:rsidRPr="001974FC" w:rsidRDefault="001974FC" w:rsidP="001974FC">
      <w:pPr>
        <w:pStyle w:val="a6"/>
        <w:rPr>
          <w:rFonts w:eastAsiaTheme="minorEastAsia"/>
          <w:iCs/>
        </w:rPr>
      </w:pPr>
      <w:r>
        <w:rPr>
          <w:rFonts w:eastAsiaTheme="minorEastAsia"/>
        </w:rPr>
        <w:tab/>
      </w:r>
      <m:oMath>
        <m:sSub>
          <m:sSubPr>
            <m:ctrlPr>
              <w:rPr>
                <w:rFonts w:ascii="Cambria Math" w:hAnsi="Cambria Math"/>
              </w:rPr>
            </m:ctrlPr>
          </m:sSubPr>
          <m:e>
            <m:r>
              <w:rPr>
                <w:rFonts w:ascii="Cambria Math" w:hAnsi="Cambria Math"/>
              </w:rPr>
              <m:t>e</m:t>
            </m:r>
          </m:e>
          <m:sub>
            <m:r>
              <w:rPr>
                <w:rFonts w:ascii="Cambria Math" w:hAnsi="Cambria Math"/>
              </w:rPr>
              <m:t>j</m:t>
            </m:r>
          </m:sub>
        </m:sSub>
        <m:r>
          <w:rPr>
            <w:rFonts w:ascii="Cambria Math" w:hAnsi="Cambria Math"/>
          </w:rPr>
          <m:t>=-</m:t>
        </m:r>
        <m:f>
          <m:fPr>
            <m:ctrlPr>
              <w:rPr>
                <w:rFonts w:ascii="Cambria Math" w:hAnsi="Cambria Math"/>
              </w:rPr>
            </m:ctrlPr>
          </m:fPr>
          <m:num>
            <m:r>
              <w:rPr>
                <w:rFonts w:ascii="Cambria Math" w:hAnsi="Cambria Math"/>
              </w:rPr>
              <m:t>1</m:t>
            </m:r>
          </m:num>
          <m:den>
            <m:func>
              <m:funcPr>
                <m:ctrlPr>
                  <w:rPr>
                    <w:rFonts w:ascii="Cambria Math" w:hAnsi="Cambria Math"/>
                  </w:rPr>
                </m:ctrlPr>
              </m:funcPr>
              <m:fName>
                <m:r>
                  <m:rPr>
                    <m:sty m:val="p"/>
                  </m:rPr>
                  <w:rPr>
                    <w:rFonts w:ascii="Cambria Math" w:hAnsi="Cambria Math"/>
                  </w:rPr>
                  <m:t>ln</m:t>
                </m:r>
              </m:fName>
              <m:e>
                <m:r>
                  <w:rPr>
                    <w:rFonts w:ascii="Cambria Math" w:hAnsi="Cambria Math"/>
                  </w:rPr>
                  <m:t>n</m:t>
                </m:r>
              </m:e>
            </m:func>
          </m:den>
        </m:f>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n</m:t>
            </m:r>
          </m:sup>
          <m:e>
            <m:sSub>
              <m:sSubPr>
                <m:ctrlPr>
                  <w:rPr>
                    <w:rFonts w:ascii="Cambria Math" w:hAnsi="Cambria Math"/>
                  </w:rPr>
                </m:ctrlPr>
              </m:sSubPr>
              <m:e>
                <m:r>
                  <w:rPr>
                    <w:rFonts w:ascii="Cambria Math" w:hAnsi="Cambria Math"/>
                  </w:rPr>
                  <m:t>p</m:t>
                </m:r>
              </m:e>
              <m:sub>
                <m:r>
                  <w:rPr>
                    <w:rFonts w:ascii="Cambria Math" w:hAnsi="Cambria Math"/>
                  </w:rPr>
                  <m:t>ij</m:t>
                </m:r>
              </m:sub>
            </m:sSub>
          </m:e>
        </m:nary>
        <m:func>
          <m:funcPr>
            <m:ctrlPr>
              <w:rPr>
                <w:rFonts w:ascii="Cambria Math" w:hAnsi="Cambria Math"/>
              </w:rPr>
            </m:ctrlPr>
          </m:funcPr>
          <m:fName>
            <m:r>
              <m:rPr>
                <m:sty m:val="p"/>
              </m:rPr>
              <w:rPr>
                <w:rFonts w:ascii="Cambria Math" w:hAnsi="Cambria Math"/>
              </w:rPr>
              <m:t>ln</m:t>
            </m:r>
          </m:fName>
          <m:e>
            <m:sSub>
              <m:sSubPr>
                <m:ctrlPr>
                  <w:rPr>
                    <w:rFonts w:ascii="Cambria Math" w:hAnsi="Cambria Math"/>
                  </w:rPr>
                </m:ctrlPr>
              </m:sSubPr>
              <m:e>
                <m:r>
                  <w:rPr>
                    <w:rFonts w:ascii="Cambria Math" w:hAnsi="Cambria Math"/>
                  </w:rPr>
                  <m:t>p</m:t>
                </m:r>
              </m:e>
              <m:sub>
                <m:r>
                  <w:rPr>
                    <w:rFonts w:ascii="Cambria Math" w:hAnsi="Cambria Math"/>
                  </w:rPr>
                  <m:t>ij</m:t>
                </m:r>
              </m:sub>
            </m:sSub>
          </m:e>
        </m:func>
      </m:oMath>
      <w:r>
        <w:rPr>
          <w:rFonts w:eastAsiaTheme="minorEastAsia"/>
        </w:rPr>
        <w:tab/>
      </w:r>
      <w:r>
        <w:rPr>
          <w:rFonts w:eastAsiaTheme="minorEastAsia" w:hint="eastAsia"/>
        </w:rPr>
        <w:t>(S5)</w:t>
      </w:r>
    </w:p>
    <w:p w14:paraId="4947A45F" w14:textId="0CC07137" w:rsidR="00E065AF" w:rsidRPr="00E065AF" w:rsidRDefault="00E065AF" w:rsidP="00E065AF">
      <w:pPr>
        <w:widowControl/>
        <w:ind w:firstLine="480"/>
        <w:rPr>
          <w:rFonts w:eastAsia="Times New Roman"/>
        </w:rPr>
      </w:pPr>
      <w:r w:rsidRPr="00E065AF">
        <w:rPr>
          <w:rFonts w:eastAsia="Times New Roman"/>
        </w:rPr>
        <w:t xml:space="preserve">The corresponding entropy divergence is defined as </w:t>
      </w:r>
      <m:oMath>
        <m:sSub>
          <m:sSubPr>
            <m:ctrlPr>
              <w:rPr>
                <w:rFonts w:ascii="Cambria Math" w:eastAsia="Times New Roman" w:hAnsi="Cambria Math"/>
              </w:rPr>
            </m:ctrlPr>
          </m:sSubPr>
          <m:e>
            <m:r>
              <w:rPr>
                <w:rFonts w:ascii="Cambria Math" w:eastAsia="Times New Roman" w:hAnsi="Cambria Math"/>
              </w:rPr>
              <m:t>d</m:t>
            </m:r>
          </m:e>
          <m:sub>
            <m:r>
              <w:rPr>
                <w:rFonts w:ascii="Cambria Math" w:eastAsia="Times New Roman" w:hAnsi="Cambria Math"/>
              </w:rPr>
              <m:t>j</m:t>
            </m:r>
          </m:sub>
        </m:sSub>
        <m:r>
          <w:rPr>
            <w:rFonts w:ascii="Cambria Math" w:eastAsia="Times New Roman" w:hAnsi="Cambria Math"/>
          </w:rPr>
          <m:t>=1-</m:t>
        </m:r>
        <m:sSub>
          <m:sSubPr>
            <m:ctrlPr>
              <w:rPr>
                <w:rFonts w:ascii="Cambria Math" w:eastAsia="Times New Roman" w:hAnsi="Cambria Math"/>
              </w:rPr>
            </m:ctrlPr>
          </m:sSubPr>
          <m:e>
            <m:r>
              <w:rPr>
                <w:rFonts w:ascii="Cambria Math" w:eastAsia="Times New Roman" w:hAnsi="Cambria Math"/>
              </w:rPr>
              <m:t>e</m:t>
            </m:r>
          </m:e>
          <m:sub>
            <m:r>
              <w:rPr>
                <w:rFonts w:ascii="Cambria Math" w:eastAsia="Times New Roman" w:hAnsi="Cambria Math"/>
              </w:rPr>
              <m:t>j</m:t>
            </m:r>
          </m:sub>
        </m:sSub>
      </m:oMath>
      <w:r w:rsidRPr="00E065AF">
        <w:rPr>
          <w:rFonts w:eastAsia="Times New Roman"/>
        </w:rPr>
        <w:t xml:space="preserve">. A larger </w:t>
      </w:r>
      <m:oMath>
        <m:sSub>
          <m:sSubPr>
            <m:ctrlPr>
              <w:rPr>
                <w:rFonts w:ascii="Cambria Math" w:eastAsia="Times New Roman" w:hAnsi="Cambria Math"/>
              </w:rPr>
            </m:ctrlPr>
          </m:sSubPr>
          <m:e>
            <m:r>
              <w:rPr>
                <w:rFonts w:ascii="Cambria Math" w:eastAsia="Times New Roman" w:hAnsi="Cambria Math"/>
              </w:rPr>
              <m:t>d</m:t>
            </m:r>
          </m:e>
          <m:sub>
            <m:r>
              <w:rPr>
                <w:rFonts w:ascii="Cambria Math" w:eastAsia="Times New Roman" w:hAnsi="Cambria Math"/>
              </w:rPr>
              <m:t>j</m:t>
            </m:r>
          </m:sub>
        </m:sSub>
      </m:oMath>
      <w:r w:rsidR="001974FC">
        <w:rPr>
          <w:rFonts w:eastAsiaTheme="minorEastAsia" w:hint="eastAsia"/>
        </w:rPr>
        <w:t xml:space="preserve"> </w:t>
      </w:r>
      <w:r w:rsidRPr="00E065AF">
        <w:rPr>
          <w:rFonts w:eastAsia="Times New Roman"/>
        </w:rPr>
        <w:t xml:space="preserve">indicates greater information provided by the variation of indicator </w:t>
      </w:r>
      <m:oMath>
        <m:r>
          <w:rPr>
            <w:rFonts w:ascii="Cambria Math" w:eastAsia="Times New Roman" w:hAnsi="Cambria Math"/>
          </w:rPr>
          <m:t>j</m:t>
        </m:r>
      </m:oMath>
      <w:r w:rsidRPr="00E065AF">
        <w:rPr>
          <w:rFonts w:eastAsia="Times New Roman"/>
        </w:rPr>
        <w:t>. This formulation follows the information-entropy principle introduced by Shannon</w:t>
      </w:r>
      <w:r w:rsidR="001974FC">
        <w:rPr>
          <w:rFonts w:eastAsiaTheme="minorEastAsia" w:hint="eastAsia"/>
        </w:rPr>
        <w:t xml:space="preserve"> </w:t>
      </w:r>
      <w:r w:rsidR="001974FC">
        <w:rPr>
          <w:rFonts w:eastAsiaTheme="minorEastAsia"/>
        </w:rPr>
        <w:fldChar w:fldCharType="begin"/>
      </w:r>
      <w:r w:rsidR="001974FC">
        <w:rPr>
          <w:rFonts w:eastAsiaTheme="minorEastAsia"/>
        </w:rPr>
        <w:instrText xml:space="preserve"> ADDIN ZOTERO_ITEM CSL_CITATION {"citationID":"lUCwxYKB","properties":{"unsorted":false,"formattedCitation":"(1948)","plainCitation":"(1948)","noteIndex":0},"citationItems":[{"id":3921,"uris":["http://zotero.org/users/10401942/items/9LWKJEQI"],"itemData":{"id":3921,"type":"article-journal","container-title":"Bell System Technical Journal","DOI":"10.1002/j.1538-7305.1948.tb01338.x","ISSN":"1538-7305","issue":"3","language":"en","license":"© 1948 The Bell System Technical Journal","page":"379-423","source":"Wiley Online Library","title":"A Mathematical Theory of Communication","volume":"27","author":[{"family":"Shannon","given":"C. E."}],"issued":{"date-parts":[["1948"]]}},"suppress-author":true}],"schema":"https://github.com/citation-style-language/schema/raw/master/csl-citation.json"} </w:instrText>
      </w:r>
      <w:r w:rsidR="001974FC">
        <w:rPr>
          <w:rFonts w:eastAsiaTheme="minorEastAsia"/>
        </w:rPr>
        <w:fldChar w:fldCharType="separate"/>
      </w:r>
      <w:r w:rsidR="001974FC" w:rsidRPr="001974FC">
        <w:rPr>
          <w:rFonts w:cs="Times New Roman"/>
        </w:rPr>
        <w:t>(1948)</w:t>
      </w:r>
      <w:r w:rsidR="001974FC">
        <w:rPr>
          <w:rFonts w:eastAsiaTheme="minorEastAsia"/>
        </w:rPr>
        <w:fldChar w:fldCharType="end"/>
      </w:r>
      <w:r w:rsidRPr="00E065AF">
        <w:rPr>
          <w:rFonts w:eastAsia="Times New Roman"/>
        </w:rPr>
        <w:t>.</w:t>
      </w:r>
    </w:p>
    <w:p w14:paraId="5C79BA9C" w14:textId="77777777" w:rsidR="00E065AF" w:rsidRPr="00E065AF" w:rsidRDefault="00E065AF" w:rsidP="001974FC">
      <w:pPr>
        <w:widowControl/>
        <w:ind w:left="482" w:firstLineChars="0" w:firstLine="0"/>
        <w:rPr>
          <w:rFonts w:eastAsia="Times New Roman"/>
          <w:b/>
          <w:bCs/>
        </w:rPr>
      </w:pPr>
      <w:r w:rsidRPr="00E065AF">
        <w:rPr>
          <w:rFonts w:eastAsia="Times New Roman"/>
          <w:b/>
          <w:bCs/>
        </w:rPr>
        <w:t>(2) Modified CRITIC information</w:t>
      </w:r>
    </w:p>
    <w:p w14:paraId="44F8D44E" w14:textId="0B9CCFCE" w:rsidR="00E065AF" w:rsidRDefault="00E065AF" w:rsidP="00E065AF">
      <w:pPr>
        <w:widowControl/>
        <w:ind w:firstLine="480"/>
        <w:rPr>
          <w:rFonts w:eastAsiaTheme="minorEastAsia"/>
        </w:rPr>
      </w:pPr>
      <w:r w:rsidRPr="00E065AF">
        <w:rPr>
          <w:rFonts w:eastAsia="Times New Roman"/>
        </w:rPr>
        <w:t>The CRITIC method evaluates indicator importance by jointly considering contrast intensity and correlation with other indicators</w:t>
      </w:r>
      <w:r w:rsidR="001974FC">
        <w:rPr>
          <w:rFonts w:eastAsiaTheme="minorEastAsia" w:hint="eastAsia"/>
        </w:rPr>
        <w:t xml:space="preserve"> </w:t>
      </w:r>
      <w:r w:rsidR="001974FC">
        <w:rPr>
          <w:rFonts w:eastAsiaTheme="minorEastAsia"/>
        </w:rPr>
        <w:fldChar w:fldCharType="begin"/>
      </w:r>
      <w:r w:rsidR="001974FC">
        <w:rPr>
          <w:rFonts w:eastAsiaTheme="minorEastAsia"/>
        </w:rPr>
        <w:instrText xml:space="preserve"> ADDIN ZOTERO_ITEM CSL_CITATION {"citationID":"pAwGh9rK","properties":{"unsorted":false,"formattedCitation":"(Diakoulaki et al., 1995)","plainCitation":"(Diakoulaki et al., 1995)","noteIndex":0},"citationItems":[{"id":301,"uris":["http://zotero.org/users/10401942/items/9I5MV48V"],"itemData":{"id":301,"type":"article-journal","abstract":"The association of weights in multiple criteria problems is a critical stage of the whole decision making process. In some decision situations the extraction of subjective preferences is either difficult or undesirable. This paper proposes a method for the determination of objective weights which is based on the quantification of two fundamental notions of MCDM: the contrast intensity and the conflicting character of the evaluation criteria. The latter notion is of great importance in interfirm comparisons because the financial indices used are often highly correlated. The method developed is applied to a sample of industrial firms. The results are compared to those obtained by other sets of objective weights and show this method ensures a better compromise of the criteria examined.","container-title":"Computers &amp; Operations Research","DOI":"10.1016/0305-0548(94)00059-H","ISSN":"0305-0548","issue":"7","journalAbbreviation":"Computers &amp; Operations Research","page":"763-770","source":"ScienceDirect","title":"Determining objective weights in multiple criteria problems: The critic method","title-short":"Determining objective weights in multiple criteria problems","volume":"22","author":[{"family":"Diakoulaki","given":"D."},{"family":"Mavrotas","given":"G."},{"family":"Papayannakis","given":"L."}],"issued":{"date-parts":[["1995",8,1]]}}}],"schema":"https://github.com/citation-style-language/schema/raw/master/csl-citation.json"} </w:instrText>
      </w:r>
      <w:r w:rsidR="001974FC">
        <w:rPr>
          <w:rFonts w:eastAsiaTheme="minorEastAsia"/>
        </w:rPr>
        <w:fldChar w:fldCharType="separate"/>
      </w:r>
      <w:r w:rsidR="001974FC" w:rsidRPr="001974FC">
        <w:rPr>
          <w:rFonts w:cs="Times New Roman"/>
        </w:rPr>
        <w:t>(Diakoulaki et al., 1995)</w:t>
      </w:r>
      <w:r w:rsidR="001974FC">
        <w:rPr>
          <w:rFonts w:eastAsiaTheme="minorEastAsia"/>
        </w:rPr>
        <w:fldChar w:fldCharType="end"/>
      </w:r>
      <w:r w:rsidRPr="00E065AF">
        <w:rPr>
          <w:rFonts w:eastAsia="Times New Roman"/>
        </w:rPr>
        <w:t>. In the modified formulation used here, contrast intensity is represented by the coefficient of variation:</w:t>
      </w:r>
    </w:p>
    <w:p w14:paraId="18F581D1" w14:textId="46D882F2" w:rsidR="00E065AF" w:rsidRPr="001974FC" w:rsidRDefault="001974FC" w:rsidP="001974FC">
      <w:pPr>
        <w:pStyle w:val="a6"/>
        <w:rPr>
          <w:rFonts w:eastAsiaTheme="minorEastAsia"/>
        </w:rPr>
      </w:pPr>
      <w:r>
        <w:rPr>
          <w:rFonts w:eastAsiaTheme="minorEastAsia"/>
        </w:rPr>
        <w:tab/>
      </w:r>
      <m:oMath>
        <m:sSubSup>
          <m:sSubSupPr>
            <m:ctrlPr>
              <w:rPr>
                <w:rFonts w:ascii="Cambria Math" w:hAnsi="Cambria Math"/>
              </w:rPr>
            </m:ctrlPr>
          </m:sSubSupPr>
          <m:e>
            <m:r>
              <w:rPr>
                <w:rFonts w:ascii="Cambria Math" w:hAnsi="Cambria Math"/>
              </w:rPr>
              <m:t>S</m:t>
            </m:r>
          </m:e>
          <m:sub>
            <m:r>
              <w:rPr>
                <w:rFonts w:ascii="Cambria Math" w:hAnsi="Cambria Math"/>
              </w:rPr>
              <m:t>j</m:t>
            </m:r>
          </m:sub>
          <m:sup>
            <m:r>
              <w:rPr>
                <w:rFonts w:ascii="Cambria Math" w:hAnsi="Cambria Math"/>
              </w:rPr>
              <m:t>'</m:t>
            </m:r>
          </m:sup>
        </m:sSubSup>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σ</m:t>
                </m:r>
              </m:e>
              <m:sub>
                <m:r>
                  <w:rPr>
                    <w:rFonts w:ascii="Cambria Math" w:hAnsi="Cambria Math"/>
                  </w:rPr>
                  <m:t>j</m:t>
                </m:r>
              </m:sub>
            </m:sSub>
          </m:num>
          <m:den>
            <m:sSub>
              <m:sSubPr>
                <m:ctrlPr>
                  <w:rPr>
                    <w:rFonts w:ascii="Cambria Math" w:hAnsi="Cambria Math"/>
                  </w:rPr>
                </m:ctrlPr>
              </m:sSubPr>
              <m:e>
                <m:r>
                  <w:rPr>
                    <w:rFonts w:ascii="Cambria Math" w:hAnsi="Cambria Math"/>
                  </w:rPr>
                  <m:t>μ</m:t>
                </m:r>
              </m:e>
              <m:sub>
                <m:r>
                  <w:rPr>
                    <w:rFonts w:ascii="Cambria Math" w:hAnsi="Cambria Math"/>
                  </w:rPr>
                  <m:t>j</m:t>
                </m:r>
              </m:sub>
            </m:sSub>
            <m:r>
              <w:rPr>
                <w:rFonts w:ascii="Cambria Math" w:hAnsi="Cambria Math"/>
              </w:rPr>
              <m:t>+δ</m:t>
            </m:r>
          </m:den>
        </m:f>
      </m:oMath>
      <w:r>
        <w:rPr>
          <w:rFonts w:eastAsiaTheme="minorEastAsia"/>
        </w:rPr>
        <w:tab/>
      </w:r>
      <w:r>
        <w:rPr>
          <w:rFonts w:eastAsiaTheme="minorEastAsia" w:hint="eastAsia"/>
        </w:rPr>
        <w:t>(S6)</w:t>
      </w:r>
    </w:p>
    <w:p w14:paraId="1D81DB5C" w14:textId="767A8B38" w:rsidR="00E065AF" w:rsidRPr="00E065AF" w:rsidRDefault="00E065AF" w:rsidP="00E065AF">
      <w:pPr>
        <w:widowControl/>
        <w:ind w:firstLine="480"/>
        <w:rPr>
          <w:rFonts w:eastAsia="Times New Roman"/>
        </w:rPr>
      </w:pPr>
      <w:r w:rsidRPr="00E065AF">
        <w:rPr>
          <w:rFonts w:eastAsia="Times New Roman"/>
        </w:rPr>
        <w:t xml:space="preserve">where </w:t>
      </w:r>
      <m:oMath>
        <m:sSub>
          <m:sSubPr>
            <m:ctrlPr>
              <w:rPr>
                <w:rFonts w:ascii="Cambria Math" w:eastAsia="Times New Roman" w:hAnsi="Cambria Math"/>
              </w:rPr>
            </m:ctrlPr>
          </m:sSubPr>
          <m:e>
            <m:r>
              <w:rPr>
                <w:rFonts w:ascii="Cambria Math" w:eastAsia="Times New Roman" w:hAnsi="Cambria Math"/>
              </w:rPr>
              <m:t>σ</m:t>
            </m:r>
          </m:e>
          <m:sub>
            <m:r>
              <w:rPr>
                <w:rFonts w:ascii="Cambria Math" w:eastAsia="Times New Roman" w:hAnsi="Cambria Math"/>
              </w:rPr>
              <m:t>j</m:t>
            </m:r>
          </m:sub>
        </m:sSub>
      </m:oMath>
      <w:r w:rsidR="001974FC">
        <w:rPr>
          <w:rFonts w:eastAsiaTheme="minorEastAsia" w:hint="eastAsia"/>
        </w:rPr>
        <w:t xml:space="preserve"> </w:t>
      </w:r>
      <w:r w:rsidRPr="00E065AF">
        <w:rPr>
          <w:rFonts w:eastAsia="Times New Roman"/>
        </w:rPr>
        <w:t xml:space="preserve">and </w:t>
      </w:r>
      <m:oMath>
        <m:sSub>
          <m:sSubPr>
            <m:ctrlPr>
              <w:rPr>
                <w:rFonts w:ascii="Cambria Math" w:eastAsia="Times New Roman" w:hAnsi="Cambria Math"/>
              </w:rPr>
            </m:ctrlPr>
          </m:sSubPr>
          <m:e>
            <m:r>
              <w:rPr>
                <w:rFonts w:ascii="Cambria Math" w:eastAsia="Times New Roman" w:hAnsi="Cambria Math"/>
              </w:rPr>
              <m:t>μ</m:t>
            </m:r>
          </m:e>
          <m:sub>
            <m:r>
              <w:rPr>
                <w:rFonts w:ascii="Cambria Math" w:eastAsia="Times New Roman" w:hAnsi="Cambria Math"/>
              </w:rPr>
              <m:t>j</m:t>
            </m:r>
          </m:sub>
        </m:sSub>
      </m:oMath>
      <w:r w:rsidR="001974FC">
        <w:rPr>
          <w:rFonts w:eastAsiaTheme="minorEastAsia" w:hint="eastAsia"/>
        </w:rPr>
        <w:t xml:space="preserve"> </w:t>
      </w:r>
      <w:r w:rsidRPr="00E065AF">
        <w:rPr>
          <w:rFonts w:eastAsia="Times New Roman"/>
        </w:rPr>
        <w:t xml:space="preserve">are the sample standard deviation and mean of normalized indicator </w:t>
      </w:r>
      <m:oMath>
        <m:r>
          <w:rPr>
            <w:rFonts w:ascii="Cambria Math" w:eastAsia="Times New Roman" w:hAnsi="Cambria Math"/>
          </w:rPr>
          <m:t>j</m:t>
        </m:r>
      </m:oMath>
      <w:r w:rsidRPr="00E065AF">
        <w:rPr>
          <w:rFonts w:eastAsia="Times New Roman"/>
        </w:rPr>
        <w:t xml:space="preserve">, respectively, and </w:t>
      </w:r>
      <m:oMath>
        <m:r>
          <w:rPr>
            <w:rFonts w:ascii="Cambria Math" w:eastAsia="Times New Roman" w:hAnsi="Cambria Math"/>
          </w:rPr>
          <m:t>δ=</m:t>
        </m:r>
        <m:sSup>
          <m:sSupPr>
            <m:ctrlPr>
              <w:rPr>
                <w:rFonts w:ascii="Cambria Math" w:eastAsia="Times New Roman" w:hAnsi="Cambria Math"/>
              </w:rPr>
            </m:ctrlPr>
          </m:sSupPr>
          <m:e>
            <m:r>
              <w:rPr>
                <w:rFonts w:ascii="Cambria Math" w:eastAsia="Times New Roman" w:hAnsi="Cambria Math"/>
              </w:rPr>
              <m:t>10</m:t>
            </m:r>
          </m:e>
          <m:sup>
            <m:r>
              <w:rPr>
                <w:rFonts w:ascii="Cambria Math" w:eastAsia="Times New Roman" w:hAnsi="Cambria Math"/>
              </w:rPr>
              <m:t>-8</m:t>
            </m:r>
          </m:sup>
        </m:sSup>
      </m:oMath>
      <w:r w:rsidR="001974FC">
        <w:rPr>
          <w:rFonts w:eastAsiaTheme="minorEastAsia" w:hint="eastAsia"/>
        </w:rPr>
        <w:t xml:space="preserve"> </w:t>
      </w:r>
      <w:r w:rsidRPr="00E065AF">
        <w:rPr>
          <w:rFonts w:eastAsia="Times New Roman"/>
        </w:rPr>
        <w:t>is a small numerical stabilizer.</w:t>
      </w:r>
    </w:p>
    <w:p w14:paraId="19C92740" w14:textId="77777777" w:rsidR="00E065AF" w:rsidRDefault="00E065AF" w:rsidP="00E065AF">
      <w:pPr>
        <w:widowControl/>
        <w:ind w:firstLine="480"/>
        <w:rPr>
          <w:rFonts w:eastAsiaTheme="minorEastAsia"/>
        </w:rPr>
      </w:pPr>
      <w:r w:rsidRPr="00E065AF">
        <w:rPr>
          <w:rFonts w:eastAsia="Times New Roman"/>
        </w:rPr>
        <w:t>Inter-indicator conflict is expressed as:</w:t>
      </w:r>
    </w:p>
    <w:p w14:paraId="109FB905" w14:textId="77777777" w:rsidR="001974FC" w:rsidRDefault="001974FC" w:rsidP="001974FC">
      <w:pPr>
        <w:pStyle w:val="a6"/>
        <w:rPr>
          <w:rFonts w:eastAsiaTheme="minorEastAsia"/>
        </w:rPr>
      </w:pPr>
      <w:r>
        <w:rPr>
          <w:rFonts w:eastAsiaTheme="minorEastAsia"/>
        </w:rPr>
        <w:tab/>
      </w:r>
      <m:oMath>
        <m:sSub>
          <m:sSubPr>
            <m:ctrlPr>
              <w:rPr>
                <w:rFonts w:ascii="Cambria Math" w:hAnsi="Cambria Math"/>
              </w:rPr>
            </m:ctrlPr>
          </m:sSubPr>
          <m:e>
            <m:r>
              <w:rPr>
                <w:rFonts w:ascii="Cambria Math" w:hAnsi="Cambria Math"/>
              </w:rPr>
              <m:t>R</m:t>
            </m:r>
          </m:e>
          <m:sub>
            <m:r>
              <w:rPr>
                <w:rFonts w:ascii="Cambria Math" w:hAnsi="Cambria Math"/>
              </w:rPr>
              <m:t>j</m:t>
            </m:r>
          </m:sub>
        </m:sSub>
        <m:r>
          <w:rPr>
            <w:rFonts w:ascii="Cambria Math" w:hAnsi="Cambria Math"/>
          </w:rPr>
          <m:t>=</m:t>
        </m:r>
        <m:nary>
          <m:naryPr>
            <m:chr m:val="∑"/>
            <m:limLoc m:val="undOvr"/>
            <m:grow m:val="1"/>
            <m:ctrlPr>
              <w:rPr>
                <w:rFonts w:ascii="Cambria Math" w:hAnsi="Cambria Math"/>
              </w:rPr>
            </m:ctrlPr>
          </m:naryPr>
          <m:sub>
            <m:r>
              <m:rPr>
                <m:scr m:val="script"/>
                <m:sty m:val="p"/>
              </m:rPr>
              <w:rPr>
                <w:rFonts w:ascii="Cambria Math" w:hAnsi="Cambria Math"/>
              </w:rPr>
              <m:t>l</m:t>
            </m:r>
            <m:r>
              <w:rPr>
                <w:rFonts w:ascii="Cambria Math" w:hAnsi="Cambria Math"/>
              </w:rPr>
              <m:t>=1</m:t>
            </m:r>
          </m:sub>
          <m:sup>
            <m:r>
              <w:rPr>
                <w:rFonts w:ascii="Cambria Math" w:hAnsi="Cambria Math"/>
              </w:rPr>
              <m:t>m</m:t>
            </m:r>
          </m:sup>
          <m:e>
            <m:d>
              <m:dPr>
                <m:ctrlPr>
                  <w:rPr>
                    <w:rFonts w:ascii="Cambria Math" w:hAnsi="Cambria Math"/>
                  </w:rPr>
                </m:ctrlPr>
              </m:dPr>
              <m:e>
                <m:r>
                  <w:rPr>
                    <w:rFonts w:ascii="Cambria Math" w:hAnsi="Cambria Math"/>
                  </w:rPr>
                  <m:t>1-</m:t>
                </m:r>
                <m:d>
                  <m:dPr>
                    <m:begChr m:val="∣"/>
                    <m:endChr m:val="∣"/>
                    <m:ctrlPr>
                      <w:rPr>
                        <w:rFonts w:ascii="Cambria Math" w:hAnsi="Cambria Math"/>
                      </w:rPr>
                    </m:ctrlPr>
                  </m:dPr>
                  <m:e>
                    <m:sSub>
                      <m:sSubPr>
                        <m:ctrlPr>
                          <w:rPr>
                            <w:rFonts w:ascii="Cambria Math" w:hAnsi="Cambria Math"/>
                          </w:rPr>
                        </m:ctrlPr>
                      </m:sSubPr>
                      <m:e>
                        <m:r>
                          <w:rPr>
                            <w:rFonts w:ascii="Cambria Math" w:hAnsi="Cambria Math"/>
                          </w:rPr>
                          <m:t>r</m:t>
                        </m:r>
                      </m:e>
                      <m:sub>
                        <m:r>
                          <w:rPr>
                            <w:rFonts w:ascii="Cambria Math" w:hAnsi="Cambria Math"/>
                          </w:rPr>
                          <m:t>j</m:t>
                        </m:r>
                        <m:r>
                          <m:rPr>
                            <m:scr m:val="script"/>
                            <m:sty m:val="p"/>
                          </m:rPr>
                          <w:rPr>
                            <w:rFonts w:ascii="Cambria Math" w:hAnsi="Cambria Math"/>
                          </w:rPr>
                          <m:t>l</m:t>
                        </m:r>
                      </m:sub>
                    </m:sSub>
                  </m:e>
                </m:d>
              </m:e>
            </m:d>
          </m:e>
        </m:nary>
      </m:oMath>
      <w:r>
        <w:rPr>
          <w:rFonts w:eastAsiaTheme="minorEastAsia"/>
        </w:rPr>
        <w:tab/>
      </w:r>
      <w:r>
        <w:rPr>
          <w:rFonts w:eastAsiaTheme="minorEastAsia" w:hint="eastAsia"/>
        </w:rPr>
        <w:t>(S7)</w:t>
      </w:r>
    </w:p>
    <w:p w14:paraId="1B76AC8E" w14:textId="3D147B4B" w:rsidR="00E065AF" w:rsidRPr="001974FC" w:rsidRDefault="00E065AF" w:rsidP="001974FC">
      <w:pPr>
        <w:widowControl/>
        <w:ind w:firstLine="480"/>
        <w:rPr>
          <w:rFonts w:eastAsia="Times New Roman"/>
        </w:rPr>
      </w:pPr>
      <w:r w:rsidRPr="00E065AF">
        <w:rPr>
          <w:rFonts w:eastAsia="Times New Roman"/>
        </w:rPr>
        <w:t xml:space="preserve">where </w:t>
      </w:r>
      <m:oMath>
        <m:sSub>
          <m:sSubPr>
            <m:ctrlPr>
              <w:rPr>
                <w:rFonts w:ascii="Cambria Math" w:eastAsia="Times New Roman" w:hAnsi="Cambria Math"/>
              </w:rPr>
            </m:ctrlPr>
          </m:sSubPr>
          <m:e>
            <m:r>
              <w:rPr>
                <w:rFonts w:ascii="Cambria Math" w:eastAsia="Times New Roman" w:hAnsi="Cambria Math"/>
              </w:rPr>
              <m:t>r</m:t>
            </m:r>
          </m:e>
          <m:sub>
            <m:r>
              <w:rPr>
                <w:rFonts w:ascii="Cambria Math" w:eastAsia="Times New Roman" w:hAnsi="Cambria Math"/>
              </w:rPr>
              <m:t>j</m:t>
            </m:r>
            <m:r>
              <m:rPr>
                <m:scr m:val="script"/>
                <m:sty m:val="p"/>
              </m:rPr>
              <w:rPr>
                <w:rFonts w:ascii="Cambria Math" w:eastAsia="Times New Roman" w:hAnsi="Cambria Math"/>
              </w:rPr>
              <m:t>l</m:t>
            </m:r>
          </m:sub>
        </m:sSub>
      </m:oMath>
      <w:r w:rsidR="001974FC">
        <w:rPr>
          <w:rFonts w:eastAsiaTheme="minorEastAsia" w:hint="eastAsia"/>
        </w:rPr>
        <w:t xml:space="preserve"> </w:t>
      </w:r>
      <w:r w:rsidRPr="00E065AF">
        <w:rPr>
          <w:rFonts w:eastAsia="Times New Roman"/>
        </w:rPr>
        <w:t xml:space="preserve">is the Pearson correlation coefficient between indicators </w:t>
      </w:r>
      <m:oMath>
        <m:r>
          <w:rPr>
            <w:rFonts w:ascii="Cambria Math" w:eastAsia="Times New Roman" w:hAnsi="Cambria Math"/>
          </w:rPr>
          <m:t>j</m:t>
        </m:r>
      </m:oMath>
      <w:r w:rsidR="001974FC">
        <w:rPr>
          <w:rFonts w:eastAsiaTheme="minorEastAsia" w:hint="eastAsia"/>
          <w:iCs/>
        </w:rPr>
        <w:t xml:space="preserve"> </w:t>
      </w:r>
      <w:r w:rsidRPr="00E065AF">
        <w:rPr>
          <w:rFonts w:eastAsia="Times New Roman"/>
        </w:rPr>
        <w:t xml:space="preserve">and </w:t>
      </w:r>
      <m:oMath>
        <m:r>
          <m:rPr>
            <m:scr m:val="script"/>
            <m:sty m:val="p"/>
          </m:rPr>
          <w:rPr>
            <w:rFonts w:ascii="Cambria Math" w:eastAsia="Times New Roman" w:hAnsi="Cambria Math"/>
          </w:rPr>
          <m:t>l</m:t>
        </m:r>
      </m:oMath>
      <w:r w:rsidRPr="00E065AF">
        <w:rPr>
          <w:rFonts w:eastAsia="Times New Roman"/>
        </w:rPr>
        <w:t xml:space="preserve">, and </w:t>
      </w:r>
      <m:oMath>
        <m:r>
          <w:rPr>
            <w:rFonts w:ascii="Cambria Math" w:eastAsia="Times New Roman" w:hAnsi="Cambria Math"/>
          </w:rPr>
          <m:t>m</m:t>
        </m:r>
      </m:oMath>
      <w:r w:rsidR="001974FC">
        <w:rPr>
          <w:rFonts w:eastAsiaTheme="minorEastAsia" w:hint="eastAsia"/>
          <w:iCs/>
        </w:rPr>
        <w:t xml:space="preserve"> </w:t>
      </w:r>
      <w:r w:rsidRPr="00E065AF">
        <w:rPr>
          <w:rFonts w:eastAsia="Times New Roman"/>
        </w:rPr>
        <w:t xml:space="preserve">is the number of indicators within the corresponding CRM attribute. A larger </w:t>
      </w:r>
      <m:oMath>
        <m:sSub>
          <m:sSubPr>
            <m:ctrlPr>
              <w:rPr>
                <w:rFonts w:ascii="Cambria Math" w:eastAsia="Times New Roman" w:hAnsi="Cambria Math"/>
              </w:rPr>
            </m:ctrlPr>
          </m:sSubPr>
          <m:e>
            <m:r>
              <w:rPr>
                <w:rFonts w:ascii="Cambria Math" w:eastAsia="Times New Roman" w:hAnsi="Cambria Math"/>
              </w:rPr>
              <m:t>R</m:t>
            </m:r>
          </m:e>
          <m:sub>
            <m:r>
              <w:rPr>
                <w:rFonts w:ascii="Cambria Math" w:eastAsia="Times New Roman" w:hAnsi="Cambria Math"/>
              </w:rPr>
              <m:t>j</m:t>
            </m:r>
          </m:sub>
        </m:sSub>
      </m:oMath>
      <w:r w:rsidR="001974FC">
        <w:rPr>
          <w:rFonts w:eastAsiaTheme="minorEastAsia" w:hint="eastAsia"/>
        </w:rPr>
        <w:t xml:space="preserve"> </w:t>
      </w:r>
      <w:r w:rsidRPr="00E065AF">
        <w:rPr>
          <w:rFonts w:eastAsia="Times New Roman"/>
        </w:rPr>
        <w:t xml:space="preserve">indicates that indicator </w:t>
      </w:r>
      <m:oMath>
        <m:r>
          <w:rPr>
            <w:rFonts w:ascii="Cambria Math" w:eastAsia="Times New Roman" w:hAnsi="Cambria Math"/>
          </w:rPr>
          <m:t>j</m:t>
        </m:r>
      </m:oMath>
      <w:r w:rsidR="001974FC">
        <w:rPr>
          <w:rFonts w:eastAsiaTheme="minorEastAsia" w:hint="eastAsia"/>
          <w:iCs/>
        </w:rPr>
        <w:t xml:space="preserve"> </w:t>
      </w:r>
      <w:r w:rsidRPr="00E065AF">
        <w:rPr>
          <w:rFonts w:eastAsia="Times New Roman"/>
        </w:rPr>
        <w:t>contains more information that is independent of the other indicators.</w:t>
      </w:r>
    </w:p>
    <w:p w14:paraId="32C6811A" w14:textId="77777777" w:rsidR="00E065AF" w:rsidRPr="00E065AF" w:rsidRDefault="00E065AF" w:rsidP="001974FC">
      <w:pPr>
        <w:widowControl/>
        <w:ind w:left="482" w:firstLineChars="0" w:firstLine="0"/>
        <w:rPr>
          <w:rFonts w:eastAsia="Times New Roman"/>
          <w:b/>
          <w:bCs/>
        </w:rPr>
      </w:pPr>
      <w:r w:rsidRPr="00E065AF">
        <w:rPr>
          <w:rFonts w:eastAsia="Times New Roman"/>
          <w:b/>
          <w:bCs/>
        </w:rPr>
        <w:t>(3) Combined objective weight</w:t>
      </w:r>
    </w:p>
    <w:p w14:paraId="0453A129" w14:textId="77777777" w:rsidR="00E065AF" w:rsidRPr="00E065AF" w:rsidRDefault="00E065AF" w:rsidP="00E065AF">
      <w:pPr>
        <w:widowControl/>
        <w:ind w:firstLine="480"/>
        <w:rPr>
          <w:rFonts w:eastAsia="Times New Roman"/>
        </w:rPr>
      </w:pPr>
      <w:r w:rsidRPr="00E065AF">
        <w:rPr>
          <w:rFonts w:eastAsia="Times New Roman"/>
        </w:rPr>
        <w:t>The entropy divergence and modified CRITIC information are integrated into a single information score:</w:t>
      </w:r>
    </w:p>
    <w:p w14:paraId="175A45CA" w14:textId="422E1058" w:rsidR="00E065AF" w:rsidRPr="001974FC" w:rsidRDefault="001974FC" w:rsidP="001974FC">
      <w:pPr>
        <w:pStyle w:val="a6"/>
        <w:rPr>
          <w:rFonts w:eastAsiaTheme="minorEastAsia"/>
        </w:rPr>
      </w:pPr>
      <w:r>
        <w:rPr>
          <w:rFonts w:eastAsiaTheme="minorEastAsia"/>
        </w:rPr>
        <w:tab/>
      </w:r>
      <m:oMath>
        <m:sSub>
          <m:sSubPr>
            <m:ctrlPr>
              <w:rPr>
                <w:rFonts w:ascii="Cambria Math" w:hAnsi="Cambria Math"/>
              </w:rPr>
            </m:ctrlPr>
          </m:sSubPr>
          <m:e>
            <m:r>
              <w:rPr>
                <w:rFonts w:ascii="Cambria Math" w:hAnsi="Cambria Math"/>
              </w:rPr>
              <m:t>Q</m:t>
            </m:r>
          </m:e>
          <m:sub>
            <m:r>
              <w:rPr>
                <w:rFonts w:ascii="Cambria Math" w:hAnsi="Cambria Math"/>
              </w:rPr>
              <m:t>j</m:t>
            </m:r>
          </m:sub>
        </m:sSub>
        <m:r>
          <w:rPr>
            <w:rFonts w:ascii="Cambria Math" w:hAnsi="Cambria Math"/>
          </w:rPr>
          <m:t>=</m:t>
        </m:r>
        <m:d>
          <m:dPr>
            <m:begChr m:val="["/>
            <m:endChr m:val="]"/>
            <m:ctrlPr>
              <w:rPr>
                <w:rFonts w:ascii="Cambria Math" w:hAnsi="Cambria Math"/>
              </w:rPr>
            </m:ctrlPr>
          </m:dPr>
          <m:e>
            <m:sSubSup>
              <m:sSubSupPr>
                <m:ctrlPr>
                  <w:rPr>
                    <w:rFonts w:ascii="Cambria Math" w:hAnsi="Cambria Math"/>
                  </w:rPr>
                </m:ctrlPr>
              </m:sSubSupPr>
              <m:e>
                <m:r>
                  <w:rPr>
                    <w:rFonts w:ascii="Cambria Math" w:hAnsi="Cambria Math"/>
                  </w:rPr>
                  <m:t>d</m:t>
                </m:r>
              </m:e>
              <m:sub>
                <m:r>
                  <w:rPr>
                    <w:rFonts w:ascii="Cambria Math" w:hAnsi="Cambria Math"/>
                  </w:rPr>
                  <m:t>j</m:t>
                </m:r>
              </m:sub>
              <m:sup>
                <m:r>
                  <w:rPr>
                    <w:rFonts w:ascii="Cambria Math" w:hAnsi="Cambria Math"/>
                  </w:rPr>
                  <m:t>2</m:t>
                </m:r>
              </m:sup>
            </m:sSubSup>
            <m:r>
              <w:rPr>
                <w:rFonts w:ascii="Cambria Math" w:hAnsi="Cambria Math"/>
              </w:rPr>
              <m:t>+</m:t>
            </m:r>
            <m:sSubSup>
              <m:sSubSupPr>
                <m:ctrlPr>
                  <w:rPr>
                    <w:rFonts w:ascii="Cambria Math" w:hAnsi="Cambria Math"/>
                  </w:rPr>
                </m:ctrlPr>
              </m:sSubSupPr>
              <m:e>
                <m:r>
                  <w:rPr>
                    <w:rFonts w:ascii="Cambria Math" w:hAnsi="Cambria Math"/>
                  </w:rPr>
                  <m:t>S</m:t>
                </m:r>
              </m:e>
              <m:sub>
                <m:r>
                  <w:rPr>
                    <w:rFonts w:ascii="Cambria Math" w:hAnsi="Cambria Math"/>
                  </w:rPr>
                  <m:t>j</m:t>
                </m:r>
              </m:sub>
              <m:sup>
                <m:r>
                  <w:rPr>
                    <w:rFonts w:ascii="Cambria Math" w:hAnsi="Cambria Math"/>
                  </w:rPr>
                  <m:t>'</m:t>
                </m:r>
              </m:sup>
            </m:sSubSup>
          </m:e>
        </m:d>
        <m:sSub>
          <m:sSubPr>
            <m:ctrlPr>
              <w:rPr>
                <w:rFonts w:ascii="Cambria Math" w:hAnsi="Cambria Math"/>
              </w:rPr>
            </m:ctrlPr>
          </m:sSubPr>
          <m:e>
            <m:r>
              <w:rPr>
                <w:rFonts w:ascii="Cambria Math" w:hAnsi="Cambria Math"/>
              </w:rPr>
              <m:t>R</m:t>
            </m:r>
          </m:e>
          <m:sub>
            <m:r>
              <w:rPr>
                <w:rFonts w:ascii="Cambria Math" w:hAnsi="Cambria Math"/>
              </w:rPr>
              <m:t>j</m:t>
            </m:r>
          </m:sub>
        </m:sSub>
      </m:oMath>
      <w:r>
        <w:rPr>
          <w:rFonts w:eastAsiaTheme="minorEastAsia"/>
        </w:rPr>
        <w:tab/>
      </w:r>
      <w:r>
        <w:rPr>
          <w:rFonts w:eastAsiaTheme="minorEastAsia" w:hint="eastAsia"/>
        </w:rPr>
        <w:t>(S8)</w:t>
      </w:r>
    </w:p>
    <w:p w14:paraId="7D340A14" w14:textId="77777777" w:rsidR="00E065AF" w:rsidRPr="00E065AF" w:rsidRDefault="00E065AF" w:rsidP="00E065AF">
      <w:pPr>
        <w:widowControl/>
        <w:ind w:firstLine="480"/>
        <w:rPr>
          <w:rFonts w:eastAsia="Times New Roman"/>
        </w:rPr>
      </w:pPr>
      <w:r w:rsidRPr="00E065AF">
        <w:rPr>
          <w:rFonts w:eastAsia="Times New Roman"/>
        </w:rPr>
        <w:t>The final objective weight is then obtained by normalization:</w:t>
      </w:r>
    </w:p>
    <w:p w14:paraId="5073AE34" w14:textId="41D0854C" w:rsidR="00E065AF" w:rsidRPr="001974FC" w:rsidRDefault="001974FC" w:rsidP="001974FC">
      <w:pPr>
        <w:pStyle w:val="a6"/>
        <w:rPr>
          <w:rFonts w:eastAsiaTheme="minorEastAsia"/>
        </w:rPr>
      </w:pPr>
      <w:r>
        <w:rPr>
          <w:rFonts w:eastAsiaTheme="minorEastAsia"/>
        </w:rPr>
        <w:tab/>
      </w:r>
      <m:oMath>
        <m:sSub>
          <m:sSubPr>
            <m:ctrlPr>
              <w:rPr>
                <w:rFonts w:ascii="Cambria Math" w:hAnsi="Cambria Math"/>
              </w:rPr>
            </m:ctrlPr>
          </m:sSubPr>
          <m:e>
            <m:r>
              <w:rPr>
                <w:rFonts w:ascii="Cambria Math" w:hAnsi="Cambria Math"/>
              </w:rPr>
              <m:t>w</m:t>
            </m:r>
          </m:e>
          <m:sub>
            <m:r>
              <w:rPr>
                <w:rFonts w:ascii="Cambria Math" w:hAnsi="Cambria Math"/>
              </w:rPr>
              <m:t>j</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Q</m:t>
                </m:r>
              </m:e>
              <m:sub>
                <m:r>
                  <w:rPr>
                    <w:rFonts w:ascii="Cambria Math" w:hAnsi="Cambria Math"/>
                  </w:rPr>
                  <m:t>j</m:t>
                </m:r>
              </m:sub>
            </m:sSub>
          </m:num>
          <m:den>
            <m:nary>
              <m:naryPr>
                <m:chr m:val="∑"/>
                <m:limLoc m:val="undOvr"/>
                <m:grow m:val="1"/>
                <m:ctrlPr>
                  <w:rPr>
                    <w:rFonts w:ascii="Cambria Math" w:hAnsi="Cambria Math"/>
                  </w:rPr>
                </m:ctrlPr>
              </m:naryPr>
              <m:sub>
                <m:r>
                  <m:rPr>
                    <m:scr m:val="script"/>
                    <m:sty m:val="p"/>
                  </m:rPr>
                  <w:rPr>
                    <w:rFonts w:ascii="Cambria Math" w:hAnsi="Cambria Math"/>
                  </w:rPr>
                  <m:t>l</m:t>
                </m:r>
                <m:r>
                  <w:rPr>
                    <w:rFonts w:ascii="Cambria Math" w:hAnsi="Cambria Math"/>
                  </w:rPr>
                  <m:t>=1</m:t>
                </m:r>
              </m:sub>
              <m:sup>
                <m:r>
                  <w:rPr>
                    <w:rFonts w:ascii="Cambria Math" w:hAnsi="Cambria Math"/>
                  </w:rPr>
                  <m:t>m</m:t>
                </m:r>
              </m:sup>
              <m:e>
                <m:sSub>
                  <m:sSubPr>
                    <m:ctrlPr>
                      <w:rPr>
                        <w:rFonts w:ascii="Cambria Math" w:hAnsi="Cambria Math"/>
                      </w:rPr>
                    </m:ctrlPr>
                  </m:sSubPr>
                  <m:e>
                    <m:r>
                      <w:rPr>
                        <w:rFonts w:ascii="Cambria Math" w:hAnsi="Cambria Math"/>
                      </w:rPr>
                      <m:t>Q</m:t>
                    </m:r>
                  </m:e>
                  <m:sub>
                    <m:r>
                      <m:rPr>
                        <m:scr m:val="script"/>
                        <m:sty m:val="p"/>
                      </m:rPr>
                      <w:rPr>
                        <w:rFonts w:ascii="Cambria Math" w:hAnsi="Cambria Math"/>
                      </w:rPr>
                      <m:t>l</m:t>
                    </m:r>
                  </m:sub>
                </m:sSub>
              </m:e>
            </m:nary>
          </m:den>
        </m:f>
      </m:oMath>
      <w:r>
        <w:rPr>
          <w:rFonts w:eastAsiaTheme="minorEastAsia"/>
        </w:rPr>
        <w:tab/>
      </w:r>
      <w:r>
        <w:rPr>
          <w:rFonts w:eastAsiaTheme="minorEastAsia" w:hint="eastAsia"/>
        </w:rPr>
        <w:t>(S9)</w:t>
      </w:r>
    </w:p>
    <w:p w14:paraId="00EEF45C" w14:textId="68422829" w:rsidR="00E065AF" w:rsidRPr="00E065AF" w:rsidRDefault="00E065AF" w:rsidP="00E065AF">
      <w:pPr>
        <w:widowControl/>
        <w:ind w:firstLine="480"/>
        <w:rPr>
          <w:rFonts w:eastAsia="Times New Roman"/>
        </w:rPr>
      </w:pPr>
      <w:r w:rsidRPr="00E065AF">
        <w:rPr>
          <w:rFonts w:eastAsia="Times New Roman"/>
        </w:rPr>
        <w:lastRenderedPageBreak/>
        <w:t xml:space="preserve">where </w:t>
      </w:r>
      <m:oMath>
        <m:sSub>
          <m:sSubPr>
            <m:ctrlPr>
              <w:rPr>
                <w:rFonts w:ascii="Cambria Math" w:eastAsia="Times New Roman" w:hAnsi="Cambria Math"/>
              </w:rPr>
            </m:ctrlPr>
          </m:sSubPr>
          <m:e>
            <m:r>
              <w:rPr>
                <w:rFonts w:ascii="Cambria Math" w:eastAsia="Times New Roman" w:hAnsi="Cambria Math"/>
              </w:rPr>
              <m:t>w</m:t>
            </m:r>
          </m:e>
          <m:sub>
            <m:r>
              <w:rPr>
                <w:rFonts w:ascii="Cambria Math" w:eastAsia="Times New Roman" w:hAnsi="Cambria Math"/>
              </w:rPr>
              <m:t>j</m:t>
            </m:r>
          </m:sub>
        </m:sSub>
      </m:oMath>
      <w:r w:rsidR="001974FC">
        <w:rPr>
          <w:rFonts w:eastAsiaTheme="minorEastAsia" w:hint="eastAsia"/>
        </w:rPr>
        <w:t xml:space="preserve"> </w:t>
      </w:r>
      <w:r w:rsidRPr="00E065AF">
        <w:rPr>
          <w:rFonts w:eastAsia="Times New Roman"/>
        </w:rPr>
        <w:t xml:space="preserve">is the combined objective weight of indicator </w:t>
      </w:r>
      <m:oMath>
        <m:r>
          <w:rPr>
            <w:rFonts w:ascii="Cambria Math" w:eastAsia="Times New Roman" w:hAnsi="Cambria Math"/>
          </w:rPr>
          <m:t>j</m:t>
        </m:r>
      </m:oMath>
      <w:r w:rsidRPr="00E065AF">
        <w:rPr>
          <w:rFonts w:eastAsia="Times New Roman"/>
        </w:rPr>
        <w:t xml:space="preserve">. The weights are calculated separately within each CRM attribute and therefore sum to one within that attribute. The corresponding attribute score for observation </w:t>
      </w:r>
      <m:oMath>
        <m:r>
          <w:rPr>
            <w:rFonts w:ascii="Cambria Math" w:eastAsia="Times New Roman" w:hAnsi="Cambria Math"/>
          </w:rPr>
          <m:t>i</m:t>
        </m:r>
      </m:oMath>
      <w:r w:rsidR="001974FC">
        <w:rPr>
          <w:rFonts w:eastAsiaTheme="minorEastAsia" w:hint="eastAsia"/>
        </w:rPr>
        <w:t xml:space="preserve"> </w:t>
      </w:r>
      <w:r w:rsidRPr="00E065AF">
        <w:rPr>
          <w:rFonts w:eastAsia="Times New Roman"/>
        </w:rPr>
        <w:t>is:</w:t>
      </w:r>
    </w:p>
    <w:p w14:paraId="6A211D60" w14:textId="75964568" w:rsidR="00E065AF" w:rsidRPr="001974FC" w:rsidRDefault="001974FC" w:rsidP="001974FC">
      <w:pPr>
        <w:pStyle w:val="a6"/>
        <w:rPr>
          <w:rFonts w:eastAsiaTheme="minorEastAsia"/>
        </w:rPr>
      </w:pPr>
      <w:r>
        <w:rPr>
          <w:rFonts w:eastAsiaTheme="minorEastAsia"/>
        </w:rPr>
        <w:tab/>
      </w:r>
      <m:oMath>
        <m:sSub>
          <m:sSubPr>
            <m:ctrlPr>
              <w:rPr>
                <w:rFonts w:ascii="Cambria Math" w:hAnsi="Cambria Math"/>
              </w:rPr>
            </m:ctrlPr>
          </m:sSubPr>
          <m:e>
            <m:r>
              <w:rPr>
                <w:rFonts w:ascii="Cambria Math" w:hAnsi="Cambria Math"/>
              </w:rPr>
              <m:t>Z</m:t>
            </m:r>
          </m:e>
          <m:sub>
            <m:r>
              <w:rPr>
                <w:rFonts w:ascii="Cambria Math" w:hAnsi="Cambria Math"/>
              </w:rPr>
              <m:t>ik</m:t>
            </m:r>
          </m:sub>
        </m:sSub>
        <m:r>
          <m:rPr>
            <m:sty m:val="p"/>
          </m:rPr>
          <w:rPr>
            <w:rFonts w:ascii="Cambria Math" w:hAnsi="Cambria Math"/>
          </w:rPr>
          <m:t>=</m:t>
        </m:r>
        <m:nary>
          <m:naryPr>
            <m:chr m:val="∑"/>
            <m:limLoc m:val="undOvr"/>
            <m:grow m:val="1"/>
            <m:supHide m:val="1"/>
            <m:ctrlPr>
              <w:rPr>
                <w:rFonts w:ascii="Cambria Math" w:hAnsi="Cambria Math"/>
              </w:rPr>
            </m:ctrlPr>
          </m:naryPr>
          <m:sub>
            <m:r>
              <w:rPr>
                <w:rFonts w:ascii="Cambria Math" w:hAnsi="Cambria Math"/>
              </w:rPr>
              <m:t>j</m:t>
            </m:r>
            <m:r>
              <m:rPr>
                <m:sty m:val="p"/>
              </m:rPr>
              <w:rPr>
                <w:rFonts w:ascii="Cambria Math" w:hAnsi="Cambria Math"/>
              </w:rPr>
              <m:t>∈</m:t>
            </m:r>
            <m:sSub>
              <m:sSubPr>
                <m:ctrlPr>
                  <w:rPr>
                    <w:rFonts w:ascii="Cambria Math" w:hAnsi="Cambria Math"/>
                  </w:rPr>
                </m:ctrlPr>
              </m:sSubPr>
              <m:e>
                <m:r>
                  <w:rPr>
                    <w:rFonts w:ascii="Cambria Math" w:hAnsi="Cambria Math"/>
                  </w:rPr>
                  <m:t>J</m:t>
                </m:r>
              </m:e>
              <m:sub>
                <m:r>
                  <w:rPr>
                    <w:rFonts w:ascii="Cambria Math" w:hAnsi="Cambria Math"/>
                  </w:rPr>
                  <m:t>k</m:t>
                </m:r>
              </m:sub>
            </m:sSub>
          </m:sub>
          <m:sup/>
          <m:e>
            <m:sSub>
              <m:sSubPr>
                <m:ctrlPr>
                  <w:rPr>
                    <w:rFonts w:ascii="Cambria Math" w:hAnsi="Cambria Math"/>
                  </w:rPr>
                </m:ctrlPr>
              </m:sSubPr>
              <m:e>
                <m:r>
                  <w:rPr>
                    <w:rFonts w:ascii="Cambria Math" w:hAnsi="Cambria Math"/>
                  </w:rPr>
                  <m:t>w</m:t>
                </m:r>
              </m:e>
              <m:sub>
                <m:r>
                  <w:rPr>
                    <w:rFonts w:ascii="Cambria Math" w:hAnsi="Cambria Math"/>
                  </w:rPr>
                  <m:t>j</m:t>
                </m:r>
              </m:sub>
            </m:sSub>
          </m:e>
        </m:nary>
        <m:sSub>
          <m:sSubPr>
            <m:ctrlPr>
              <w:rPr>
                <w:rFonts w:ascii="Cambria Math" w:hAnsi="Cambria Math"/>
              </w:rPr>
            </m:ctrlPr>
          </m:sSubPr>
          <m:e>
            <m:r>
              <w:rPr>
                <w:rFonts w:ascii="Cambria Math" w:hAnsi="Cambria Math"/>
              </w:rPr>
              <m:t>z</m:t>
            </m:r>
          </m:e>
          <m:sub>
            <m:r>
              <w:rPr>
                <w:rFonts w:ascii="Cambria Math" w:hAnsi="Cambria Math"/>
              </w:rPr>
              <m:t>ij</m:t>
            </m:r>
          </m:sub>
        </m:sSub>
      </m:oMath>
      <w:r>
        <w:rPr>
          <w:rFonts w:eastAsiaTheme="minorEastAsia"/>
        </w:rPr>
        <w:tab/>
      </w:r>
      <w:r>
        <w:rPr>
          <w:rFonts w:eastAsiaTheme="minorEastAsia" w:hint="eastAsia"/>
        </w:rPr>
        <w:t>(S10)</w:t>
      </w:r>
    </w:p>
    <w:p w14:paraId="74E77315" w14:textId="6EB1A51F" w:rsidR="00922F4A" w:rsidRDefault="00E065AF" w:rsidP="00E065AF">
      <w:pPr>
        <w:widowControl/>
        <w:ind w:firstLine="480"/>
        <w:rPr>
          <w:rFonts w:eastAsiaTheme="minorEastAsia"/>
        </w:rPr>
      </w:pPr>
      <w:r w:rsidRPr="00E065AF">
        <w:rPr>
          <w:rFonts w:eastAsia="Times New Roman"/>
        </w:rPr>
        <w:t xml:space="preserve">where </w:t>
      </w:r>
      <m:oMath>
        <m:sSub>
          <m:sSubPr>
            <m:ctrlPr>
              <w:rPr>
                <w:rFonts w:ascii="Cambria Math" w:eastAsia="Times New Roman" w:hAnsi="Cambria Math"/>
              </w:rPr>
            </m:ctrlPr>
          </m:sSubPr>
          <m:e>
            <m:r>
              <w:rPr>
                <w:rFonts w:ascii="Cambria Math" w:eastAsia="Times New Roman" w:hAnsi="Cambria Math"/>
              </w:rPr>
              <m:t>J</m:t>
            </m:r>
          </m:e>
          <m:sub>
            <m:r>
              <w:rPr>
                <w:rFonts w:ascii="Cambria Math" w:eastAsia="Times New Roman" w:hAnsi="Cambria Math"/>
              </w:rPr>
              <m:t>k</m:t>
            </m:r>
          </m:sub>
        </m:sSub>
      </m:oMath>
      <w:r w:rsidR="001974FC">
        <w:rPr>
          <w:rFonts w:eastAsiaTheme="minorEastAsia" w:hint="eastAsia"/>
        </w:rPr>
        <w:t xml:space="preserve"> </w:t>
      </w:r>
      <w:r w:rsidRPr="00E065AF">
        <w:rPr>
          <w:rFonts w:eastAsia="Times New Roman"/>
        </w:rPr>
        <w:t xml:space="preserve">denotes the set of indicators belonging to CRM attribute </w:t>
      </w:r>
      <m:oMath>
        <m:r>
          <w:rPr>
            <w:rFonts w:ascii="Cambria Math" w:eastAsia="Times New Roman" w:hAnsi="Cambria Math"/>
          </w:rPr>
          <m:t>k</m:t>
        </m:r>
      </m:oMath>
      <w:r w:rsidRPr="00E065AF">
        <w:rPr>
          <w:rFonts w:eastAsia="Times New Roman"/>
        </w:rPr>
        <w:t xml:space="preserve">, and </w:t>
      </w:r>
      <m:oMath>
        <m:sSub>
          <m:sSubPr>
            <m:ctrlPr>
              <w:rPr>
                <w:rFonts w:ascii="Cambria Math" w:eastAsia="Times New Roman" w:hAnsi="Cambria Math"/>
              </w:rPr>
            </m:ctrlPr>
          </m:sSubPr>
          <m:e>
            <m:r>
              <w:rPr>
                <w:rFonts w:ascii="Cambria Math" w:eastAsia="Times New Roman" w:hAnsi="Cambria Math"/>
              </w:rPr>
              <m:t>Z</m:t>
            </m:r>
          </m:e>
          <m:sub>
            <m:r>
              <w:rPr>
                <w:rFonts w:ascii="Cambria Math" w:eastAsia="Times New Roman" w:hAnsi="Cambria Math"/>
              </w:rPr>
              <m:t>ik</m:t>
            </m:r>
          </m:sub>
        </m:sSub>
      </m:oMath>
      <w:r w:rsidR="001974FC">
        <w:rPr>
          <w:rFonts w:eastAsiaTheme="minorEastAsia" w:hint="eastAsia"/>
        </w:rPr>
        <w:t xml:space="preserve"> </w:t>
      </w:r>
      <w:r w:rsidRPr="00E065AF">
        <w:rPr>
          <w:rFonts w:eastAsia="Times New Roman"/>
        </w:rPr>
        <w:t>is the resulting attribute score used for subsequent parameter calibration. In the revised CRM, the four attribute scores are assigned sequentially to robustness (</w:t>
      </w:r>
      <m:oMath>
        <m:r>
          <w:rPr>
            <w:rFonts w:ascii="Cambria Math" w:eastAsia="Times New Roman" w:hAnsi="Cambria Math"/>
          </w:rPr>
          <m:t>a</m:t>
        </m:r>
      </m:oMath>
      <w:r w:rsidRPr="00E065AF">
        <w:rPr>
          <w:rFonts w:eastAsia="Times New Roman"/>
        </w:rPr>
        <w:t>), redundancy (</w:t>
      </w:r>
      <m:oMath>
        <m:r>
          <w:rPr>
            <w:rFonts w:ascii="Cambria Math" w:eastAsia="Times New Roman" w:hAnsi="Cambria Math"/>
          </w:rPr>
          <m:t>b</m:t>
        </m:r>
      </m:oMath>
      <w:r w:rsidRPr="00E065AF">
        <w:rPr>
          <w:rFonts w:eastAsia="Times New Roman"/>
        </w:rPr>
        <w:t>), rapidity (</w:t>
      </w:r>
      <m:oMath>
        <m:r>
          <w:rPr>
            <w:rFonts w:ascii="Cambria Math" w:eastAsia="Times New Roman" w:hAnsi="Cambria Math"/>
          </w:rPr>
          <m:t>c</m:t>
        </m:r>
      </m:oMath>
      <w:r w:rsidRPr="00E065AF">
        <w:rPr>
          <w:rFonts w:eastAsia="Times New Roman"/>
        </w:rPr>
        <w:t>), and resourcefulness (</w:t>
      </w:r>
      <m:oMath>
        <m:r>
          <w:rPr>
            <w:rFonts w:ascii="Cambria Math" w:eastAsia="Times New Roman" w:hAnsi="Cambria Math"/>
          </w:rPr>
          <m:t>d</m:t>
        </m:r>
      </m:oMath>
      <w:r w:rsidRPr="00E065AF">
        <w:rPr>
          <w:rFonts w:eastAsia="Times New Roman"/>
        </w:rPr>
        <w:t>)</w:t>
      </w:r>
      <w:r>
        <w:rPr>
          <w:rFonts w:eastAsia="Times New Roman"/>
        </w:rPr>
        <w:t>.</w:t>
      </w:r>
    </w:p>
    <w:p w14:paraId="25AE99C4" w14:textId="286DF859" w:rsidR="0083220F" w:rsidRPr="0083220F" w:rsidRDefault="006277C1" w:rsidP="00E065AF">
      <w:pPr>
        <w:widowControl/>
        <w:ind w:firstLine="480"/>
        <w:rPr>
          <w:rFonts w:eastAsiaTheme="minorEastAsia"/>
        </w:rPr>
      </w:pPr>
      <w:r w:rsidRPr="006277C1">
        <w:rPr>
          <w:rFonts w:eastAsiaTheme="minorEastAsia"/>
        </w:rPr>
        <w:t xml:space="preserve">The objective weights are estimated once from the balanced multi-year panel, whereas </w:t>
      </w:r>
      <w:r w:rsidR="007633D4" w:rsidRPr="007633D4">
        <w:rPr>
          <w:rFonts w:eastAsiaTheme="minorEastAsia"/>
        </w:rPr>
        <w:t>the 2022 sample of cities with complete data</w:t>
      </w:r>
      <w:r w:rsidRPr="006277C1">
        <w:rPr>
          <w:rFonts w:eastAsiaTheme="minorEastAsia"/>
        </w:rPr>
        <w:t xml:space="preserve"> is used as the common reference population for indicator normalization and parameter calibration. Rank-percentile mapping is used for </w:t>
      </w:r>
      <m:oMath>
        <m:r>
          <w:rPr>
            <w:rFonts w:ascii="Cambria Math" w:eastAsiaTheme="minorEastAsia" w:hAnsi="Cambria Math"/>
          </w:rPr>
          <m:t>a</m:t>
        </m:r>
      </m:oMath>
      <w:r w:rsidRPr="006277C1">
        <w:rPr>
          <w:rFonts w:eastAsiaTheme="minorEastAsia"/>
        </w:rPr>
        <w:t xml:space="preserve">, </w:t>
      </w:r>
      <m:oMath>
        <m:r>
          <w:rPr>
            <w:rFonts w:ascii="Cambria Math" w:eastAsiaTheme="minorEastAsia" w:hAnsi="Cambria Math"/>
          </w:rPr>
          <m:t>b</m:t>
        </m:r>
      </m:oMath>
      <w:r w:rsidRPr="006277C1">
        <w:rPr>
          <w:rFonts w:eastAsiaTheme="minorEastAsia"/>
        </w:rPr>
        <w:t xml:space="preserve">, and </w:t>
      </w:r>
      <m:oMath>
        <m:r>
          <w:rPr>
            <w:rFonts w:ascii="Cambria Math" w:eastAsiaTheme="minorEastAsia" w:hAnsi="Cambria Math"/>
          </w:rPr>
          <m:t>c</m:t>
        </m:r>
      </m:oMath>
      <w:r w:rsidRPr="006277C1">
        <w:rPr>
          <w:rFonts w:eastAsiaTheme="minorEastAsia"/>
        </w:rPr>
        <w:t xml:space="preserve">, while </w:t>
      </w:r>
      <m:oMath>
        <m:r>
          <w:rPr>
            <w:rFonts w:ascii="Cambria Math" w:eastAsiaTheme="minorEastAsia" w:hAnsi="Cambria Math"/>
          </w:rPr>
          <m:t>d</m:t>
        </m:r>
      </m:oMath>
      <w:r w:rsidRPr="006277C1">
        <w:rPr>
          <w:rFonts w:eastAsiaTheme="minorEastAsia"/>
        </w:rPr>
        <w:t xml:space="preserve">is calibrated using a centered Z-score based on the 2022 reference cities. </w:t>
      </w:r>
      <w:r w:rsidR="00FB27C3" w:rsidRPr="00FB27C3">
        <w:rPr>
          <w:rFonts w:eastAsiaTheme="minorEastAsia"/>
        </w:rPr>
        <w:t>The numerical weights used in the present application are reported in Table S1. These weights were estimated once from the balanced multi-year panel and subsequently held fixed across cities and rainfall scenarios</w:t>
      </w:r>
      <w:r w:rsidR="0083220F" w:rsidRPr="0083220F">
        <w:rPr>
          <w:rFonts w:eastAsiaTheme="minorEastAsia"/>
        </w:rPr>
        <w:t>.</w:t>
      </w:r>
    </w:p>
    <w:p w14:paraId="6E36E5A3" w14:textId="77777777" w:rsidR="00922F4A" w:rsidRDefault="00000000" w:rsidP="00C97492">
      <w:pPr>
        <w:pStyle w:val="1"/>
        <w:spacing w:before="163" w:after="163"/>
      </w:pPr>
      <w:bookmarkStart w:id="3" w:name="_Toc240017609"/>
      <w:r>
        <w:t>CRM parameter calibration</w:t>
      </w:r>
      <w:bookmarkEnd w:id="3"/>
    </w:p>
    <w:p w14:paraId="4B14858A" w14:textId="77777777" w:rsidR="00922F4A" w:rsidRDefault="00000000" w:rsidP="00454F8A">
      <w:pPr>
        <w:pStyle w:val="2"/>
      </w:pPr>
      <w:bookmarkStart w:id="4" w:name="_Toc240017610"/>
      <w:r>
        <w:t>Common reference sample and normalization</w:t>
      </w:r>
      <w:bookmarkEnd w:id="4"/>
    </w:p>
    <w:p w14:paraId="6D53EB8D" w14:textId="669DC7DA" w:rsidR="00922F4A" w:rsidRDefault="00000000">
      <w:pPr>
        <w:widowControl/>
        <w:ind w:firstLine="480"/>
      </w:pPr>
      <w:r>
        <w:rPr>
          <w:rFonts w:eastAsia="Times New Roman"/>
        </w:rPr>
        <w:t xml:space="preserve">The 2022 dataset is used as the common reference sample for the nine-city empirical illustration. The reference sample contains all cities with complete indicator data under the 10-, 100-, and 500-year rainfall scenarios. Cities lacking any required indicator or any of the three return-period scenarios are excluded before calibration. </w:t>
      </w:r>
      <w:r w:rsidR="00F367B6" w:rsidRPr="00F367B6">
        <w:rPr>
          <w:rFonts w:eastAsia="Times New Roman"/>
        </w:rPr>
        <w:t>The resulting reference sample contains 201 cities and 603 city–return-period observations.</w:t>
      </w:r>
      <w:r w:rsidR="00F367B6">
        <w:rPr>
          <w:rFonts w:eastAsiaTheme="minorEastAsia" w:hint="eastAsia"/>
        </w:rPr>
        <w:t xml:space="preserve"> </w:t>
      </w:r>
      <w:r>
        <w:rPr>
          <w:rFonts w:eastAsia="Times New Roman"/>
        </w:rPr>
        <w:t xml:space="preserve">The nine </w:t>
      </w:r>
      <w:r w:rsidR="008B7C06">
        <w:rPr>
          <w:rFonts w:eastAsiaTheme="minorEastAsia" w:hint="eastAsia"/>
        </w:rPr>
        <w:t>illustrative</w:t>
      </w:r>
      <w:r>
        <w:rPr>
          <w:rFonts w:eastAsia="Times New Roman"/>
        </w:rPr>
        <w:t xml:space="preserve"> cities are extracted only after the common calibration procedure has been completed, so the parameter scale is not determined by the nine selected cases alone.</w:t>
      </w:r>
    </w:p>
    <w:p w14:paraId="47807A0E" w14:textId="77777777" w:rsidR="00922F4A" w:rsidRDefault="00000000">
      <w:pPr>
        <w:widowControl/>
        <w:ind w:firstLine="480"/>
      </w:pPr>
      <w:r>
        <w:rPr>
          <w:rFonts w:eastAsia="Times New Roman"/>
        </w:rPr>
        <w:t>For the empirical parameter calibration, each indicator is normalized to [0,1] within the common 2022 reference sample according to its directional relationship with the corresponding dynamical parameter. Positive indicators are normalized as:</w:t>
      </w:r>
    </w:p>
    <w:p w14:paraId="26D7526A" w14:textId="1DB01736" w:rsidR="00922F4A" w:rsidRDefault="00000000">
      <w:pPr>
        <w:pStyle w:val="a6"/>
        <w:tabs>
          <w:tab w:val="center" w:pos="4153"/>
          <w:tab w:val="right" w:pos="8306"/>
        </w:tabs>
        <w:spacing w:before="60" w:after="60"/>
        <w:jc w:val="left"/>
      </w:pPr>
      <w:r>
        <w:tab/>
      </w:r>
      <m:oMath>
        <m:sSub>
          <m:sSubPr>
            <m:ctrlPr>
              <w:rPr>
                <w:rFonts w:ascii="Cambria Math" w:hAnsi="Cambria Math"/>
              </w:rPr>
            </m:ctrlPr>
          </m:sSubPr>
          <m:e>
            <m:r>
              <w:rPr>
                <w:rFonts w:ascii="Cambria Math" w:hAnsi="Cambria Math"/>
              </w:rPr>
              <m:t>z</m:t>
            </m:r>
          </m:e>
          <m:sub>
            <m:r>
              <w:rPr>
                <w:rFonts w:ascii="Cambria Math" w:hAnsi="Cambria Math"/>
              </w:rPr>
              <m:t>ij</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x</m:t>
                </m:r>
              </m:e>
              <m:sub>
                <m:r>
                  <w:rPr>
                    <w:rFonts w:ascii="Cambria Math" w:hAnsi="Cambria Math"/>
                  </w:rPr>
                  <m:t>ij</m:t>
                </m:r>
              </m:sub>
            </m:sSub>
            <m:r>
              <m:rPr>
                <m:sty m:val="p"/>
              </m:rPr>
              <w:rPr>
                <w:rFonts w:ascii="Cambria Math" w:hAnsi="Cambria Math"/>
              </w:rPr>
              <m:t>-</m:t>
            </m:r>
            <m:sSubSup>
              <m:sSubSupPr>
                <m:ctrlPr>
                  <w:rPr>
                    <w:rFonts w:ascii="Cambria Math" w:hAnsi="Cambria Math"/>
                  </w:rPr>
                </m:ctrlPr>
              </m:sSubSupPr>
              <m:e>
                <m:r>
                  <w:rPr>
                    <w:rFonts w:ascii="Cambria Math" w:hAnsi="Cambria Math"/>
                  </w:rPr>
                  <m:t>x</m:t>
                </m:r>
              </m:e>
              <m:sub>
                <m:r>
                  <w:rPr>
                    <w:rFonts w:ascii="Cambria Math" w:hAnsi="Cambria Math"/>
                  </w:rPr>
                  <m:t>j</m:t>
                </m:r>
              </m:sub>
              <m:sup>
                <m:r>
                  <m:rPr>
                    <m:sty m:val="p"/>
                  </m:rPr>
                  <w:rPr>
                    <w:rFonts w:ascii="Cambria Math" w:hAnsi="Cambria Math"/>
                  </w:rPr>
                  <m:t>min</m:t>
                </m:r>
              </m:sup>
            </m:sSubSup>
          </m:num>
          <m:den>
            <m:sSubSup>
              <m:sSubSupPr>
                <m:ctrlPr>
                  <w:rPr>
                    <w:rFonts w:ascii="Cambria Math" w:hAnsi="Cambria Math"/>
                  </w:rPr>
                </m:ctrlPr>
              </m:sSubSupPr>
              <m:e>
                <m:r>
                  <w:rPr>
                    <w:rFonts w:ascii="Cambria Math" w:hAnsi="Cambria Math"/>
                  </w:rPr>
                  <m:t>x</m:t>
                </m:r>
              </m:e>
              <m:sub>
                <m:r>
                  <w:rPr>
                    <w:rFonts w:ascii="Cambria Math" w:hAnsi="Cambria Math"/>
                  </w:rPr>
                  <m:t>j</m:t>
                </m:r>
              </m:sub>
              <m:sup>
                <m:r>
                  <m:rPr>
                    <m:sty m:val="p"/>
                  </m:rPr>
                  <w:rPr>
                    <w:rFonts w:ascii="Cambria Math" w:hAnsi="Cambria Math"/>
                  </w:rPr>
                  <m:t>max</m:t>
                </m:r>
              </m:sup>
            </m:sSubSup>
            <m:r>
              <m:rPr>
                <m:sty m:val="p"/>
              </m:rPr>
              <w:rPr>
                <w:rFonts w:ascii="Cambria Math" w:hAnsi="Cambria Math"/>
              </w:rPr>
              <m:t>-</m:t>
            </m:r>
            <m:sSubSup>
              <m:sSubSupPr>
                <m:ctrlPr>
                  <w:rPr>
                    <w:rFonts w:ascii="Cambria Math" w:hAnsi="Cambria Math"/>
                  </w:rPr>
                </m:ctrlPr>
              </m:sSubSupPr>
              <m:e>
                <m:r>
                  <w:rPr>
                    <w:rFonts w:ascii="Cambria Math" w:hAnsi="Cambria Math"/>
                  </w:rPr>
                  <m:t>x</m:t>
                </m:r>
              </m:e>
              <m:sub>
                <m:r>
                  <w:rPr>
                    <w:rFonts w:ascii="Cambria Math" w:hAnsi="Cambria Math"/>
                  </w:rPr>
                  <m:t>j</m:t>
                </m:r>
              </m:sub>
              <m:sup>
                <m:r>
                  <m:rPr>
                    <m:sty m:val="p"/>
                  </m:rPr>
                  <w:rPr>
                    <w:rFonts w:ascii="Cambria Math" w:hAnsi="Cambria Math"/>
                  </w:rPr>
                  <m:t>min</m:t>
                </m:r>
              </m:sup>
            </m:sSubSup>
          </m:den>
        </m:f>
      </m:oMath>
      <w:r>
        <w:tab/>
      </w:r>
      <w:r>
        <w:rPr>
          <w:rFonts w:eastAsia="Times New Roman"/>
        </w:rPr>
        <w:t>(S1</w:t>
      </w:r>
      <w:r w:rsidR="0047584A">
        <w:rPr>
          <w:rFonts w:eastAsiaTheme="minorEastAsia" w:hint="eastAsia"/>
        </w:rPr>
        <w:t>1</w:t>
      </w:r>
      <w:r>
        <w:rPr>
          <w:rFonts w:eastAsia="Times New Roman"/>
        </w:rPr>
        <w:t>)</w:t>
      </w:r>
    </w:p>
    <w:p w14:paraId="2D81727E" w14:textId="77777777" w:rsidR="00922F4A" w:rsidRDefault="00000000">
      <w:pPr>
        <w:widowControl/>
        <w:ind w:firstLine="480"/>
      </w:pPr>
      <w:r>
        <w:rPr>
          <w:rFonts w:eastAsia="Times New Roman"/>
        </w:rPr>
        <w:t>Negative indicators are normalized as:</w:t>
      </w:r>
    </w:p>
    <w:p w14:paraId="5A121846" w14:textId="0175F2F7" w:rsidR="00922F4A" w:rsidRDefault="00000000">
      <w:pPr>
        <w:pStyle w:val="a6"/>
        <w:tabs>
          <w:tab w:val="center" w:pos="4153"/>
          <w:tab w:val="right" w:pos="8306"/>
        </w:tabs>
        <w:spacing w:before="60" w:after="60"/>
        <w:jc w:val="left"/>
      </w:pPr>
      <w:r>
        <w:tab/>
      </w:r>
      <m:oMath>
        <m:sSub>
          <m:sSubPr>
            <m:ctrlPr>
              <w:rPr>
                <w:rFonts w:ascii="Cambria Math" w:hAnsi="Cambria Math"/>
              </w:rPr>
            </m:ctrlPr>
          </m:sSubPr>
          <m:e>
            <m:r>
              <w:rPr>
                <w:rFonts w:ascii="Cambria Math" w:hAnsi="Cambria Math"/>
              </w:rPr>
              <m:t>z</m:t>
            </m:r>
          </m:e>
          <m:sub>
            <m:r>
              <w:rPr>
                <w:rFonts w:ascii="Cambria Math" w:hAnsi="Cambria Math"/>
              </w:rPr>
              <m:t>ij</m:t>
            </m:r>
          </m:sub>
        </m:sSub>
        <m:r>
          <m:rPr>
            <m:sty m:val="p"/>
          </m:rPr>
          <w:rPr>
            <w:rFonts w:ascii="Cambria Math" w:hAnsi="Cambria Math"/>
          </w:rPr>
          <m:t>=</m:t>
        </m:r>
        <m:f>
          <m:fPr>
            <m:ctrlPr>
              <w:rPr>
                <w:rFonts w:ascii="Cambria Math" w:hAnsi="Cambria Math"/>
              </w:rPr>
            </m:ctrlPr>
          </m:fPr>
          <m:num>
            <m:sSubSup>
              <m:sSubSupPr>
                <m:ctrlPr>
                  <w:rPr>
                    <w:rFonts w:ascii="Cambria Math" w:hAnsi="Cambria Math"/>
                  </w:rPr>
                </m:ctrlPr>
              </m:sSubSupPr>
              <m:e>
                <m:r>
                  <w:rPr>
                    <w:rFonts w:ascii="Cambria Math" w:hAnsi="Cambria Math"/>
                  </w:rPr>
                  <m:t>x</m:t>
                </m:r>
              </m:e>
              <m:sub>
                <m:r>
                  <w:rPr>
                    <w:rFonts w:ascii="Cambria Math" w:hAnsi="Cambria Math"/>
                  </w:rPr>
                  <m:t>j</m:t>
                </m:r>
              </m:sub>
              <m:sup>
                <m:r>
                  <m:rPr>
                    <m:sty m:val="p"/>
                  </m:rPr>
                  <w:rPr>
                    <w:rFonts w:ascii="Cambria Math" w:hAnsi="Cambria Math"/>
                  </w:rPr>
                  <m:t>max</m:t>
                </m:r>
              </m:sup>
            </m:sSubSup>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ij</m:t>
                </m:r>
              </m:sub>
            </m:sSub>
          </m:num>
          <m:den>
            <m:sSubSup>
              <m:sSubSupPr>
                <m:ctrlPr>
                  <w:rPr>
                    <w:rFonts w:ascii="Cambria Math" w:hAnsi="Cambria Math"/>
                  </w:rPr>
                </m:ctrlPr>
              </m:sSubSupPr>
              <m:e>
                <m:r>
                  <w:rPr>
                    <w:rFonts w:ascii="Cambria Math" w:hAnsi="Cambria Math"/>
                  </w:rPr>
                  <m:t>x</m:t>
                </m:r>
              </m:e>
              <m:sub>
                <m:r>
                  <w:rPr>
                    <w:rFonts w:ascii="Cambria Math" w:hAnsi="Cambria Math"/>
                  </w:rPr>
                  <m:t>j</m:t>
                </m:r>
              </m:sub>
              <m:sup>
                <m:r>
                  <m:rPr>
                    <m:sty m:val="p"/>
                  </m:rPr>
                  <w:rPr>
                    <w:rFonts w:ascii="Cambria Math" w:hAnsi="Cambria Math"/>
                  </w:rPr>
                  <m:t>max</m:t>
                </m:r>
              </m:sup>
            </m:sSubSup>
            <m:r>
              <m:rPr>
                <m:sty m:val="p"/>
              </m:rPr>
              <w:rPr>
                <w:rFonts w:ascii="Cambria Math" w:hAnsi="Cambria Math"/>
              </w:rPr>
              <m:t>-</m:t>
            </m:r>
            <m:sSubSup>
              <m:sSubSupPr>
                <m:ctrlPr>
                  <w:rPr>
                    <w:rFonts w:ascii="Cambria Math" w:hAnsi="Cambria Math"/>
                  </w:rPr>
                </m:ctrlPr>
              </m:sSubSupPr>
              <m:e>
                <m:r>
                  <w:rPr>
                    <w:rFonts w:ascii="Cambria Math" w:hAnsi="Cambria Math"/>
                  </w:rPr>
                  <m:t>x</m:t>
                </m:r>
              </m:e>
              <m:sub>
                <m:r>
                  <w:rPr>
                    <w:rFonts w:ascii="Cambria Math" w:hAnsi="Cambria Math"/>
                  </w:rPr>
                  <m:t>j</m:t>
                </m:r>
              </m:sub>
              <m:sup>
                <m:r>
                  <m:rPr>
                    <m:sty m:val="p"/>
                  </m:rPr>
                  <w:rPr>
                    <w:rFonts w:ascii="Cambria Math" w:hAnsi="Cambria Math"/>
                  </w:rPr>
                  <m:t>min</m:t>
                </m:r>
              </m:sup>
            </m:sSubSup>
          </m:den>
        </m:f>
      </m:oMath>
      <w:r>
        <w:tab/>
      </w:r>
      <w:r>
        <w:rPr>
          <w:rFonts w:eastAsia="Times New Roman"/>
        </w:rPr>
        <w:t>(S1</w:t>
      </w:r>
      <w:r w:rsidR="0047584A">
        <w:rPr>
          <w:rFonts w:eastAsiaTheme="minorEastAsia" w:hint="eastAsia"/>
        </w:rPr>
        <w:t>2</w:t>
      </w:r>
      <w:r>
        <w:rPr>
          <w:rFonts w:eastAsia="Times New Roman"/>
        </w:rPr>
        <w:t>)</w:t>
      </w:r>
    </w:p>
    <w:p w14:paraId="033A20BB" w14:textId="0C89D8E6" w:rsidR="00922F4A" w:rsidRDefault="00000000">
      <w:pPr>
        <w:widowControl/>
        <w:ind w:firstLine="480"/>
      </w:pPr>
      <w:r>
        <w:rPr>
          <w:rFonts w:eastAsia="Times New Roman"/>
        </w:rPr>
        <w:lastRenderedPageBreak/>
        <w:t xml:space="preserve">A1 is positively related to </w:t>
      </w:r>
      <w:r w:rsidRPr="000D0F10">
        <w:rPr>
          <w:rFonts w:eastAsia="Times New Roman"/>
          <w:i/>
          <w:iCs/>
        </w:rPr>
        <w:t>a</w:t>
      </w:r>
      <w:r>
        <w:rPr>
          <w:rFonts w:eastAsia="Times New Roman"/>
        </w:rPr>
        <w:t xml:space="preserve">, whereas A2 and A3 are negatively related to </w:t>
      </w:r>
      <w:r w:rsidRPr="000D0F10">
        <w:rPr>
          <w:rFonts w:eastAsia="Times New Roman"/>
          <w:i/>
          <w:iCs/>
        </w:rPr>
        <w:t>a</w:t>
      </w:r>
      <w:r>
        <w:rPr>
          <w:rFonts w:eastAsia="Times New Roman"/>
        </w:rPr>
        <w:t xml:space="preserve">. The redundancy, rapidity, and resourcefulness indicators are positively related to their corresponding physical parameters </w:t>
      </w:r>
      <w:r w:rsidRPr="000D0F10">
        <w:rPr>
          <w:rFonts w:eastAsia="Times New Roman"/>
          <w:i/>
          <w:iCs/>
        </w:rPr>
        <w:t>b</w:t>
      </w:r>
      <w:r>
        <w:rPr>
          <w:rFonts w:eastAsia="Times New Roman"/>
        </w:rPr>
        <w:t xml:space="preserve">, </w:t>
      </w:r>
      <w:r w:rsidRPr="000D0F10">
        <w:rPr>
          <w:rFonts w:eastAsia="Times New Roman"/>
          <w:i/>
          <w:iCs/>
        </w:rPr>
        <w:t>c</w:t>
      </w:r>
      <w:r>
        <w:rPr>
          <w:rFonts w:eastAsia="Times New Roman"/>
        </w:rPr>
        <w:t xml:space="preserve">, and </w:t>
      </w:r>
      <w:r w:rsidRPr="000D0F10">
        <w:rPr>
          <w:rFonts w:eastAsia="Times New Roman"/>
          <w:i/>
          <w:iCs/>
        </w:rPr>
        <w:t>d</w:t>
      </w:r>
      <w:r>
        <w:rPr>
          <w:rFonts w:eastAsia="Times New Roman"/>
        </w:rPr>
        <w:t xml:space="preserve"> in CRM.</w:t>
      </w:r>
    </w:p>
    <w:p w14:paraId="68065D9A" w14:textId="2DA744E5" w:rsidR="00922F4A" w:rsidRDefault="006277C1" w:rsidP="00454F8A">
      <w:pPr>
        <w:pStyle w:val="2"/>
      </w:pPr>
      <w:bookmarkStart w:id="5" w:name="_Toc240017611"/>
      <w:r w:rsidRPr="006277C1">
        <w:t>Mapping attribute scores to CRM parameters</w:t>
      </w:r>
      <w:bookmarkEnd w:id="5"/>
    </w:p>
    <w:p w14:paraId="1A1975DC" w14:textId="3725A9EF" w:rsidR="00261BC1" w:rsidRPr="006277C1" w:rsidRDefault="006277C1" w:rsidP="00261BC1">
      <w:pPr>
        <w:widowControl/>
        <w:ind w:firstLine="480"/>
        <w:rPr>
          <w:rFonts w:eastAsiaTheme="minorEastAsia"/>
        </w:rPr>
      </w:pPr>
      <w:r w:rsidRPr="006277C1">
        <w:rPr>
          <w:rFonts w:eastAsia="Times New Roman"/>
        </w:rPr>
        <w:t xml:space="preserve">The composite robustness, redundancy, and rapidity scores are dimensionless relative measures and are mapped to the predefined physical ranges of </w:t>
      </w:r>
      <m:oMath>
        <m:r>
          <w:rPr>
            <w:rFonts w:ascii="Cambria Math" w:eastAsia="Times New Roman" w:hAnsi="Cambria Math"/>
          </w:rPr>
          <m:t>a</m:t>
        </m:r>
      </m:oMath>
      <w:r w:rsidRPr="006277C1">
        <w:rPr>
          <w:rFonts w:eastAsia="Times New Roman"/>
        </w:rPr>
        <w:t xml:space="preserve">, </w:t>
      </w:r>
      <m:oMath>
        <m:r>
          <w:rPr>
            <w:rFonts w:ascii="Cambria Math" w:eastAsia="Times New Roman" w:hAnsi="Cambria Math"/>
          </w:rPr>
          <m:t>b</m:t>
        </m:r>
      </m:oMath>
      <w:r w:rsidRPr="006277C1">
        <w:rPr>
          <w:rFonts w:eastAsia="Times New Roman"/>
        </w:rPr>
        <w:t xml:space="preserve">, and </w:t>
      </w:r>
      <m:oMath>
        <m:r>
          <w:rPr>
            <w:rFonts w:ascii="Cambria Math" w:eastAsia="Times New Roman" w:hAnsi="Cambria Math"/>
          </w:rPr>
          <m:t>c</m:t>
        </m:r>
      </m:oMath>
      <w:r>
        <w:rPr>
          <w:rFonts w:eastAsiaTheme="minorEastAsia" w:hint="eastAsia"/>
        </w:rPr>
        <w:t xml:space="preserve"> </w:t>
      </w:r>
      <w:r w:rsidRPr="006277C1">
        <w:rPr>
          <w:rFonts w:eastAsia="Times New Roman"/>
        </w:rPr>
        <w:t xml:space="preserve">using rank-percentile mapping. This procedure preserves the relative ordering of assessment units while reducing sensitivity to extreme score magnitudes. For assessment unit </w:t>
      </w:r>
      <m:oMath>
        <m:r>
          <w:rPr>
            <w:rFonts w:ascii="Cambria Math" w:eastAsia="Times New Roman" w:hAnsi="Cambria Math"/>
          </w:rPr>
          <m:t>i</m:t>
        </m:r>
      </m:oMath>
      <w:r w:rsidRPr="006277C1">
        <w:rPr>
          <w:rFonts w:eastAsia="Times New Roman"/>
        </w:rPr>
        <w:t>, the normalized rank position is defined as:</w:t>
      </w:r>
      <w:r>
        <w:rPr>
          <w:rFonts w:eastAsiaTheme="minorEastAsia"/>
        </w:rPr>
        <w:tab/>
      </w:r>
    </w:p>
    <w:p w14:paraId="5DCB2E45" w14:textId="6A6B90B0" w:rsidR="00261BC1" w:rsidRPr="00261BC1" w:rsidRDefault="00261BC1" w:rsidP="00261BC1">
      <w:pPr>
        <w:pStyle w:val="a6"/>
        <w:rPr>
          <w:rFonts w:eastAsiaTheme="minorEastAsia"/>
        </w:rPr>
      </w:pPr>
      <w:r>
        <w:rPr>
          <w:rFonts w:eastAsiaTheme="minorEastAsia"/>
        </w:rPr>
        <w:tab/>
      </w:r>
      <m:oMath>
        <m:sSub>
          <m:sSubPr>
            <m:ctrlPr>
              <w:rPr>
                <w:rFonts w:ascii="Cambria Math" w:hAnsi="Cambria Math"/>
              </w:rPr>
            </m:ctrlPr>
          </m:sSubPr>
          <m:e>
            <m:r>
              <w:rPr>
                <w:rFonts w:ascii="Cambria Math" w:hAnsi="Cambria Math"/>
              </w:rPr>
              <m:t>q</m:t>
            </m:r>
          </m:e>
          <m:sub>
            <m:r>
              <w:rPr>
                <w:rFonts w:ascii="Cambria Math" w:hAnsi="Cambria Math"/>
              </w:rPr>
              <m:t>i</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r</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min</m:t>
                </m:r>
              </m:sub>
            </m:sSub>
          </m:num>
          <m:den>
            <m:sSub>
              <m:sSubPr>
                <m:ctrlPr>
                  <w:rPr>
                    <w:rFonts w:ascii="Cambria Math" w:hAnsi="Cambria Math"/>
                  </w:rPr>
                </m:ctrlPr>
              </m:sSubPr>
              <m:e>
                <m:r>
                  <m:rPr>
                    <m:sty m:val="p"/>
                  </m:rPr>
                  <w:rPr>
                    <w:rFonts w:ascii="Cambria Math" w:hAnsi="Cambria Math"/>
                  </w:rPr>
                  <m:t>r</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min</m:t>
                </m:r>
              </m:sub>
            </m:sSub>
          </m:den>
        </m:f>
      </m:oMath>
      <w:r>
        <w:rPr>
          <w:rFonts w:eastAsiaTheme="minorEastAsia"/>
        </w:rPr>
        <w:tab/>
      </w:r>
      <w:r>
        <w:rPr>
          <w:rFonts w:eastAsiaTheme="minorEastAsia" w:hint="eastAsia"/>
        </w:rPr>
        <w:t>(S1</w:t>
      </w:r>
      <w:r w:rsidR="0047584A">
        <w:rPr>
          <w:rFonts w:eastAsiaTheme="minorEastAsia" w:hint="eastAsia"/>
        </w:rPr>
        <w:t>3</w:t>
      </w:r>
      <w:r>
        <w:rPr>
          <w:rFonts w:eastAsiaTheme="minorEastAsia" w:hint="eastAsia"/>
        </w:rPr>
        <w:t>)</w:t>
      </w:r>
    </w:p>
    <w:p w14:paraId="5D1C0E3A" w14:textId="18DDB605" w:rsidR="00261BC1" w:rsidRPr="006277C1" w:rsidRDefault="006277C1" w:rsidP="00261BC1">
      <w:pPr>
        <w:widowControl/>
        <w:ind w:firstLine="480"/>
        <w:rPr>
          <w:rFonts w:eastAsiaTheme="minorEastAsia"/>
        </w:rPr>
      </w:pPr>
      <w:r w:rsidRPr="006277C1">
        <w:rPr>
          <w:rFonts w:eastAsia="Times New Roman"/>
        </w:rPr>
        <w:t xml:space="preserve">where </w:t>
      </w:r>
      <m:oMath>
        <m:sSub>
          <m:sSubPr>
            <m:ctrlPr>
              <w:rPr>
                <w:rFonts w:ascii="Cambria Math" w:eastAsia="Times New Roman" w:hAnsi="Cambria Math"/>
              </w:rPr>
            </m:ctrlPr>
          </m:sSubPr>
          <m:e>
            <m:r>
              <w:rPr>
                <w:rFonts w:ascii="Cambria Math" w:eastAsia="Times New Roman" w:hAnsi="Cambria Math"/>
              </w:rPr>
              <m:t>r</m:t>
            </m:r>
          </m:e>
          <m:sub>
            <m:r>
              <w:rPr>
                <w:rFonts w:ascii="Cambria Math" w:eastAsia="Times New Roman" w:hAnsi="Cambria Math"/>
              </w:rPr>
              <m:t>i</m:t>
            </m:r>
          </m:sub>
        </m:sSub>
      </m:oMath>
      <w:r>
        <w:rPr>
          <w:rFonts w:eastAsiaTheme="minorEastAsia" w:hint="eastAsia"/>
        </w:rPr>
        <w:t xml:space="preserve"> </w:t>
      </w:r>
      <w:r w:rsidRPr="006277C1">
        <w:rPr>
          <w:rFonts w:eastAsia="Times New Roman"/>
        </w:rPr>
        <w:t xml:space="preserve">is the rank of the corresponding attribute score within its calibration group, and </w:t>
      </w:r>
      <m:oMath>
        <m:sSub>
          <m:sSubPr>
            <m:ctrlPr>
              <w:rPr>
                <w:rFonts w:ascii="Cambria Math" w:eastAsia="Times New Roman" w:hAnsi="Cambria Math"/>
              </w:rPr>
            </m:ctrlPr>
          </m:sSubPr>
          <m:e>
            <m:r>
              <w:rPr>
                <w:rFonts w:ascii="Cambria Math" w:eastAsia="Times New Roman" w:hAnsi="Cambria Math"/>
              </w:rPr>
              <m:t>r</m:t>
            </m:r>
          </m:e>
          <m:sub>
            <m:r>
              <m:rPr>
                <m:sty m:val="p"/>
              </m:rPr>
              <w:rPr>
                <w:rFonts w:ascii="Cambria Math" w:eastAsia="Times New Roman" w:hAnsi="Cambria Math"/>
              </w:rPr>
              <m:t>min</m:t>
            </m:r>
          </m:sub>
        </m:sSub>
      </m:oMath>
      <w:r>
        <w:rPr>
          <w:rFonts w:eastAsiaTheme="minorEastAsia" w:hint="eastAsia"/>
        </w:rPr>
        <w:t xml:space="preserve"> </w:t>
      </w:r>
      <w:r w:rsidRPr="006277C1">
        <w:rPr>
          <w:rFonts w:eastAsia="Times New Roman"/>
        </w:rPr>
        <w:t xml:space="preserve">and </w:t>
      </w:r>
      <m:oMath>
        <m:sSub>
          <m:sSubPr>
            <m:ctrlPr>
              <w:rPr>
                <w:rFonts w:ascii="Cambria Math" w:eastAsia="Times New Roman" w:hAnsi="Cambria Math"/>
              </w:rPr>
            </m:ctrlPr>
          </m:sSubPr>
          <m:e>
            <m:r>
              <w:rPr>
                <w:rFonts w:ascii="Cambria Math" w:eastAsia="Times New Roman" w:hAnsi="Cambria Math"/>
              </w:rPr>
              <m:t>r</m:t>
            </m:r>
          </m:e>
          <m:sub>
            <m:r>
              <m:rPr>
                <m:sty m:val="p"/>
              </m:rPr>
              <w:rPr>
                <w:rFonts w:ascii="Cambria Math" w:eastAsia="Times New Roman" w:hAnsi="Cambria Math"/>
              </w:rPr>
              <m:t>max</m:t>
            </m:r>
          </m:sub>
        </m:sSub>
      </m:oMath>
      <w:r>
        <w:rPr>
          <w:rFonts w:eastAsiaTheme="minorEastAsia" w:hint="eastAsia"/>
        </w:rPr>
        <w:t xml:space="preserve"> </w:t>
      </w:r>
      <w:r w:rsidRPr="006277C1">
        <w:rPr>
          <w:rFonts w:eastAsia="Times New Roman"/>
        </w:rPr>
        <w:t>are the minimum and maximum ranks, respectively. Tied observations are assigned their average rank. The corresponding physical parameter is then calculated as:</w:t>
      </w:r>
    </w:p>
    <w:p w14:paraId="185A9EAA" w14:textId="756E0E57" w:rsidR="00261BC1" w:rsidRPr="00261BC1" w:rsidRDefault="00261BC1" w:rsidP="00261BC1">
      <w:pPr>
        <w:pStyle w:val="a6"/>
        <w:rPr>
          <w:rFonts w:eastAsiaTheme="minorEastAsia"/>
        </w:rPr>
      </w:pPr>
      <w:r>
        <w:rPr>
          <w:rFonts w:eastAsiaTheme="minorEastAsia"/>
        </w:rPr>
        <w:tab/>
      </w:r>
      <m:oMath>
        <m:sSub>
          <m:sSubPr>
            <m:ctrlPr>
              <w:rPr>
                <w:rFonts w:ascii="Cambria Math" w:hAnsi="Cambria Math"/>
              </w:rPr>
            </m:ctrlPr>
          </m:sSubPr>
          <m:e>
            <m:r>
              <w:rPr>
                <w:rFonts w:ascii="Cambria Math" w:hAnsi="Cambria Math"/>
              </w:rPr>
              <m:t>θ</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θ</m:t>
            </m:r>
          </m:e>
          <m:sub>
            <m:r>
              <w:rPr>
                <w:rFonts w:ascii="Cambria Math" w:hAnsi="Cambria Math" w:hint="eastAsia"/>
              </w:rPr>
              <m:t>min</m:t>
            </m:r>
          </m:sub>
        </m:sSub>
        <m:r>
          <w:rPr>
            <w:rFonts w:ascii="Cambria Math" w:hAnsi="Cambria Math"/>
          </w:rPr>
          <m:t>+</m:t>
        </m:r>
        <m:sSub>
          <m:sSubPr>
            <m:ctrlPr>
              <w:rPr>
                <w:rFonts w:ascii="Cambria Math" w:hAnsi="Cambria Math"/>
              </w:rPr>
            </m:ctrlPr>
          </m:sSubPr>
          <m:e>
            <m:r>
              <w:rPr>
                <w:rFonts w:ascii="Cambria Math" w:hAnsi="Cambria Math"/>
              </w:rPr>
              <m:t>q</m:t>
            </m:r>
          </m:e>
          <m:sub>
            <m:r>
              <w:rPr>
                <w:rFonts w:ascii="Cambria Math" w:hAnsi="Cambria Math"/>
              </w:rPr>
              <m:t>i</m:t>
            </m:r>
          </m:sub>
        </m:sSub>
        <m:d>
          <m:dPr>
            <m:ctrlPr>
              <w:rPr>
                <w:rFonts w:ascii="Cambria Math" w:hAnsi="Cambria Math"/>
              </w:rPr>
            </m:ctrlPr>
          </m:dPr>
          <m:e>
            <m:sSub>
              <m:sSubPr>
                <m:ctrlPr>
                  <w:rPr>
                    <w:rFonts w:ascii="Cambria Math" w:hAnsi="Cambria Math"/>
                  </w:rPr>
                </m:ctrlPr>
              </m:sSubPr>
              <m:e>
                <m:r>
                  <w:rPr>
                    <w:rFonts w:ascii="Cambria Math" w:hAnsi="Cambria Math"/>
                  </w:rPr>
                  <m:t>θ</m:t>
                </m:r>
              </m:e>
              <m:sub>
                <m:r>
                  <w:rPr>
                    <w:rFonts w:ascii="Cambria Math" w:hAnsi="Cambria Math" w:hint="eastAsia"/>
                  </w:rPr>
                  <m:t>max</m:t>
                </m:r>
              </m:sub>
            </m:sSub>
            <m:r>
              <w:rPr>
                <w:rFonts w:ascii="Cambria Math" w:hAnsi="Cambria Math"/>
              </w:rPr>
              <m:t>-</m:t>
            </m:r>
            <m:sSub>
              <m:sSubPr>
                <m:ctrlPr>
                  <w:rPr>
                    <w:rFonts w:ascii="Cambria Math" w:hAnsi="Cambria Math"/>
                  </w:rPr>
                </m:ctrlPr>
              </m:sSubPr>
              <m:e>
                <m:r>
                  <w:rPr>
                    <w:rFonts w:ascii="Cambria Math" w:hAnsi="Cambria Math"/>
                  </w:rPr>
                  <m:t>θ</m:t>
                </m:r>
              </m:e>
              <m:sub>
                <m:r>
                  <w:rPr>
                    <w:rFonts w:ascii="Cambria Math" w:hAnsi="Cambria Math" w:hint="eastAsia"/>
                  </w:rPr>
                  <m:t>min</m:t>
                </m:r>
              </m:sub>
            </m:sSub>
          </m:e>
        </m:d>
      </m:oMath>
      <w:r>
        <w:rPr>
          <w:rFonts w:eastAsiaTheme="minorEastAsia"/>
        </w:rPr>
        <w:tab/>
      </w:r>
      <w:r>
        <w:rPr>
          <w:rFonts w:eastAsiaTheme="minorEastAsia" w:hint="eastAsia"/>
        </w:rPr>
        <w:t>(S1</w:t>
      </w:r>
      <w:r w:rsidR="0047584A">
        <w:rPr>
          <w:rFonts w:eastAsiaTheme="minorEastAsia" w:hint="eastAsia"/>
        </w:rPr>
        <w:t>4</w:t>
      </w:r>
      <w:r>
        <w:rPr>
          <w:rFonts w:eastAsiaTheme="minorEastAsia" w:hint="eastAsia"/>
        </w:rPr>
        <w:t>)</w:t>
      </w:r>
    </w:p>
    <w:p w14:paraId="0E26A83A" w14:textId="630674D2" w:rsidR="00922F4A" w:rsidRDefault="006277C1" w:rsidP="00261BC1">
      <w:pPr>
        <w:widowControl/>
        <w:ind w:firstLine="480"/>
        <w:rPr>
          <w:rFonts w:eastAsiaTheme="minorEastAsia"/>
        </w:rPr>
      </w:pPr>
      <w:r w:rsidRPr="006277C1">
        <w:rPr>
          <w:rFonts w:eastAsia="Times New Roman"/>
        </w:rPr>
        <w:t xml:space="preserve">where </w:t>
      </w:r>
      <m:oMath>
        <m:r>
          <w:rPr>
            <w:rFonts w:ascii="Cambria Math" w:eastAsia="Times New Roman" w:hAnsi="Cambria Math"/>
          </w:rPr>
          <m:t>θ</m:t>
        </m:r>
      </m:oMath>
      <w:r w:rsidR="00F10FB8">
        <w:rPr>
          <w:rFonts w:eastAsiaTheme="minorEastAsia" w:hint="eastAsia"/>
        </w:rPr>
        <w:t xml:space="preserve"> </w:t>
      </w:r>
      <w:r w:rsidRPr="006277C1">
        <w:rPr>
          <w:rFonts w:eastAsia="Times New Roman"/>
        </w:rPr>
        <w:t xml:space="preserve">denotes </w:t>
      </w:r>
      <m:oMath>
        <m:r>
          <w:rPr>
            <w:rFonts w:ascii="Cambria Math" w:eastAsia="Times New Roman" w:hAnsi="Cambria Math"/>
          </w:rPr>
          <m:t>a</m:t>
        </m:r>
      </m:oMath>
      <w:r w:rsidRPr="006277C1">
        <w:rPr>
          <w:rFonts w:eastAsia="Times New Roman"/>
        </w:rPr>
        <w:t xml:space="preserve">, </w:t>
      </w:r>
      <m:oMath>
        <m:r>
          <w:rPr>
            <w:rFonts w:ascii="Cambria Math" w:eastAsia="Times New Roman" w:hAnsi="Cambria Math"/>
          </w:rPr>
          <m:t>b</m:t>
        </m:r>
      </m:oMath>
      <w:r w:rsidRPr="006277C1">
        <w:rPr>
          <w:rFonts w:eastAsia="Times New Roman"/>
        </w:rPr>
        <w:t xml:space="preserve">, or </w:t>
      </w:r>
      <m:oMath>
        <m:r>
          <w:rPr>
            <w:rFonts w:ascii="Cambria Math" w:eastAsia="Times New Roman" w:hAnsi="Cambria Math"/>
          </w:rPr>
          <m:t>c</m:t>
        </m:r>
      </m:oMath>
      <w:r w:rsidRPr="006277C1">
        <w:rPr>
          <w:rFonts w:eastAsia="Times New Roman"/>
        </w:rPr>
        <w:t xml:space="preserve">, and </w:t>
      </w:r>
      <m:oMath>
        <m:sSub>
          <m:sSubPr>
            <m:ctrlPr>
              <w:rPr>
                <w:rFonts w:ascii="Cambria Math" w:eastAsia="Times New Roman" w:hAnsi="Cambria Math"/>
              </w:rPr>
            </m:ctrlPr>
          </m:sSubPr>
          <m:e>
            <m:r>
              <w:rPr>
                <w:rFonts w:ascii="Cambria Math" w:eastAsia="Times New Roman" w:hAnsi="Cambria Math"/>
              </w:rPr>
              <m:t>θ</m:t>
            </m:r>
          </m:e>
          <m:sub>
            <m:r>
              <m:rPr>
                <m:sty m:val="p"/>
              </m:rPr>
              <w:rPr>
                <w:rFonts w:ascii="Cambria Math" w:eastAsia="Times New Roman" w:hAnsi="Cambria Math"/>
              </w:rPr>
              <m:t>min</m:t>
            </m:r>
          </m:sub>
        </m:sSub>
      </m:oMath>
      <w:r>
        <w:rPr>
          <w:rFonts w:eastAsiaTheme="minorEastAsia" w:hint="eastAsia"/>
        </w:rPr>
        <w:t xml:space="preserve"> </w:t>
      </w:r>
      <w:r w:rsidRPr="006277C1">
        <w:rPr>
          <w:rFonts w:eastAsia="Times New Roman"/>
        </w:rPr>
        <w:t xml:space="preserve">and </w:t>
      </w:r>
      <m:oMath>
        <m:sSub>
          <m:sSubPr>
            <m:ctrlPr>
              <w:rPr>
                <w:rFonts w:ascii="Cambria Math" w:eastAsia="Times New Roman" w:hAnsi="Cambria Math"/>
              </w:rPr>
            </m:ctrlPr>
          </m:sSubPr>
          <m:e>
            <m:r>
              <w:rPr>
                <w:rFonts w:ascii="Cambria Math" w:eastAsia="Times New Roman" w:hAnsi="Cambria Math"/>
              </w:rPr>
              <m:t>θ</m:t>
            </m:r>
          </m:e>
          <m:sub>
            <m:r>
              <m:rPr>
                <m:sty m:val="p"/>
              </m:rPr>
              <w:rPr>
                <w:rFonts w:ascii="Cambria Math" w:eastAsia="Times New Roman" w:hAnsi="Cambria Math"/>
              </w:rPr>
              <m:t>max</m:t>
            </m:r>
          </m:sub>
        </m:sSub>
      </m:oMath>
      <w:r>
        <w:rPr>
          <w:rFonts w:eastAsiaTheme="minorEastAsia" w:hint="eastAsia"/>
        </w:rPr>
        <w:t xml:space="preserve"> </w:t>
      </w:r>
      <w:r w:rsidRPr="006277C1">
        <w:rPr>
          <w:rFonts w:eastAsia="Times New Roman"/>
        </w:rPr>
        <w:t>are the lower and upper empirical calibration bounds listed in Table S2</w:t>
      </w:r>
      <w:r w:rsidR="00261BC1">
        <w:rPr>
          <w:rFonts w:eastAsia="Times New Roman"/>
        </w:rPr>
        <w:t>.</w:t>
      </w:r>
    </w:p>
    <w:p w14:paraId="562546B2" w14:textId="09BC9261" w:rsidR="006277C1" w:rsidRPr="006277C1" w:rsidRDefault="006277C1" w:rsidP="006277C1">
      <w:pPr>
        <w:widowControl/>
        <w:ind w:firstLine="480"/>
        <w:rPr>
          <w:rFonts w:eastAsiaTheme="minorEastAsia"/>
        </w:rPr>
      </w:pPr>
      <w:r w:rsidRPr="006277C1">
        <w:rPr>
          <w:rFonts w:eastAsiaTheme="minorEastAsia"/>
        </w:rPr>
        <w:t xml:space="preserve">The resourcefulness parameter </w:t>
      </w:r>
      <w:r w:rsidRPr="006277C1">
        <w:rPr>
          <w:rFonts w:eastAsiaTheme="minorEastAsia" w:hint="eastAsia"/>
          <w:i/>
          <w:iCs/>
        </w:rPr>
        <w:t>d</w:t>
      </w:r>
      <w:r w:rsidRPr="006277C1">
        <w:rPr>
          <w:rFonts w:eastAsiaTheme="minorEastAsia"/>
        </w:rPr>
        <w:t xml:space="preserve"> is calibrated differently because it represents the terminal steady-state performance relative to the normalized pre-shock baseline </w:t>
      </w:r>
      <m:oMath>
        <m:r>
          <w:rPr>
            <w:rFonts w:ascii="Cambria Math" w:eastAsiaTheme="minorEastAsia" w:hAnsi="Cambria Math"/>
          </w:rPr>
          <m:t>P(</m:t>
        </m:r>
        <m:sSub>
          <m:sSubPr>
            <m:ctrlPr>
              <w:rPr>
                <w:rFonts w:ascii="Cambria Math" w:eastAsiaTheme="minorEastAsia" w:hAnsi="Cambria Math"/>
                <w:i/>
              </w:rPr>
            </m:ctrlPr>
          </m:sSubPr>
          <m:e>
            <m:r>
              <w:rPr>
                <w:rFonts w:ascii="Cambria Math" w:eastAsiaTheme="minorEastAsia" w:hAnsi="Cambria Math" w:hint="eastAsia"/>
              </w:rPr>
              <m:t>t</m:t>
            </m:r>
          </m:e>
          <m:sub>
            <m:r>
              <w:rPr>
                <w:rFonts w:ascii="Cambria Math" w:eastAsiaTheme="minorEastAsia" w:hAnsi="Cambria Math"/>
              </w:rPr>
              <m:t>0</m:t>
            </m:r>
          </m:sub>
        </m:sSub>
        <m:r>
          <w:rPr>
            <w:rFonts w:ascii="Cambria Math" w:eastAsiaTheme="minorEastAsia" w:hAnsi="Cambria Math"/>
          </w:rPr>
          <m:t>)=1</m:t>
        </m:r>
      </m:oMath>
      <w:r w:rsidRPr="006277C1">
        <w:rPr>
          <w:rFonts w:eastAsiaTheme="minorEastAsia"/>
        </w:rPr>
        <w:t>. The composite resourcefulness score is first averaged across the three rainfall scenarios for each city. Its standardized position relative to the complete 2022 reference-city sample is then calculated as:</w:t>
      </w:r>
    </w:p>
    <w:p w14:paraId="30E6DE00" w14:textId="370CA828" w:rsidR="006277C1" w:rsidRPr="006277C1" w:rsidRDefault="006277C1" w:rsidP="006277C1">
      <w:pPr>
        <w:pStyle w:val="a6"/>
      </w:pPr>
      <w:r>
        <w:rPr>
          <w:rFonts w:eastAsiaTheme="minorEastAsia"/>
          <w:sz w:val="24"/>
        </w:rPr>
        <w:tab/>
      </w:r>
      <m:oMath>
        <m:sSub>
          <m:sSubPr>
            <m:ctrlPr>
              <w:rPr>
                <w:rFonts w:ascii="Cambria Math" w:hAnsi="Cambria Math"/>
                <w:sz w:val="24"/>
              </w:rPr>
            </m:ctrlPr>
          </m:sSubPr>
          <m:e>
            <m:r>
              <w:rPr>
                <w:rFonts w:ascii="Cambria Math" w:hAnsi="Cambria Math" w:hint="eastAsia"/>
              </w:rPr>
              <m:t>z</m:t>
            </m:r>
          </m:e>
          <m:sub>
            <m:r>
              <w:rPr>
                <w:rFonts w:ascii="Cambria Math" w:hAnsi="Cambria Math"/>
              </w:rPr>
              <m:t>D</m:t>
            </m:r>
            <m:r>
              <m:rPr>
                <m:sty m:val="p"/>
              </m:rPr>
              <w:rPr>
                <w:rFonts w:ascii="Cambria Math" w:hAnsi="Cambria Math"/>
              </w:rPr>
              <m:t>,</m:t>
            </m:r>
            <m:r>
              <w:rPr>
                <w:rFonts w:ascii="Cambria Math" w:hAnsi="Cambria Math"/>
              </w:rPr>
              <m:t>i</m:t>
            </m:r>
          </m:sub>
        </m:sSub>
        <m:r>
          <m:rPr>
            <m:sty m:val="p"/>
          </m:rPr>
          <w:rPr>
            <w:rFonts w:ascii="Cambria Math" w:hAnsi="Cambria Math"/>
          </w:rPr>
          <m:t>=</m:t>
        </m:r>
        <m:f>
          <m:fPr>
            <m:ctrlPr>
              <w:rPr>
                <w:rFonts w:ascii="Cambria Math" w:hAnsi="Cambria Math"/>
                <w:sz w:val="24"/>
              </w:rPr>
            </m:ctrlPr>
          </m:fPr>
          <m:num>
            <m:sSub>
              <m:sSubPr>
                <m:ctrlPr>
                  <w:rPr>
                    <w:rFonts w:ascii="Cambria Math" w:hAnsi="Cambria Math"/>
                    <w:sz w:val="24"/>
                  </w:rPr>
                </m:ctrlPr>
              </m:sSubPr>
              <m:e>
                <m:acc>
                  <m:accPr>
                    <m:chr m:val="̅"/>
                    <m:ctrlPr>
                      <w:rPr>
                        <w:rFonts w:ascii="Cambria Math" w:hAnsi="Cambria Math"/>
                        <w:i/>
                        <w:iCs/>
                      </w:rPr>
                    </m:ctrlPr>
                  </m:accPr>
                  <m:e>
                    <m:r>
                      <w:rPr>
                        <w:rFonts w:ascii="Cambria Math" w:hAnsi="Cambria Math"/>
                      </w:rPr>
                      <m:t>D</m:t>
                    </m:r>
                  </m:e>
                </m:acc>
              </m:e>
              <m:sub>
                <m:r>
                  <w:rPr>
                    <w:rFonts w:ascii="Cambria Math" w:hAnsi="Cambria Math"/>
                  </w:rPr>
                  <m:t>i</m:t>
                </m:r>
              </m:sub>
            </m:sSub>
            <m:r>
              <m:rPr>
                <m:sty m:val="p"/>
              </m:rPr>
              <w:rPr>
                <w:rFonts w:ascii="Cambria Math" w:hAnsi="Cambria Math"/>
              </w:rPr>
              <m:t>-</m:t>
            </m:r>
            <m:sSub>
              <m:sSubPr>
                <m:ctrlPr>
                  <w:rPr>
                    <w:rFonts w:ascii="Cambria Math" w:hAnsi="Cambria Math"/>
                    <w:sz w:val="24"/>
                  </w:rPr>
                </m:ctrlPr>
              </m:sSubPr>
              <m:e>
                <m:r>
                  <w:rPr>
                    <w:rFonts w:ascii="Cambria Math" w:hAnsi="Cambria Math"/>
                  </w:rPr>
                  <m:t>μ</m:t>
                </m:r>
              </m:e>
              <m:sub>
                <m:r>
                  <w:rPr>
                    <w:rFonts w:ascii="Cambria Math" w:hAnsi="Cambria Math"/>
                  </w:rPr>
                  <m:t>D</m:t>
                </m:r>
              </m:sub>
            </m:sSub>
          </m:num>
          <m:den>
            <m:sSub>
              <m:sSubPr>
                <m:ctrlPr>
                  <w:rPr>
                    <w:rFonts w:ascii="Cambria Math" w:hAnsi="Cambria Math"/>
                    <w:sz w:val="24"/>
                  </w:rPr>
                </m:ctrlPr>
              </m:sSubPr>
              <m:e>
                <m:r>
                  <w:rPr>
                    <w:rFonts w:ascii="Cambria Math" w:hAnsi="Cambria Math"/>
                  </w:rPr>
                  <m:t>σ</m:t>
                </m:r>
              </m:e>
              <m:sub>
                <m:r>
                  <w:rPr>
                    <w:rFonts w:ascii="Cambria Math" w:hAnsi="Cambria Math"/>
                  </w:rPr>
                  <m:t>D</m:t>
                </m:r>
              </m:sub>
            </m:sSub>
          </m:den>
        </m:f>
      </m:oMath>
      <w:r>
        <w:rPr>
          <w:rFonts w:eastAsiaTheme="minorEastAsia"/>
          <w:sz w:val="24"/>
        </w:rPr>
        <w:tab/>
      </w:r>
      <w:r>
        <w:rPr>
          <w:rFonts w:hint="eastAsia"/>
        </w:rPr>
        <w:t>(S15)</w:t>
      </w:r>
    </w:p>
    <w:p w14:paraId="4F215952" w14:textId="3732F181" w:rsidR="006277C1" w:rsidRPr="006277C1" w:rsidRDefault="006277C1" w:rsidP="00C97492">
      <w:pPr>
        <w:widowControl/>
        <w:ind w:firstLine="480"/>
        <w:rPr>
          <w:rFonts w:eastAsiaTheme="minorEastAsia"/>
        </w:rPr>
      </w:pPr>
      <w:r w:rsidRPr="006277C1">
        <w:rPr>
          <w:rFonts w:eastAsiaTheme="minorEastAsia"/>
        </w:rPr>
        <w:t xml:space="preserve">where </w:t>
      </w:r>
      <m:oMath>
        <m:sSub>
          <m:sSubPr>
            <m:ctrlPr>
              <w:rPr>
                <w:rFonts w:ascii="Cambria Math" w:hAnsi="Cambria Math"/>
              </w:rPr>
            </m:ctrlPr>
          </m:sSubPr>
          <m:e>
            <m:acc>
              <m:accPr>
                <m:chr m:val="̅"/>
                <m:ctrlPr>
                  <w:rPr>
                    <w:rFonts w:ascii="Cambria Math" w:hAnsi="Cambria Math"/>
                    <w:i/>
                    <w:iCs/>
                    <w:sz w:val="21"/>
                  </w:rPr>
                </m:ctrlPr>
              </m:accPr>
              <m:e>
                <m:r>
                  <w:rPr>
                    <w:rFonts w:ascii="Cambria Math" w:hAnsi="Cambria Math"/>
                  </w:rPr>
                  <m:t>D</m:t>
                </m:r>
              </m:e>
            </m:acc>
          </m:e>
          <m:sub>
            <m:r>
              <w:rPr>
                <w:rFonts w:ascii="Cambria Math" w:hAnsi="Cambria Math"/>
              </w:rPr>
              <m:t>i</m:t>
            </m:r>
          </m:sub>
        </m:sSub>
      </m:oMath>
      <w:r w:rsidRPr="006277C1">
        <w:rPr>
          <w:rFonts w:eastAsiaTheme="minorEastAsia"/>
        </w:rPr>
        <w:t xml:space="preserve"> is the city-level mean resourcefulness score, and </w:t>
      </w:r>
      <m:oMath>
        <m:sSub>
          <m:sSubPr>
            <m:ctrlPr>
              <w:rPr>
                <w:rFonts w:ascii="Cambria Math" w:hAnsi="Cambria Math"/>
              </w:rPr>
            </m:ctrlPr>
          </m:sSubPr>
          <m:e>
            <m:r>
              <w:rPr>
                <w:rFonts w:ascii="Cambria Math" w:hAnsi="Cambria Math"/>
              </w:rPr>
              <m:t>μ</m:t>
            </m:r>
          </m:e>
          <m:sub>
            <m:r>
              <w:rPr>
                <w:rFonts w:ascii="Cambria Math" w:hAnsi="Cambria Math"/>
              </w:rPr>
              <m:t>D</m:t>
            </m:r>
          </m:sub>
        </m:sSub>
      </m:oMath>
      <w:r w:rsidRPr="006277C1">
        <w:rPr>
          <w:rFonts w:eastAsiaTheme="minorEastAsia"/>
        </w:rPr>
        <w:t xml:space="preserve"> and </w:t>
      </w:r>
      <m:oMath>
        <m:sSub>
          <m:sSubPr>
            <m:ctrlPr>
              <w:rPr>
                <w:rFonts w:ascii="Cambria Math" w:hAnsi="Cambria Math"/>
              </w:rPr>
            </m:ctrlPr>
          </m:sSubPr>
          <m:e>
            <m:r>
              <w:rPr>
                <w:rFonts w:ascii="Cambria Math" w:hAnsi="Cambria Math"/>
              </w:rPr>
              <m:t>σ</m:t>
            </m:r>
          </m:e>
          <m:sub>
            <m:r>
              <w:rPr>
                <w:rFonts w:ascii="Cambria Math" w:hAnsi="Cambria Math"/>
              </w:rPr>
              <m:t>D</m:t>
            </m:r>
          </m:sub>
        </m:sSub>
      </m:oMath>
      <w:r w:rsidRPr="006277C1">
        <w:rPr>
          <w:rFonts w:eastAsiaTheme="minorEastAsia"/>
        </w:rPr>
        <w:t xml:space="preserve"> are the mean and standard deviation across the complete 2022 reference cities. The terminal steady-state parameter is subsequently obtained as:</w:t>
      </w:r>
    </w:p>
    <w:p w14:paraId="57B54F21" w14:textId="1DAB629D" w:rsidR="006277C1" w:rsidRPr="006277C1" w:rsidRDefault="00C97492" w:rsidP="00C97492">
      <w:pPr>
        <w:pStyle w:val="a6"/>
        <w:ind w:right="120"/>
      </w:pPr>
      <w:r>
        <w:rPr>
          <w:rFonts w:eastAsiaTheme="minorEastAsia"/>
          <w:sz w:val="24"/>
        </w:rPr>
        <w:tab/>
      </w:r>
      <m:oMath>
        <m:sSub>
          <m:sSubPr>
            <m:ctrlPr>
              <w:rPr>
                <w:rFonts w:ascii="Cambria Math" w:hAnsi="Cambria Math"/>
                <w:sz w:val="24"/>
              </w:rPr>
            </m:ctrlPr>
          </m:sSubPr>
          <m:e>
            <m:r>
              <w:rPr>
                <w:rFonts w:ascii="Cambria Math" w:hAnsi="Cambria Math"/>
              </w:rPr>
              <m:t>d</m:t>
            </m:r>
          </m:e>
          <m:sub>
            <m:r>
              <w:rPr>
                <w:rFonts w:ascii="Cambria Math" w:hAnsi="Cambria Math"/>
              </w:rPr>
              <m:t>i</m:t>
            </m:r>
          </m:sub>
        </m:sSub>
        <m:r>
          <m:rPr>
            <m:sty m:val="p"/>
          </m:rPr>
          <w:rPr>
            <w:rFonts w:ascii="Cambria Math" w:hAnsi="Cambria Math"/>
          </w:rPr>
          <m:t>=min⁡[1.10,max⁡(0.90, 1+0.05</m:t>
        </m:r>
        <m:sSub>
          <m:sSubPr>
            <m:ctrlPr>
              <w:rPr>
                <w:rFonts w:ascii="Cambria Math" w:hAnsi="Cambria Math"/>
                <w:sz w:val="24"/>
              </w:rPr>
            </m:ctrlPr>
          </m:sSubPr>
          <m:e>
            <m:r>
              <w:rPr>
                <w:rFonts w:ascii="Cambria Math" w:hAnsi="Cambria Math" w:hint="eastAsia"/>
              </w:rPr>
              <m:t>z</m:t>
            </m:r>
          </m:e>
          <m:sub>
            <m:r>
              <w:rPr>
                <w:rFonts w:ascii="Cambria Math" w:hAnsi="Cambria Math"/>
              </w:rPr>
              <m:t>D</m:t>
            </m:r>
            <m:r>
              <m:rPr>
                <m:sty m:val="p"/>
              </m:rPr>
              <w:rPr>
                <w:rFonts w:ascii="Cambria Math" w:hAnsi="Cambria Math"/>
              </w:rPr>
              <m:t>,</m:t>
            </m:r>
            <m:r>
              <w:rPr>
                <w:rFonts w:ascii="Cambria Math" w:hAnsi="Cambria Math"/>
              </w:rPr>
              <m:t>i</m:t>
            </m:r>
          </m:sub>
        </m:sSub>
        <m:r>
          <m:rPr>
            <m:sty m:val="p"/>
          </m:rPr>
          <w:rPr>
            <w:rFonts w:ascii="Cambria Math" w:hAnsi="Cambria Math"/>
          </w:rPr>
          <m:t>)]</m:t>
        </m:r>
      </m:oMath>
      <w:r>
        <w:rPr>
          <w:rFonts w:eastAsiaTheme="minorEastAsia"/>
        </w:rPr>
        <w:tab/>
      </w:r>
      <w:r>
        <w:rPr>
          <w:rFonts w:hint="eastAsia"/>
        </w:rPr>
        <w:t>(S16)</w:t>
      </w:r>
    </w:p>
    <w:p w14:paraId="79B6E6EA" w14:textId="0E76BFD2" w:rsidR="006277C1" w:rsidRPr="00240C82" w:rsidRDefault="006277C1" w:rsidP="00C97492">
      <w:pPr>
        <w:widowControl/>
        <w:ind w:firstLine="480"/>
        <w:rPr>
          <w:rFonts w:eastAsiaTheme="minorEastAsia"/>
        </w:rPr>
      </w:pPr>
      <w:r w:rsidRPr="006277C1">
        <w:rPr>
          <w:rFonts w:eastAsiaTheme="minorEastAsia"/>
        </w:rPr>
        <w:t xml:space="preserve">This centered calibration assigns </w:t>
      </w:r>
      <m:oMath>
        <m:r>
          <w:rPr>
            <w:rFonts w:ascii="Cambria Math" w:eastAsiaTheme="minorEastAsia" w:hAnsi="Cambria Math"/>
          </w:rPr>
          <m:t>d</m:t>
        </m:r>
        <m:r>
          <m:rPr>
            <m:sty m:val="p"/>
          </m:rPr>
          <w:rPr>
            <w:rFonts w:ascii="Cambria Math" w:eastAsiaTheme="minorEastAsia" w:hAnsi="Cambria Math"/>
          </w:rPr>
          <m:t>=1</m:t>
        </m:r>
      </m:oMath>
      <w:r w:rsidRPr="006277C1">
        <w:rPr>
          <w:rFonts w:eastAsiaTheme="minorEastAsia"/>
        </w:rPr>
        <w:t xml:space="preserve"> to the reference-sample mean, </w:t>
      </w:r>
      <m:oMath>
        <m:r>
          <w:rPr>
            <w:rFonts w:ascii="Cambria Math" w:eastAsiaTheme="minorEastAsia" w:hAnsi="Cambria Math"/>
          </w:rPr>
          <m:t>d</m:t>
        </m:r>
        <m:r>
          <m:rPr>
            <m:sty m:val="p"/>
          </m:rPr>
          <w:rPr>
            <w:rFonts w:ascii="Cambria Math" w:eastAsiaTheme="minorEastAsia" w:hAnsi="Cambria Math"/>
          </w:rPr>
          <m:t>&gt;1</m:t>
        </m:r>
      </m:oMath>
      <w:r w:rsidRPr="006277C1">
        <w:rPr>
          <w:rFonts w:eastAsiaTheme="minorEastAsia"/>
        </w:rPr>
        <w:t xml:space="preserve"> to above-average resourcefulness, and </w:t>
      </w:r>
      <m:oMath>
        <m:r>
          <w:rPr>
            <w:rFonts w:ascii="Cambria Math" w:eastAsiaTheme="minorEastAsia" w:hAnsi="Cambria Math"/>
          </w:rPr>
          <m:t>d</m:t>
        </m:r>
        <m:r>
          <m:rPr>
            <m:sty m:val="p"/>
          </m:rPr>
          <w:rPr>
            <w:rFonts w:ascii="Cambria Math" w:eastAsiaTheme="minorEastAsia" w:hAnsi="Cambria Math"/>
          </w:rPr>
          <m:t>&lt;1</m:t>
        </m:r>
      </m:oMath>
      <w:r w:rsidRPr="006277C1">
        <w:rPr>
          <w:rFonts w:eastAsiaTheme="minorEastAsia"/>
        </w:rPr>
        <w:t xml:space="preserve"> to below-average resourcefulness. The range 0.90–1.10 is an empirical calibration bound adopted for the present extreme-rainfall application rather than a universal constraint of the CRM.</w:t>
      </w:r>
    </w:p>
    <w:p w14:paraId="7C10626D" w14:textId="77777777" w:rsidR="00922F4A" w:rsidRDefault="00000000" w:rsidP="00454F8A">
      <w:pPr>
        <w:pStyle w:val="2"/>
      </w:pPr>
      <w:bookmarkStart w:id="6" w:name="_Toc240017612"/>
      <w:r>
        <w:lastRenderedPageBreak/>
        <w:t>Scenario-conditioned and city-level calibration</w:t>
      </w:r>
      <w:bookmarkEnd w:id="6"/>
    </w:p>
    <w:p w14:paraId="6AC84401" w14:textId="7C9E1B68" w:rsidR="00C97492" w:rsidRPr="00C97492" w:rsidRDefault="00C97492" w:rsidP="00C97492">
      <w:pPr>
        <w:widowControl/>
        <w:ind w:firstLine="480"/>
        <w:rPr>
          <w:rFonts w:eastAsia="Times New Roman"/>
        </w:rPr>
      </w:pPr>
      <w:r w:rsidRPr="00C97492">
        <w:rPr>
          <w:rFonts w:eastAsia="Times New Roman"/>
        </w:rPr>
        <w:t xml:space="preserve">The four CRM parameters are calibrated at different aggregation levels according to their physical meanings. Parameter </w:t>
      </w:r>
      <m:oMath>
        <m:r>
          <w:rPr>
            <w:rFonts w:ascii="Cambria Math" w:eastAsia="Times New Roman" w:hAnsi="Cambria Math"/>
          </w:rPr>
          <m:t>a</m:t>
        </m:r>
      </m:oMath>
      <w:r w:rsidR="000E50A4">
        <w:rPr>
          <w:rFonts w:eastAsiaTheme="minorEastAsia" w:hint="eastAsia"/>
        </w:rPr>
        <w:t xml:space="preserve"> </w:t>
      </w:r>
      <w:r w:rsidRPr="00C97492">
        <w:rPr>
          <w:rFonts w:eastAsia="Times New Roman"/>
        </w:rPr>
        <w:t xml:space="preserve">is calibrated at the city–return-period level because the robustness score contains the scenario-dependent rainfall-shock indicator A1. Therefore, </w:t>
      </w:r>
      <m:oMath>
        <m:r>
          <w:rPr>
            <w:rFonts w:ascii="Cambria Math" w:eastAsia="Times New Roman" w:hAnsi="Cambria Math"/>
          </w:rPr>
          <m:t xml:space="preserve">a </m:t>
        </m:r>
      </m:oMath>
      <w:r w:rsidRPr="00C97492">
        <w:rPr>
          <w:rFonts w:eastAsia="Times New Roman"/>
        </w:rPr>
        <w:t>varies across the 10-, 100-, and 500-year rainfall scenarios for the same city.</w:t>
      </w:r>
    </w:p>
    <w:p w14:paraId="702F4BA1" w14:textId="06A3D75A" w:rsidR="00922F4A" w:rsidRPr="00C97492" w:rsidRDefault="00C97492" w:rsidP="00C97492">
      <w:pPr>
        <w:widowControl/>
        <w:ind w:firstLine="480"/>
        <w:rPr>
          <w:rFonts w:eastAsia="Times New Roman"/>
        </w:rPr>
      </w:pPr>
      <w:r w:rsidRPr="00C97492">
        <w:rPr>
          <w:rFonts w:eastAsia="Times New Roman"/>
        </w:rPr>
        <w:t xml:space="preserve">Parameters </w:t>
      </w:r>
      <m:oMath>
        <m:r>
          <w:rPr>
            <w:rFonts w:ascii="Cambria Math" w:eastAsia="Times New Roman" w:hAnsi="Cambria Math"/>
          </w:rPr>
          <m:t>b</m:t>
        </m:r>
      </m:oMath>
      <w:r w:rsidRPr="00C97492">
        <w:rPr>
          <w:rFonts w:eastAsia="Times New Roman"/>
        </w:rPr>
        <w:t xml:space="preserve">, </w:t>
      </w:r>
      <m:oMath>
        <m:r>
          <w:rPr>
            <w:rFonts w:ascii="Cambria Math" w:eastAsia="Times New Roman" w:hAnsi="Cambria Math"/>
          </w:rPr>
          <m:t>c</m:t>
        </m:r>
      </m:oMath>
      <w:r w:rsidRPr="00C97492">
        <w:rPr>
          <w:rFonts w:eastAsia="Times New Roman"/>
        </w:rPr>
        <w:t xml:space="preserve">, and </w:t>
      </w:r>
      <m:oMath>
        <m:r>
          <w:rPr>
            <w:rFonts w:ascii="Cambria Math" w:eastAsia="Times New Roman" w:hAnsi="Cambria Math"/>
          </w:rPr>
          <m:t>d</m:t>
        </m:r>
      </m:oMath>
      <w:r w:rsidR="003B13DD">
        <w:rPr>
          <w:rFonts w:eastAsiaTheme="minorEastAsia" w:hint="eastAsia"/>
        </w:rPr>
        <w:t xml:space="preserve"> </w:t>
      </w:r>
      <w:r w:rsidRPr="00C97492">
        <w:rPr>
          <w:rFonts w:eastAsia="Times New Roman"/>
        </w:rPr>
        <w:t xml:space="preserve">characterize city-side redundancy, rapidity, and resourcefulness, respectively. Their composite scores are first averaged across the three rainfall scenarios at the city level. The redundancy and rapidity scores are subsequently calibrated to </w:t>
      </w:r>
      <m:oMath>
        <m:r>
          <w:rPr>
            <w:rFonts w:ascii="Cambria Math" w:eastAsia="Times New Roman" w:hAnsi="Cambria Math"/>
          </w:rPr>
          <m:t>b</m:t>
        </m:r>
      </m:oMath>
      <w:r w:rsidR="000E50A4">
        <w:rPr>
          <w:rFonts w:eastAsiaTheme="minorEastAsia" w:hint="eastAsia"/>
        </w:rPr>
        <w:t xml:space="preserve"> </w:t>
      </w:r>
      <w:r w:rsidRPr="00C97492">
        <w:rPr>
          <w:rFonts w:eastAsia="Times New Roman"/>
        </w:rPr>
        <w:t xml:space="preserve">and </w:t>
      </w:r>
      <m:oMath>
        <m:r>
          <w:rPr>
            <w:rFonts w:ascii="Cambria Math" w:eastAsia="Times New Roman" w:hAnsi="Cambria Math"/>
          </w:rPr>
          <m:t xml:space="preserve">c </m:t>
        </m:r>
      </m:oMath>
      <w:r w:rsidRPr="00C97492">
        <w:rPr>
          <w:rFonts w:eastAsia="Times New Roman"/>
        </w:rPr>
        <w:t xml:space="preserve">using rank-percentile mapping, whereas the resourcefulness score is calibrated to </w:t>
      </w:r>
      <m:oMath>
        <m:r>
          <w:rPr>
            <w:rFonts w:ascii="Cambria Math" w:eastAsia="Times New Roman" w:hAnsi="Cambria Math"/>
          </w:rPr>
          <m:t>d</m:t>
        </m:r>
      </m:oMath>
      <w:r w:rsidR="000E50A4">
        <w:rPr>
          <w:rFonts w:eastAsiaTheme="minorEastAsia" w:hint="eastAsia"/>
        </w:rPr>
        <w:t xml:space="preserve"> </w:t>
      </w:r>
      <w:r w:rsidRPr="00C97492">
        <w:rPr>
          <w:rFonts w:eastAsia="Times New Roman"/>
        </w:rPr>
        <w:t xml:space="preserve">using the centered Z-score procedure described in Eqs. (S15)–(S16). Consequently, the same city retains identical </w:t>
      </w:r>
      <m:oMath>
        <m:r>
          <w:rPr>
            <w:rFonts w:ascii="Cambria Math" w:eastAsia="Times New Roman" w:hAnsi="Cambria Math"/>
          </w:rPr>
          <m:t>b</m:t>
        </m:r>
      </m:oMath>
      <w:r w:rsidRPr="00C97492">
        <w:rPr>
          <w:rFonts w:eastAsia="Times New Roman"/>
        </w:rPr>
        <w:t xml:space="preserve">, </w:t>
      </w:r>
      <m:oMath>
        <m:r>
          <w:rPr>
            <w:rFonts w:ascii="Cambria Math" w:eastAsia="Times New Roman" w:hAnsi="Cambria Math"/>
          </w:rPr>
          <m:t>c</m:t>
        </m:r>
      </m:oMath>
      <w:r w:rsidRPr="00C97492">
        <w:rPr>
          <w:rFonts w:eastAsia="Times New Roman"/>
        </w:rPr>
        <w:t xml:space="preserve">, and </w:t>
      </w:r>
      <m:oMath>
        <m:r>
          <w:rPr>
            <w:rFonts w:ascii="Cambria Math" w:eastAsia="Times New Roman" w:hAnsi="Cambria Math"/>
          </w:rPr>
          <m:t xml:space="preserve">d </m:t>
        </m:r>
      </m:oMath>
      <w:r w:rsidRPr="00C97492">
        <w:rPr>
          <w:rFonts w:eastAsia="Times New Roman"/>
        </w:rPr>
        <w:t>values across the three rainfall scenarios.</w:t>
      </w:r>
    </w:p>
    <w:p w14:paraId="61754ED4" w14:textId="6A2D325E" w:rsidR="00922F4A" w:rsidRPr="00EF4C7E" w:rsidRDefault="00000000" w:rsidP="00EF4C7E">
      <w:pPr>
        <w:keepNext/>
        <w:keepLines/>
        <w:widowControl/>
        <w:spacing w:after="60"/>
        <w:ind w:firstLineChars="0" w:firstLine="0"/>
        <w:jc w:val="center"/>
        <w:rPr>
          <w:sz w:val="18"/>
          <w:szCs w:val="18"/>
        </w:rPr>
      </w:pPr>
      <w:r w:rsidRPr="00165FC6">
        <w:rPr>
          <w:rFonts w:eastAsia="Times New Roman"/>
          <w:b/>
          <w:bCs/>
          <w:sz w:val="20"/>
        </w:rPr>
        <w:t>T</w:t>
      </w:r>
      <w:r w:rsidRPr="00165FC6">
        <w:rPr>
          <w:rFonts w:eastAsia="Times New Roman"/>
          <w:b/>
          <w:bCs/>
          <w:sz w:val="18"/>
          <w:szCs w:val="18"/>
        </w:rPr>
        <w:t>able S2</w:t>
      </w:r>
      <w:r w:rsidR="00165FC6">
        <w:rPr>
          <w:rFonts w:eastAsiaTheme="minorEastAsia" w:hint="eastAsia"/>
          <w:sz w:val="18"/>
          <w:szCs w:val="18"/>
        </w:rPr>
        <w:t>.</w:t>
      </w:r>
      <w:r w:rsidRPr="00EF4C7E">
        <w:rPr>
          <w:rFonts w:eastAsia="Times New Roman"/>
          <w:sz w:val="18"/>
          <w:szCs w:val="18"/>
        </w:rPr>
        <w:t xml:space="preserve"> Dimensions, mathematical domains, and empirical calibration ranges of the CRM parameters.</w:t>
      </w:r>
    </w:p>
    <w:tbl>
      <w:tblPr>
        <w:tblW w:w="9305" w:type="dxa"/>
        <w:tblInd w:w="-504"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988"/>
        <w:gridCol w:w="1417"/>
        <w:gridCol w:w="1134"/>
        <w:gridCol w:w="1276"/>
        <w:gridCol w:w="1276"/>
        <w:gridCol w:w="992"/>
        <w:gridCol w:w="1111"/>
        <w:gridCol w:w="1111"/>
      </w:tblGrid>
      <w:tr w:rsidR="00C97492" w14:paraId="39090942" w14:textId="5ECCF4C7" w:rsidTr="00C97492">
        <w:trPr>
          <w:tblHeader/>
        </w:trPr>
        <w:tc>
          <w:tcPr>
            <w:tcW w:w="988" w:type="dxa"/>
            <w:shd w:val="clear" w:color="auto" w:fill="BFBFBF"/>
            <w:tcMar>
              <w:top w:w="50" w:type="dxa"/>
              <w:left w:w="55" w:type="dxa"/>
              <w:bottom w:w="50" w:type="dxa"/>
              <w:right w:w="55" w:type="dxa"/>
            </w:tcMar>
            <w:vAlign w:val="center"/>
          </w:tcPr>
          <w:p w14:paraId="6C5E1838"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b/>
                <w:sz w:val="18"/>
                <w:szCs w:val="18"/>
              </w:rPr>
              <w:t>Parameter</w:t>
            </w:r>
          </w:p>
        </w:tc>
        <w:tc>
          <w:tcPr>
            <w:tcW w:w="1417" w:type="dxa"/>
            <w:shd w:val="clear" w:color="auto" w:fill="BFBFBF"/>
            <w:tcMar>
              <w:top w:w="50" w:type="dxa"/>
              <w:left w:w="55" w:type="dxa"/>
              <w:bottom w:w="50" w:type="dxa"/>
              <w:right w:w="55" w:type="dxa"/>
            </w:tcMar>
            <w:vAlign w:val="center"/>
          </w:tcPr>
          <w:p w14:paraId="70D40A30"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b/>
                <w:sz w:val="18"/>
                <w:szCs w:val="18"/>
              </w:rPr>
              <w:t>4R attribute</w:t>
            </w:r>
          </w:p>
        </w:tc>
        <w:tc>
          <w:tcPr>
            <w:tcW w:w="1134" w:type="dxa"/>
            <w:shd w:val="clear" w:color="auto" w:fill="BFBFBF"/>
            <w:tcMar>
              <w:top w:w="50" w:type="dxa"/>
              <w:left w:w="55" w:type="dxa"/>
              <w:bottom w:w="50" w:type="dxa"/>
              <w:right w:w="55" w:type="dxa"/>
            </w:tcMar>
            <w:vAlign w:val="center"/>
          </w:tcPr>
          <w:p w14:paraId="1197B85E"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b/>
                <w:sz w:val="18"/>
                <w:szCs w:val="18"/>
              </w:rPr>
              <w:t>Dynamical role</w:t>
            </w:r>
          </w:p>
        </w:tc>
        <w:tc>
          <w:tcPr>
            <w:tcW w:w="1276" w:type="dxa"/>
            <w:shd w:val="clear" w:color="auto" w:fill="BFBFBF"/>
            <w:tcMar>
              <w:top w:w="50" w:type="dxa"/>
              <w:left w:w="55" w:type="dxa"/>
              <w:bottom w:w="50" w:type="dxa"/>
              <w:right w:w="55" w:type="dxa"/>
            </w:tcMar>
            <w:vAlign w:val="center"/>
          </w:tcPr>
          <w:p w14:paraId="0488BB67"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b/>
                <w:sz w:val="18"/>
                <w:szCs w:val="18"/>
              </w:rPr>
              <w:t>Dimension</w:t>
            </w:r>
          </w:p>
        </w:tc>
        <w:tc>
          <w:tcPr>
            <w:tcW w:w="1276" w:type="dxa"/>
            <w:shd w:val="clear" w:color="auto" w:fill="BFBFBF"/>
            <w:tcMar>
              <w:top w:w="50" w:type="dxa"/>
              <w:left w:w="55" w:type="dxa"/>
              <w:bottom w:w="50" w:type="dxa"/>
              <w:right w:w="55" w:type="dxa"/>
            </w:tcMar>
            <w:vAlign w:val="center"/>
          </w:tcPr>
          <w:p w14:paraId="0C8A1C50"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b/>
                <w:sz w:val="18"/>
                <w:szCs w:val="18"/>
              </w:rPr>
              <w:t>Mathematical domain</w:t>
            </w:r>
          </w:p>
        </w:tc>
        <w:tc>
          <w:tcPr>
            <w:tcW w:w="992" w:type="dxa"/>
            <w:shd w:val="clear" w:color="auto" w:fill="BFBFBF"/>
            <w:tcMar>
              <w:top w:w="50" w:type="dxa"/>
              <w:left w:w="55" w:type="dxa"/>
              <w:bottom w:w="50" w:type="dxa"/>
              <w:right w:w="55" w:type="dxa"/>
            </w:tcMar>
            <w:vAlign w:val="center"/>
          </w:tcPr>
          <w:p w14:paraId="296CDDE3"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b/>
                <w:sz w:val="18"/>
                <w:szCs w:val="18"/>
              </w:rPr>
              <w:t>Empirical range</w:t>
            </w:r>
          </w:p>
        </w:tc>
        <w:tc>
          <w:tcPr>
            <w:tcW w:w="1111" w:type="dxa"/>
            <w:shd w:val="clear" w:color="auto" w:fill="BFBFBF"/>
            <w:tcMar>
              <w:top w:w="50" w:type="dxa"/>
              <w:left w:w="55" w:type="dxa"/>
              <w:bottom w:w="50" w:type="dxa"/>
              <w:right w:w="55" w:type="dxa"/>
            </w:tcMar>
            <w:vAlign w:val="center"/>
          </w:tcPr>
          <w:p w14:paraId="5089297A"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b/>
                <w:sz w:val="18"/>
                <w:szCs w:val="18"/>
              </w:rPr>
              <w:t>Calibration level</w:t>
            </w:r>
          </w:p>
        </w:tc>
        <w:tc>
          <w:tcPr>
            <w:tcW w:w="1111" w:type="dxa"/>
            <w:shd w:val="clear" w:color="auto" w:fill="BFBFBF"/>
          </w:tcPr>
          <w:p w14:paraId="77D76C87" w14:textId="1CB1D74B" w:rsidR="00C97492" w:rsidRPr="00C97492" w:rsidRDefault="00C97492" w:rsidP="00EF4C7E">
            <w:pPr>
              <w:adjustRightInd w:val="0"/>
              <w:spacing w:line="240" w:lineRule="auto"/>
              <w:ind w:firstLineChars="0" w:firstLine="0"/>
              <w:jc w:val="center"/>
              <w:rPr>
                <w:rFonts w:eastAsiaTheme="minorEastAsia"/>
                <w:b/>
                <w:sz w:val="18"/>
                <w:szCs w:val="18"/>
              </w:rPr>
            </w:pPr>
            <w:r w:rsidRPr="00C97492">
              <w:rPr>
                <w:rFonts w:eastAsiaTheme="minorEastAsia"/>
                <w:b/>
                <w:sz w:val="18"/>
                <w:szCs w:val="18"/>
              </w:rPr>
              <w:t>Calibration method</w:t>
            </w:r>
          </w:p>
        </w:tc>
      </w:tr>
      <w:tr w:rsidR="00C97492" w14:paraId="092FDF7F" w14:textId="1E6B6903" w:rsidTr="00C97492">
        <w:tc>
          <w:tcPr>
            <w:tcW w:w="988" w:type="dxa"/>
            <w:tcMar>
              <w:top w:w="50" w:type="dxa"/>
              <w:left w:w="55" w:type="dxa"/>
              <w:bottom w:w="50" w:type="dxa"/>
              <w:right w:w="55" w:type="dxa"/>
            </w:tcMar>
            <w:vAlign w:val="center"/>
          </w:tcPr>
          <w:p w14:paraId="2AB4FDF2"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a</w:t>
            </w:r>
          </w:p>
        </w:tc>
        <w:tc>
          <w:tcPr>
            <w:tcW w:w="1417" w:type="dxa"/>
            <w:tcMar>
              <w:top w:w="50" w:type="dxa"/>
              <w:left w:w="55" w:type="dxa"/>
              <w:bottom w:w="50" w:type="dxa"/>
              <w:right w:w="55" w:type="dxa"/>
            </w:tcMar>
            <w:vAlign w:val="center"/>
          </w:tcPr>
          <w:p w14:paraId="7C7F0600"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Robustness</w:t>
            </w:r>
          </w:p>
        </w:tc>
        <w:tc>
          <w:tcPr>
            <w:tcW w:w="1134" w:type="dxa"/>
            <w:tcMar>
              <w:top w:w="50" w:type="dxa"/>
              <w:left w:w="55" w:type="dxa"/>
              <w:bottom w:w="50" w:type="dxa"/>
              <w:right w:w="55" w:type="dxa"/>
            </w:tcMar>
            <w:vAlign w:val="center"/>
          </w:tcPr>
          <w:p w14:paraId="30162D14"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Scenario-specific vulnerability amplitude</w:t>
            </w:r>
          </w:p>
        </w:tc>
        <w:tc>
          <w:tcPr>
            <w:tcW w:w="1276" w:type="dxa"/>
            <w:tcMar>
              <w:top w:w="50" w:type="dxa"/>
              <w:left w:w="55" w:type="dxa"/>
              <w:bottom w:w="50" w:type="dxa"/>
              <w:right w:w="55" w:type="dxa"/>
            </w:tcMar>
            <w:vAlign w:val="center"/>
          </w:tcPr>
          <w:p w14:paraId="5DCC3480"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Dimensionless</w:t>
            </w:r>
          </w:p>
        </w:tc>
        <w:tc>
          <w:tcPr>
            <w:tcW w:w="1276" w:type="dxa"/>
            <w:tcMar>
              <w:top w:w="50" w:type="dxa"/>
              <w:left w:w="55" w:type="dxa"/>
              <w:bottom w:w="50" w:type="dxa"/>
              <w:right w:w="55" w:type="dxa"/>
            </w:tcMar>
            <w:vAlign w:val="center"/>
          </w:tcPr>
          <w:p w14:paraId="7E070357" w14:textId="7A6C82BD"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0≤a≤1</w:t>
            </w:r>
          </w:p>
        </w:tc>
        <w:tc>
          <w:tcPr>
            <w:tcW w:w="992" w:type="dxa"/>
            <w:tcMar>
              <w:top w:w="50" w:type="dxa"/>
              <w:left w:w="55" w:type="dxa"/>
              <w:bottom w:w="50" w:type="dxa"/>
              <w:right w:w="55" w:type="dxa"/>
            </w:tcMar>
            <w:vAlign w:val="center"/>
          </w:tcPr>
          <w:p w14:paraId="6E180F92"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0.10–0.80</w:t>
            </w:r>
          </w:p>
        </w:tc>
        <w:tc>
          <w:tcPr>
            <w:tcW w:w="1111" w:type="dxa"/>
            <w:tcMar>
              <w:top w:w="50" w:type="dxa"/>
              <w:left w:w="55" w:type="dxa"/>
              <w:bottom w:w="50" w:type="dxa"/>
              <w:right w:w="55" w:type="dxa"/>
            </w:tcMar>
            <w:vAlign w:val="center"/>
          </w:tcPr>
          <w:p w14:paraId="2C1A54B1"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City–RP</w:t>
            </w:r>
          </w:p>
        </w:tc>
        <w:tc>
          <w:tcPr>
            <w:tcW w:w="1111" w:type="dxa"/>
            <w:vAlign w:val="center"/>
          </w:tcPr>
          <w:p w14:paraId="19A85635" w14:textId="4A0DC26D" w:rsidR="00C97492" w:rsidRPr="00EF4C7E" w:rsidRDefault="00C97492" w:rsidP="00C97492">
            <w:pPr>
              <w:adjustRightInd w:val="0"/>
              <w:spacing w:line="240" w:lineRule="auto"/>
              <w:ind w:firstLineChars="0" w:firstLine="0"/>
              <w:jc w:val="center"/>
              <w:rPr>
                <w:rFonts w:eastAsia="Times New Roman"/>
                <w:sz w:val="18"/>
                <w:szCs w:val="18"/>
              </w:rPr>
            </w:pPr>
            <w:r w:rsidRPr="00C97492">
              <w:rPr>
                <w:rFonts w:eastAsia="Times New Roman"/>
                <w:sz w:val="18"/>
                <w:szCs w:val="18"/>
              </w:rPr>
              <w:t>Rank percentile</w:t>
            </w:r>
          </w:p>
        </w:tc>
      </w:tr>
      <w:tr w:rsidR="00C97492" w14:paraId="63ABF799" w14:textId="69FFF8FB" w:rsidTr="00C97492">
        <w:tc>
          <w:tcPr>
            <w:tcW w:w="988" w:type="dxa"/>
            <w:tcMar>
              <w:top w:w="50" w:type="dxa"/>
              <w:left w:w="55" w:type="dxa"/>
              <w:bottom w:w="50" w:type="dxa"/>
              <w:right w:w="55" w:type="dxa"/>
            </w:tcMar>
            <w:vAlign w:val="center"/>
          </w:tcPr>
          <w:p w14:paraId="0C9DD2C6"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b</w:t>
            </w:r>
          </w:p>
        </w:tc>
        <w:tc>
          <w:tcPr>
            <w:tcW w:w="1417" w:type="dxa"/>
            <w:tcMar>
              <w:top w:w="50" w:type="dxa"/>
              <w:left w:w="55" w:type="dxa"/>
              <w:bottom w:w="50" w:type="dxa"/>
              <w:right w:w="55" w:type="dxa"/>
            </w:tcMar>
            <w:vAlign w:val="center"/>
          </w:tcPr>
          <w:p w14:paraId="1DAB9BEC"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Redundancy</w:t>
            </w:r>
          </w:p>
        </w:tc>
        <w:tc>
          <w:tcPr>
            <w:tcW w:w="1134" w:type="dxa"/>
            <w:tcMar>
              <w:top w:w="50" w:type="dxa"/>
              <w:left w:w="55" w:type="dxa"/>
              <w:bottom w:w="50" w:type="dxa"/>
              <w:right w:w="55" w:type="dxa"/>
            </w:tcMar>
            <w:vAlign w:val="center"/>
          </w:tcPr>
          <w:p w14:paraId="5B8963BB"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Shock-buffering time constant</w:t>
            </w:r>
          </w:p>
        </w:tc>
        <w:tc>
          <w:tcPr>
            <w:tcW w:w="1276" w:type="dxa"/>
            <w:tcMar>
              <w:top w:w="50" w:type="dxa"/>
              <w:left w:w="55" w:type="dxa"/>
              <w:bottom w:w="50" w:type="dxa"/>
              <w:right w:w="55" w:type="dxa"/>
            </w:tcMar>
            <w:vAlign w:val="center"/>
          </w:tcPr>
          <w:p w14:paraId="40C3E336"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Time</w:t>
            </w:r>
          </w:p>
        </w:tc>
        <w:tc>
          <w:tcPr>
            <w:tcW w:w="1276" w:type="dxa"/>
            <w:tcMar>
              <w:top w:w="50" w:type="dxa"/>
              <w:left w:w="55" w:type="dxa"/>
              <w:bottom w:w="50" w:type="dxa"/>
              <w:right w:w="55" w:type="dxa"/>
            </w:tcMar>
            <w:vAlign w:val="center"/>
          </w:tcPr>
          <w:p w14:paraId="35F06622" w14:textId="54CAE922"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b&gt;0</w:t>
            </w:r>
          </w:p>
        </w:tc>
        <w:tc>
          <w:tcPr>
            <w:tcW w:w="992" w:type="dxa"/>
            <w:tcMar>
              <w:top w:w="50" w:type="dxa"/>
              <w:left w:w="55" w:type="dxa"/>
              <w:bottom w:w="50" w:type="dxa"/>
              <w:right w:w="55" w:type="dxa"/>
            </w:tcMar>
            <w:vAlign w:val="center"/>
          </w:tcPr>
          <w:p w14:paraId="628B062F" w14:textId="16318813" w:rsidR="00C97492" w:rsidRPr="006042D6" w:rsidRDefault="00C97492" w:rsidP="00EF4C7E">
            <w:pPr>
              <w:adjustRightInd w:val="0"/>
              <w:spacing w:line="240" w:lineRule="auto"/>
              <w:ind w:firstLineChars="0" w:firstLine="0"/>
              <w:jc w:val="center"/>
              <w:rPr>
                <w:rFonts w:eastAsiaTheme="minorEastAsia"/>
                <w:sz w:val="18"/>
                <w:szCs w:val="18"/>
              </w:rPr>
            </w:pPr>
            <w:r w:rsidRPr="00EF4C7E">
              <w:rPr>
                <w:rFonts w:eastAsia="Times New Roman"/>
                <w:sz w:val="18"/>
                <w:szCs w:val="18"/>
              </w:rPr>
              <w:t>0.50–5.00</w:t>
            </w:r>
          </w:p>
        </w:tc>
        <w:tc>
          <w:tcPr>
            <w:tcW w:w="1111" w:type="dxa"/>
            <w:tcMar>
              <w:top w:w="50" w:type="dxa"/>
              <w:left w:w="55" w:type="dxa"/>
              <w:bottom w:w="50" w:type="dxa"/>
              <w:right w:w="55" w:type="dxa"/>
            </w:tcMar>
            <w:vAlign w:val="center"/>
          </w:tcPr>
          <w:p w14:paraId="0A791F21"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City</w:t>
            </w:r>
          </w:p>
        </w:tc>
        <w:tc>
          <w:tcPr>
            <w:tcW w:w="1111" w:type="dxa"/>
            <w:vAlign w:val="center"/>
          </w:tcPr>
          <w:p w14:paraId="1BFFAB33" w14:textId="6DA46B18" w:rsidR="00C97492" w:rsidRPr="00EF4C7E" w:rsidRDefault="00C97492" w:rsidP="00C97492">
            <w:pPr>
              <w:adjustRightInd w:val="0"/>
              <w:spacing w:line="240" w:lineRule="auto"/>
              <w:ind w:firstLineChars="0" w:firstLine="0"/>
              <w:jc w:val="center"/>
              <w:rPr>
                <w:rFonts w:eastAsia="Times New Roman"/>
                <w:sz w:val="18"/>
                <w:szCs w:val="18"/>
              </w:rPr>
            </w:pPr>
            <w:r w:rsidRPr="00C97492">
              <w:rPr>
                <w:rFonts w:eastAsia="Times New Roman"/>
                <w:sz w:val="18"/>
                <w:szCs w:val="18"/>
              </w:rPr>
              <w:t>Rank percentile</w:t>
            </w:r>
          </w:p>
        </w:tc>
      </w:tr>
      <w:tr w:rsidR="00C97492" w14:paraId="1CF8B26E" w14:textId="3A577A3A" w:rsidTr="00C97492">
        <w:tc>
          <w:tcPr>
            <w:tcW w:w="988" w:type="dxa"/>
            <w:tcMar>
              <w:top w:w="50" w:type="dxa"/>
              <w:left w:w="55" w:type="dxa"/>
              <w:bottom w:w="50" w:type="dxa"/>
              <w:right w:w="55" w:type="dxa"/>
            </w:tcMar>
            <w:vAlign w:val="center"/>
          </w:tcPr>
          <w:p w14:paraId="574694C7"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c</w:t>
            </w:r>
          </w:p>
        </w:tc>
        <w:tc>
          <w:tcPr>
            <w:tcW w:w="1417" w:type="dxa"/>
            <w:tcMar>
              <w:top w:w="50" w:type="dxa"/>
              <w:left w:w="55" w:type="dxa"/>
              <w:bottom w:w="50" w:type="dxa"/>
              <w:right w:w="55" w:type="dxa"/>
            </w:tcMar>
            <w:vAlign w:val="center"/>
          </w:tcPr>
          <w:p w14:paraId="49C67B39"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Rapidity</w:t>
            </w:r>
          </w:p>
        </w:tc>
        <w:tc>
          <w:tcPr>
            <w:tcW w:w="1134" w:type="dxa"/>
            <w:tcMar>
              <w:top w:w="50" w:type="dxa"/>
              <w:left w:w="55" w:type="dxa"/>
              <w:bottom w:w="50" w:type="dxa"/>
              <w:right w:w="55" w:type="dxa"/>
            </w:tcMar>
            <w:vAlign w:val="center"/>
          </w:tcPr>
          <w:p w14:paraId="5E7206E2"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Recovery rate</w:t>
            </w:r>
          </w:p>
        </w:tc>
        <w:tc>
          <w:tcPr>
            <w:tcW w:w="1276" w:type="dxa"/>
            <w:tcMar>
              <w:top w:w="50" w:type="dxa"/>
              <w:left w:w="55" w:type="dxa"/>
              <w:bottom w:w="50" w:type="dxa"/>
              <w:right w:w="55" w:type="dxa"/>
            </w:tcMar>
            <w:vAlign w:val="center"/>
          </w:tcPr>
          <w:p w14:paraId="577EE963"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T⁻¹</w:t>
            </w:r>
          </w:p>
        </w:tc>
        <w:tc>
          <w:tcPr>
            <w:tcW w:w="1276" w:type="dxa"/>
            <w:tcMar>
              <w:top w:w="50" w:type="dxa"/>
              <w:left w:w="55" w:type="dxa"/>
              <w:bottom w:w="50" w:type="dxa"/>
              <w:right w:w="55" w:type="dxa"/>
            </w:tcMar>
            <w:vAlign w:val="center"/>
          </w:tcPr>
          <w:p w14:paraId="3ACC5A46" w14:textId="522BAC5C"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c&gt;0</w:t>
            </w:r>
          </w:p>
        </w:tc>
        <w:tc>
          <w:tcPr>
            <w:tcW w:w="992" w:type="dxa"/>
            <w:tcMar>
              <w:top w:w="50" w:type="dxa"/>
              <w:left w:w="55" w:type="dxa"/>
              <w:bottom w:w="50" w:type="dxa"/>
              <w:right w:w="55" w:type="dxa"/>
            </w:tcMar>
            <w:vAlign w:val="center"/>
          </w:tcPr>
          <w:p w14:paraId="4CB00B11" w14:textId="36A3CA17" w:rsidR="00C97492" w:rsidRPr="006042D6" w:rsidRDefault="00C97492" w:rsidP="00EF4C7E">
            <w:pPr>
              <w:adjustRightInd w:val="0"/>
              <w:spacing w:line="240" w:lineRule="auto"/>
              <w:ind w:firstLineChars="0" w:firstLine="0"/>
              <w:jc w:val="center"/>
              <w:rPr>
                <w:rFonts w:eastAsiaTheme="minorEastAsia"/>
                <w:sz w:val="18"/>
                <w:szCs w:val="18"/>
              </w:rPr>
            </w:pPr>
            <w:r w:rsidRPr="00EF4C7E">
              <w:rPr>
                <w:rFonts w:eastAsia="Times New Roman"/>
                <w:sz w:val="18"/>
                <w:szCs w:val="18"/>
              </w:rPr>
              <w:t>0.05–0.15</w:t>
            </w:r>
          </w:p>
        </w:tc>
        <w:tc>
          <w:tcPr>
            <w:tcW w:w="1111" w:type="dxa"/>
            <w:tcMar>
              <w:top w:w="50" w:type="dxa"/>
              <w:left w:w="55" w:type="dxa"/>
              <w:bottom w:w="50" w:type="dxa"/>
              <w:right w:w="55" w:type="dxa"/>
            </w:tcMar>
            <w:vAlign w:val="center"/>
          </w:tcPr>
          <w:p w14:paraId="18A56AA3"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City</w:t>
            </w:r>
          </w:p>
        </w:tc>
        <w:tc>
          <w:tcPr>
            <w:tcW w:w="1111" w:type="dxa"/>
            <w:vAlign w:val="center"/>
          </w:tcPr>
          <w:p w14:paraId="48F8CD79" w14:textId="4E0C79AD" w:rsidR="00C97492" w:rsidRPr="00EF4C7E" w:rsidRDefault="00C97492" w:rsidP="00C97492">
            <w:pPr>
              <w:adjustRightInd w:val="0"/>
              <w:spacing w:line="240" w:lineRule="auto"/>
              <w:ind w:firstLineChars="0" w:firstLine="0"/>
              <w:jc w:val="center"/>
              <w:rPr>
                <w:rFonts w:eastAsia="Times New Roman"/>
                <w:sz w:val="18"/>
                <w:szCs w:val="18"/>
              </w:rPr>
            </w:pPr>
            <w:r w:rsidRPr="00C97492">
              <w:rPr>
                <w:rFonts w:eastAsia="Times New Roman"/>
                <w:sz w:val="18"/>
                <w:szCs w:val="18"/>
              </w:rPr>
              <w:t>Rank percentile</w:t>
            </w:r>
          </w:p>
        </w:tc>
      </w:tr>
      <w:tr w:rsidR="00C97492" w14:paraId="77AD9E05" w14:textId="0BEF82F6" w:rsidTr="00C97492">
        <w:tc>
          <w:tcPr>
            <w:tcW w:w="988" w:type="dxa"/>
            <w:tcMar>
              <w:top w:w="50" w:type="dxa"/>
              <w:left w:w="55" w:type="dxa"/>
              <w:bottom w:w="50" w:type="dxa"/>
              <w:right w:w="55" w:type="dxa"/>
            </w:tcMar>
            <w:vAlign w:val="center"/>
          </w:tcPr>
          <w:p w14:paraId="0BE1D6D1"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d</w:t>
            </w:r>
          </w:p>
        </w:tc>
        <w:tc>
          <w:tcPr>
            <w:tcW w:w="1417" w:type="dxa"/>
            <w:tcMar>
              <w:top w:w="50" w:type="dxa"/>
              <w:left w:w="55" w:type="dxa"/>
              <w:bottom w:w="50" w:type="dxa"/>
              <w:right w:w="55" w:type="dxa"/>
            </w:tcMar>
            <w:vAlign w:val="center"/>
          </w:tcPr>
          <w:p w14:paraId="71FAD3E2"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Resourcefulness</w:t>
            </w:r>
          </w:p>
        </w:tc>
        <w:tc>
          <w:tcPr>
            <w:tcW w:w="1134" w:type="dxa"/>
            <w:tcMar>
              <w:top w:w="50" w:type="dxa"/>
              <w:left w:w="55" w:type="dxa"/>
              <w:bottom w:w="50" w:type="dxa"/>
              <w:right w:w="55" w:type="dxa"/>
            </w:tcMar>
            <w:vAlign w:val="center"/>
          </w:tcPr>
          <w:p w14:paraId="3E9F7BA3"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Terminal steady-state performance level</w:t>
            </w:r>
          </w:p>
        </w:tc>
        <w:tc>
          <w:tcPr>
            <w:tcW w:w="1276" w:type="dxa"/>
            <w:tcMar>
              <w:top w:w="50" w:type="dxa"/>
              <w:left w:w="55" w:type="dxa"/>
              <w:bottom w:w="50" w:type="dxa"/>
              <w:right w:w="55" w:type="dxa"/>
            </w:tcMar>
            <w:vAlign w:val="center"/>
          </w:tcPr>
          <w:p w14:paraId="075703D8"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Dimensionless</w:t>
            </w:r>
          </w:p>
        </w:tc>
        <w:tc>
          <w:tcPr>
            <w:tcW w:w="1276" w:type="dxa"/>
            <w:tcMar>
              <w:top w:w="50" w:type="dxa"/>
              <w:left w:w="55" w:type="dxa"/>
              <w:bottom w:w="50" w:type="dxa"/>
              <w:right w:w="55" w:type="dxa"/>
            </w:tcMar>
            <w:vAlign w:val="center"/>
          </w:tcPr>
          <w:p w14:paraId="303B30F7" w14:textId="11D8603E" w:rsidR="00C97492" w:rsidRPr="00112B99" w:rsidRDefault="00C97492" w:rsidP="00112B99">
            <w:pPr>
              <w:adjustRightInd w:val="0"/>
              <w:spacing w:line="240" w:lineRule="auto"/>
              <w:ind w:firstLineChars="0" w:firstLine="0"/>
              <w:jc w:val="center"/>
              <w:rPr>
                <w:rFonts w:eastAsia="Times New Roman"/>
                <w:b/>
                <w:bCs/>
                <w:sz w:val="18"/>
                <w:szCs w:val="18"/>
              </w:rPr>
            </w:pPr>
            <w:r>
              <w:rPr>
                <w:rFonts w:eastAsia="Times New Roman"/>
                <w:sz w:val="18"/>
                <w:szCs w:val="18"/>
              </w:rPr>
              <w:t>d</w:t>
            </w:r>
            <w:r w:rsidRPr="00112B99">
              <w:rPr>
                <w:rFonts w:eastAsia="Times New Roman"/>
                <w:sz w:val="18"/>
                <w:szCs w:val="18"/>
              </w:rPr>
              <w:t>≥</w:t>
            </w:r>
            <w:r w:rsidRPr="00EF4C7E">
              <w:rPr>
                <w:rFonts w:eastAsia="Times New Roman"/>
                <w:sz w:val="18"/>
                <w:szCs w:val="18"/>
              </w:rPr>
              <w:t>0</w:t>
            </w:r>
          </w:p>
        </w:tc>
        <w:tc>
          <w:tcPr>
            <w:tcW w:w="992" w:type="dxa"/>
            <w:tcMar>
              <w:top w:w="50" w:type="dxa"/>
              <w:left w:w="55" w:type="dxa"/>
              <w:bottom w:w="50" w:type="dxa"/>
              <w:right w:w="55" w:type="dxa"/>
            </w:tcMar>
            <w:vAlign w:val="center"/>
          </w:tcPr>
          <w:p w14:paraId="69D22FBF"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0.90–1.10</w:t>
            </w:r>
          </w:p>
        </w:tc>
        <w:tc>
          <w:tcPr>
            <w:tcW w:w="1111" w:type="dxa"/>
            <w:tcMar>
              <w:top w:w="50" w:type="dxa"/>
              <w:left w:w="55" w:type="dxa"/>
              <w:bottom w:w="50" w:type="dxa"/>
              <w:right w:w="55" w:type="dxa"/>
            </w:tcMar>
            <w:vAlign w:val="center"/>
          </w:tcPr>
          <w:p w14:paraId="3F7E9F2F" w14:textId="77777777" w:rsidR="00C97492" w:rsidRPr="00EF4C7E" w:rsidRDefault="00C97492" w:rsidP="00EF4C7E">
            <w:pPr>
              <w:adjustRightInd w:val="0"/>
              <w:spacing w:line="240" w:lineRule="auto"/>
              <w:ind w:firstLineChars="0" w:firstLine="0"/>
              <w:jc w:val="center"/>
              <w:rPr>
                <w:sz w:val="18"/>
                <w:szCs w:val="18"/>
              </w:rPr>
            </w:pPr>
            <w:r w:rsidRPr="00EF4C7E">
              <w:rPr>
                <w:rFonts w:eastAsia="Times New Roman"/>
                <w:sz w:val="18"/>
                <w:szCs w:val="18"/>
              </w:rPr>
              <w:t>City</w:t>
            </w:r>
          </w:p>
        </w:tc>
        <w:tc>
          <w:tcPr>
            <w:tcW w:w="1111" w:type="dxa"/>
            <w:vAlign w:val="center"/>
          </w:tcPr>
          <w:p w14:paraId="7E7FCF56" w14:textId="09EC8FD5" w:rsidR="00C97492" w:rsidRPr="00C97492" w:rsidRDefault="00C97492" w:rsidP="00C97492">
            <w:pPr>
              <w:adjustRightInd w:val="0"/>
              <w:spacing w:line="240" w:lineRule="auto"/>
              <w:ind w:firstLineChars="0" w:firstLine="0"/>
              <w:jc w:val="center"/>
              <w:rPr>
                <w:rFonts w:eastAsiaTheme="minorEastAsia"/>
                <w:sz w:val="18"/>
                <w:szCs w:val="18"/>
              </w:rPr>
            </w:pPr>
            <w:r w:rsidRPr="00C97492">
              <w:rPr>
                <w:rFonts w:eastAsia="Times New Roman"/>
                <w:sz w:val="18"/>
                <w:szCs w:val="18"/>
              </w:rPr>
              <w:t>Centered Z-scor</w:t>
            </w:r>
            <w:r>
              <w:rPr>
                <w:rFonts w:eastAsiaTheme="minorEastAsia" w:hint="eastAsia"/>
                <w:sz w:val="18"/>
                <w:szCs w:val="18"/>
              </w:rPr>
              <w:t>e</w:t>
            </w:r>
          </w:p>
        </w:tc>
      </w:tr>
    </w:tbl>
    <w:p w14:paraId="5A941EC0" w14:textId="77777777" w:rsidR="00922F4A" w:rsidRPr="00EF4C7E" w:rsidRDefault="00000000" w:rsidP="00EF4C7E">
      <w:pPr>
        <w:widowControl/>
        <w:ind w:firstLineChars="0" w:firstLine="0"/>
        <w:rPr>
          <w:sz w:val="18"/>
          <w:szCs w:val="16"/>
        </w:rPr>
      </w:pPr>
      <w:r w:rsidRPr="00F37B93">
        <w:rPr>
          <w:rFonts w:eastAsia="Times New Roman"/>
          <w:b/>
          <w:bCs/>
          <w:sz w:val="18"/>
          <w:szCs w:val="16"/>
        </w:rPr>
        <w:t>Note</w:t>
      </w:r>
      <w:r w:rsidRPr="00EF4C7E">
        <w:rPr>
          <w:rFonts w:eastAsia="Times New Roman"/>
          <w:sz w:val="18"/>
          <w:szCs w:val="16"/>
        </w:rPr>
        <w:t>: The mathematical domains follow from the CRM equations, whereas the numerical ranges are empirical calibration ranges used in the present rainfall case study. They may be recalibrated for other hazard types, spatial scales, or engineering systems.</w:t>
      </w:r>
    </w:p>
    <w:p w14:paraId="7F6C8C2E" w14:textId="704BD8B2" w:rsidR="00922F4A" w:rsidRDefault="00FB27C3">
      <w:pPr>
        <w:pStyle w:val="1"/>
        <w:spacing w:before="163" w:after="163"/>
      </w:pPr>
      <w:bookmarkStart w:id="7" w:name="_Toc240017613"/>
      <w:r w:rsidRPr="00FB27C3">
        <w:rPr>
          <w:rFonts w:eastAsia="Times New Roman"/>
        </w:rPr>
        <w:t>Numerical settings and representative trajectory data</w:t>
      </w:r>
      <w:bookmarkEnd w:id="7"/>
    </w:p>
    <w:p w14:paraId="024AB827" w14:textId="77777777" w:rsidR="00922F4A" w:rsidRDefault="00000000">
      <w:pPr>
        <w:widowControl/>
        <w:ind w:firstLine="480"/>
      </w:pPr>
      <w:r>
        <w:rPr>
          <w:rFonts w:eastAsia="Times New Roman"/>
        </w:rPr>
        <w:t>The illustrative application uses the exponential recovery kernel and evaluates the CRM trajectory over a 100-day numerical simulation horizon. The performance trajectory is calculated at 1,001 equally spaced time nodes, corresponding to a temporal resolution of 0.1 day. Recovery stabilization is identified using a relative convergence coefficient of 10⁻³, with the convergence condition required to hold for 10 consecutive time steps after the performance nadir.</w:t>
      </w:r>
    </w:p>
    <w:p w14:paraId="078751F7" w14:textId="62F23AA8" w:rsidR="00922F4A" w:rsidRDefault="00000000" w:rsidP="00EF4C7E">
      <w:pPr>
        <w:keepNext/>
        <w:keepLines/>
        <w:widowControl/>
        <w:spacing w:after="60"/>
        <w:ind w:firstLineChars="0" w:firstLine="0"/>
        <w:jc w:val="center"/>
      </w:pPr>
      <w:r w:rsidRPr="00165FC6">
        <w:rPr>
          <w:rFonts w:eastAsia="Times New Roman"/>
          <w:b/>
          <w:bCs/>
          <w:sz w:val="20"/>
        </w:rPr>
        <w:lastRenderedPageBreak/>
        <w:t>Table S3</w:t>
      </w:r>
      <w:r w:rsidR="00165FC6">
        <w:rPr>
          <w:rFonts w:eastAsiaTheme="minorEastAsia" w:hint="eastAsia"/>
          <w:sz w:val="20"/>
        </w:rPr>
        <w:t>.</w:t>
      </w:r>
      <w:r>
        <w:rPr>
          <w:rFonts w:eastAsia="Times New Roman"/>
          <w:sz w:val="20"/>
        </w:rPr>
        <w:t xml:space="preserve"> Numerical settings used in the nine-city CRM application.</w:t>
      </w:r>
    </w:p>
    <w:tbl>
      <w:tblPr>
        <w:tblStyle w:val="3-3"/>
        <w:tblW w:w="8208" w:type="dxa"/>
        <w:tblLayout w:type="fixed"/>
        <w:tblLook w:val="04A0" w:firstRow="1" w:lastRow="0" w:firstColumn="1" w:lastColumn="0" w:noHBand="0" w:noVBand="1"/>
      </w:tblPr>
      <w:tblGrid>
        <w:gridCol w:w="3240"/>
        <w:gridCol w:w="4968"/>
      </w:tblGrid>
      <w:tr w:rsidR="00922F4A" w14:paraId="17C24268" w14:textId="77777777" w:rsidTr="00FB27C3">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3240" w:type="dxa"/>
          </w:tcPr>
          <w:p w14:paraId="6D602122" w14:textId="77777777" w:rsidR="00922F4A" w:rsidRPr="00FB27C3" w:rsidRDefault="00000000" w:rsidP="00FB27C3">
            <w:pPr>
              <w:ind w:firstLine="361"/>
              <w:jc w:val="center"/>
              <w:rPr>
                <w:color w:val="000000" w:themeColor="text1"/>
                <w:sz w:val="18"/>
                <w:szCs w:val="18"/>
              </w:rPr>
            </w:pPr>
            <w:r w:rsidRPr="00FB27C3">
              <w:rPr>
                <w:rFonts w:eastAsia="Times New Roman"/>
                <w:color w:val="000000" w:themeColor="text1"/>
                <w:sz w:val="18"/>
                <w:szCs w:val="18"/>
              </w:rPr>
              <w:t>Setting</w:t>
            </w:r>
          </w:p>
        </w:tc>
        <w:tc>
          <w:tcPr>
            <w:tcW w:w="4968" w:type="dxa"/>
          </w:tcPr>
          <w:p w14:paraId="1BE41339" w14:textId="77777777" w:rsidR="00922F4A" w:rsidRPr="00FB27C3" w:rsidRDefault="00000000" w:rsidP="00FB27C3">
            <w:pPr>
              <w:ind w:firstLine="361"/>
              <w:jc w:val="center"/>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FB27C3">
              <w:rPr>
                <w:rFonts w:eastAsia="Times New Roman"/>
                <w:color w:val="000000" w:themeColor="text1"/>
                <w:sz w:val="18"/>
                <w:szCs w:val="18"/>
              </w:rPr>
              <w:t>Value</w:t>
            </w:r>
          </w:p>
        </w:tc>
      </w:tr>
      <w:tr w:rsidR="00922F4A" w14:paraId="5A03DC99" w14:textId="77777777" w:rsidTr="00FB2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0" w:type="dxa"/>
          </w:tcPr>
          <w:p w14:paraId="127A5B50" w14:textId="77777777" w:rsidR="00922F4A" w:rsidRPr="00FB27C3" w:rsidRDefault="00000000" w:rsidP="00FB27C3">
            <w:pPr>
              <w:ind w:firstLine="360"/>
              <w:jc w:val="center"/>
              <w:rPr>
                <w:b w:val="0"/>
                <w:bCs w:val="0"/>
                <w:sz w:val="18"/>
                <w:szCs w:val="18"/>
              </w:rPr>
            </w:pPr>
            <w:r w:rsidRPr="00FB27C3">
              <w:rPr>
                <w:rFonts w:eastAsia="Times New Roman"/>
                <w:b w:val="0"/>
                <w:bCs w:val="0"/>
                <w:sz w:val="18"/>
                <w:szCs w:val="18"/>
              </w:rPr>
              <w:t>Reference year</w:t>
            </w:r>
          </w:p>
        </w:tc>
        <w:tc>
          <w:tcPr>
            <w:tcW w:w="4968" w:type="dxa"/>
          </w:tcPr>
          <w:p w14:paraId="7B0DC322" w14:textId="77777777" w:rsidR="00922F4A" w:rsidRPr="00EF4C7E" w:rsidRDefault="00000000" w:rsidP="00FB27C3">
            <w:pPr>
              <w:ind w:firstLine="360"/>
              <w:jc w:val="center"/>
              <w:cnfStyle w:val="000000100000" w:firstRow="0" w:lastRow="0" w:firstColumn="0" w:lastColumn="0" w:oddVBand="0" w:evenVBand="0" w:oddHBand="1" w:evenHBand="0" w:firstRowFirstColumn="0" w:firstRowLastColumn="0" w:lastRowFirstColumn="0" w:lastRowLastColumn="0"/>
              <w:rPr>
                <w:sz w:val="18"/>
                <w:szCs w:val="18"/>
              </w:rPr>
            </w:pPr>
            <w:r w:rsidRPr="00EF4C7E">
              <w:rPr>
                <w:rFonts w:eastAsia="Times New Roman"/>
                <w:sz w:val="18"/>
                <w:szCs w:val="18"/>
              </w:rPr>
              <w:t>2022</w:t>
            </w:r>
          </w:p>
        </w:tc>
      </w:tr>
      <w:tr w:rsidR="00922F4A" w14:paraId="030E0121" w14:textId="77777777" w:rsidTr="00FB27C3">
        <w:tc>
          <w:tcPr>
            <w:cnfStyle w:val="001000000000" w:firstRow="0" w:lastRow="0" w:firstColumn="1" w:lastColumn="0" w:oddVBand="0" w:evenVBand="0" w:oddHBand="0" w:evenHBand="0" w:firstRowFirstColumn="0" w:firstRowLastColumn="0" w:lastRowFirstColumn="0" w:lastRowLastColumn="0"/>
            <w:tcW w:w="3240" w:type="dxa"/>
          </w:tcPr>
          <w:p w14:paraId="43279119" w14:textId="77777777" w:rsidR="00922F4A" w:rsidRPr="00FB27C3" w:rsidRDefault="00000000" w:rsidP="00FB27C3">
            <w:pPr>
              <w:ind w:firstLine="360"/>
              <w:jc w:val="center"/>
              <w:rPr>
                <w:b w:val="0"/>
                <w:bCs w:val="0"/>
                <w:sz w:val="18"/>
                <w:szCs w:val="18"/>
              </w:rPr>
            </w:pPr>
            <w:r w:rsidRPr="00FB27C3">
              <w:rPr>
                <w:rFonts w:eastAsia="Times New Roman"/>
                <w:b w:val="0"/>
                <w:bCs w:val="0"/>
                <w:sz w:val="18"/>
                <w:szCs w:val="18"/>
              </w:rPr>
              <w:t>Rainfall return periods</w:t>
            </w:r>
          </w:p>
        </w:tc>
        <w:tc>
          <w:tcPr>
            <w:tcW w:w="4968" w:type="dxa"/>
          </w:tcPr>
          <w:p w14:paraId="5FF632F6" w14:textId="77777777" w:rsidR="00922F4A" w:rsidRPr="00EF4C7E" w:rsidRDefault="00000000" w:rsidP="00FB27C3">
            <w:pPr>
              <w:ind w:firstLine="360"/>
              <w:jc w:val="center"/>
              <w:cnfStyle w:val="000000000000" w:firstRow="0" w:lastRow="0" w:firstColumn="0" w:lastColumn="0" w:oddVBand="0" w:evenVBand="0" w:oddHBand="0" w:evenHBand="0" w:firstRowFirstColumn="0" w:firstRowLastColumn="0" w:lastRowFirstColumn="0" w:lastRowLastColumn="0"/>
              <w:rPr>
                <w:sz w:val="18"/>
                <w:szCs w:val="18"/>
              </w:rPr>
            </w:pPr>
            <w:r w:rsidRPr="00EF4C7E">
              <w:rPr>
                <w:rFonts w:eastAsia="Times New Roman"/>
                <w:sz w:val="18"/>
                <w:szCs w:val="18"/>
              </w:rPr>
              <w:t>10, 100, and 500 years</w:t>
            </w:r>
          </w:p>
        </w:tc>
      </w:tr>
      <w:tr w:rsidR="00922F4A" w14:paraId="55109704" w14:textId="77777777" w:rsidTr="00FB2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0" w:type="dxa"/>
          </w:tcPr>
          <w:p w14:paraId="4B4E08D5" w14:textId="77777777" w:rsidR="00922F4A" w:rsidRPr="00FB27C3" w:rsidRDefault="00000000" w:rsidP="00FB27C3">
            <w:pPr>
              <w:ind w:firstLine="360"/>
              <w:jc w:val="center"/>
              <w:rPr>
                <w:b w:val="0"/>
                <w:bCs w:val="0"/>
                <w:sz w:val="18"/>
                <w:szCs w:val="18"/>
              </w:rPr>
            </w:pPr>
            <w:r w:rsidRPr="00FB27C3">
              <w:rPr>
                <w:rFonts w:eastAsia="Times New Roman"/>
                <w:b w:val="0"/>
                <w:bCs w:val="0"/>
                <w:sz w:val="18"/>
                <w:szCs w:val="18"/>
              </w:rPr>
              <w:t>Recovery kernel</w:t>
            </w:r>
          </w:p>
        </w:tc>
        <w:tc>
          <w:tcPr>
            <w:tcW w:w="4968" w:type="dxa"/>
          </w:tcPr>
          <w:p w14:paraId="0BB5B5EA" w14:textId="77777777" w:rsidR="00922F4A" w:rsidRPr="00EF4C7E" w:rsidRDefault="00000000" w:rsidP="00FB27C3">
            <w:pPr>
              <w:ind w:firstLine="360"/>
              <w:jc w:val="center"/>
              <w:cnfStyle w:val="000000100000" w:firstRow="0" w:lastRow="0" w:firstColumn="0" w:lastColumn="0" w:oddVBand="0" w:evenVBand="0" w:oddHBand="1" w:evenHBand="0" w:firstRowFirstColumn="0" w:firstRowLastColumn="0" w:lastRowFirstColumn="0" w:lastRowLastColumn="0"/>
              <w:rPr>
                <w:sz w:val="18"/>
                <w:szCs w:val="18"/>
              </w:rPr>
            </w:pPr>
            <w:r w:rsidRPr="00EF4C7E">
              <w:rPr>
                <w:rFonts w:eastAsia="Times New Roman"/>
                <w:sz w:val="18"/>
                <w:szCs w:val="18"/>
              </w:rPr>
              <w:t>Exponential</w:t>
            </w:r>
          </w:p>
        </w:tc>
      </w:tr>
      <w:tr w:rsidR="00922F4A" w14:paraId="40BE068B" w14:textId="77777777" w:rsidTr="00FB27C3">
        <w:tc>
          <w:tcPr>
            <w:cnfStyle w:val="001000000000" w:firstRow="0" w:lastRow="0" w:firstColumn="1" w:lastColumn="0" w:oddVBand="0" w:evenVBand="0" w:oddHBand="0" w:evenHBand="0" w:firstRowFirstColumn="0" w:firstRowLastColumn="0" w:lastRowFirstColumn="0" w:lastRowLastColumn="0"/>
            <w:tcW w:w="3240" w:type="dxa"/>
          </w:tcPr>
          <w:p w14:paraId="787E5974" w14:textId="77777777" w:rsidR="00922F4A" w:rsidRPr="00FB27C3" w:rsidRDefault="00000000" w:rsidP="00FB27C3">
            <w:pPr>
              <w:ind w:firstLine="360"/>
              <w:jc w:val="center"/>
              <w:rPr>
                <w:b w:val="0"/>
                <w:bCs w:val="0"/>
                <w:sz w:val="18"/>
                <w:szCs w:val="18"/>
              </w:rPr>
            </w:pPr>
            <w:r w:rsidRPr="00FB27C3">
              <w:rPr>
                <w:rFonts w:eastAsia="Times New Roman"/>
                <w:b w:val="0"/>
                <w:bCs w:val="0"/>
                <w:sz w:val="18"/>
                <w:szCs w:val="18"/>
              </w:rPr>
              <w:t>Numerical simulation horizon</w:t>
            </w:r>
          </w:p>
        </w:tc>
        <w:tc>
          <w:tcPr>
            <w:tcW w:w="4968" w:type="dxa"/>
          </w:tcPr>
          <w:p w14:paraId="223AB1A7" w14:textId="77777777" w:rsidR="00922F4A" w:rsidRPr="00EF4C7E" w:rsidRDefault="00000000" w:rsidP="00FB27C3">
            <w:pPr>
              <w:ind w:firstLine="360"/>
              <w:jc w:val="center"/>
              <w:cnfStyle w:val="000000000000" w:firstRow="0" w:lastRow="0" w:firstColumn="0" w:lastColumn="0" w:oddVBand="0" w:evenVBand="0" w:oddHBand="0" w:evenHBand="0" w:firstRowFirstColumn="0" w:firstRowLastColumn="0" w:lastRowFirstColumn="0" w:lastRowLastColumn="0"/>
              <w:rPr>
                <w:sz w:val="18"/>
                <w:szCs w:val="18"/>
              </w:rPr>
            </w:pPr>
            <w:r w:rsidRPr="00EF4C7E">
              <w:rPr>
                <w:rFonts w:eastAsia="Times New Roman"/>
                <w:sz w:val="18"/>
                <w:szCs w:val="18"/>
              </w:rPr>
              <w:t>100 days</w:t>
            </w:r>
          </w:p>
        </w:tc>
      </w:tr>
      <w:tr w:rsidR="00922F4A" w14:paraId="1494C5B4" w14:textId="77777777" w:rsidTr="00FB2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0" w:type="dxa"/>
          </w:tcPr>
          <w:p w14:paraId="550DE926" w14:textId="77777777" w:rsidR="00922F4A" w:rsidRPr="00FB27C3" w:rsidRDefault="00000000" w:rsidP="00FB27C3">
            <w:pPr>
              <w:ind w:firstLine="360"/>
              <w:jc w:val="center"/>
              <w:rPr>
                <w:b w:val="0"/>
                <w:bCs w:val="0"/>
                <w:sz w:val="18"/>
                <w:szCs w:val="18"/>
              </w:rPr>
            </w:pPr>
            <w:r w:rsidRPr="00FB27C3">
              <w:rPr>
                <w:rFonts w:eastAsia="Times New Roman"/>
                <w:b w:val="0"/>
                <w:bCs w:val="0"/>
                <w:sz w:val="18"/>
                <w:szCs w:val="18"/>
              </w:rPr>
              <w:t>Number of intervals</w:t>
            </w:r>
          </w:p>
        </w:tc>
        <w:tc>
          <w:tcPr>
            <w:tcW w:w="4968" w:type="dxa"/>
          </w:tcPr>
          <w:p w14:paraId="11B62ACD" w14:textId="77777777" w:rsidR="00922F4A" w:rsidRPr="00EF4C7E" w:rsidRDefault="00000000" w:rsidP="00FB27C3">
            <w:pPr>
              <w:ind w:firstLine="360"/>
              <w:jc w:val="center"/>
              <w:cnfStyle w:val="000000100000" w:firstRow="0" w:lastRow="0" w:firstColumn="0" w:lastColumn="0" w:oddVBand="0" w:evenVBand="0" w:oddHBand="1" w:evenHBand="0" w:firstRowFirstColumn="0" w:firstRowLastColumn="0" w:lastRowFirstColumn="0" w:lastRowLastColumn="0"/>
              <w:rPr>
                <w:sz w:val="18"/>
                <w:szCs w:val="18"/>
              </w:rPr>
            </w:pPr>
            <w:r w:rsidRPr="00EF4C7E">
              <w:rPr>
                <w:rFonts w:eastAsia="Times New Roman"/>
                <w:sz w:val="18"/>
                <w:szCs w:val="18"/>
              </w:rPr>
              <w:t>1,000</w:t>
            </w:r>
          </w:p>
        </w:tc>
      </w:tr>
      <w:tr w:rsidR="00922F4A" w14:paraId="3DC2C9A0" w14:textId="77777777" w:rsidTr="00FB27C3">
        <w:tc>
          <w:tcPr>
            <w:cnfStyle w:val="001000000000" w:firstRow="0" w:lastRow="0" w:firstColumn="1" w:lastColumn="0" w:oddVBand="0" w:evenVBand="0" w:oddHBand="0" w:evenHBand="0" w:firstRowFirstColumn="0" w:firstRowLastColumn="0" w:lastRowFirstColumn="0" w:lastRowLastColumn="0"/>
            <w:tcW w:w="3240" w:type="dxa"/>
          </w:tcPr>
          <w:p w14:paraId="2A714BF4" w14:textId="77777777" w:rsidR="00922F4A" w:rsidRPr="00FB27C3" w:rsidRDefault="00000000" w:rsidP="00FB27C3">
            <w:pPr>
              <w:ind w:firstLine="360"/>
              <w:jc w:val="center"/>
              <w:rPr>
                <w:b w:val="0"/>
                <w:bCs w:val="0"/>
                <w:sz w:val="18"/>
                <w:szCs w:val="18"/>
              </w:rPr>
            </w:pPr>
            <w:r w:rsidRPr="00FB27C3">
              <w:rPr>
                <w:rFonts w:eastAsia="Times New Roman"/>
                <w:b w:val="0"/>
                <w:bCs w:val="0"/>
                <w:sz w:val="18"/>
                <w:szCs w:val="18"/>
              </w:rPr>
              <w:t>Time step</w:t>
            </w:r>
          </w:p>
        </w:tc>
        <w:tc>
          <w:tcPr>
            <w:tcW w:w="4968" w:type="dxa"/>
          </w:tcPr>
          <w:p w14:paraId="577BA702" w14:textId="77777777" w:rsidR="00922F4A" w:rsidRPr="00EF4C7E" w:rsidRDefault="00000000" w:rsidP="00FB27C3">
            <w:pPr>
              <w:ind w:firstLine="360"/>
              <w:jc w:val="center"/>
              <w:cnfStyle w:val="000000000000" w:firstRow="0" w:lastRow="0" w:firstColumn="0" w:lastColumn="0" w:oddVBand="0" w:evenVBand="0" w:oddHBand="0" w:evenHBand="0" w:firstRowFirstColumn="0" w:firstRowLastColumn="0" w:lastRowFirstColumn="0" w:lastRowLastColumn="0"/>
              <w:rPr>
                <w:sz w:val="18"/>
                <w:szCs w:val="18"/>
              </w:rPr>
            </w:pPr>
            <w:r w:rsidRPr="00EF4C7E">
              <w:rPr>
                <w:rFonts w:eastAsia="Times New Roman"/>
                <w:sz w:val="18"/>
                <w:szCs w:val="18"/>
              </w:rPr>
              <w:t>0.1 day</w:t>
            </w:r>
          </w:p>
        </w:tc>
      </w:tr>
      <w:tr w:rsidR="00922F4A" w14:paraId="679E6603" w14:textId="77777777" w:rsidTr="00FB2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0" w:type="dxa"/>
          </w:tcPr>
          <w:p w14:paraId="74BDC70E" w14:textId="77777777" w:rsidR="00922F4A" w:rsidRPr="00FB27C3" w:rsidRDefault="00000000" w:rsidP="00FB27C3">
            <w:pPr>
              <w:ind w:firstLine="360"/>
              <w:jc w:val="center"/>
              <w:rPr>
                <w:b w:val="0"/>
                <w:bCs w:val="0"/>
                <w:sz w:val="18"/>
                <w:szCs w:val="18"/>
              </w:rPr>
            </w:pPr>
            <w:r w:rsidRPr="00FB27C3">
              <w:rPr>
                <w:rFonts w:eastAsia="Times New Roman"/>
                <w:b w:val="0"/>
                <w:bCs w:val="0"/>
                <w:sz w:val="18"/>
                <w:szCs w:val="18"/>
              </w:rPr>
              <w:t>Relative convergence coefficient</w:t>
            </w:r>
          </w:p>
        </w:tc>
        <w:tc>
          <w:tcPr>
            <w:tcW w:w="4968" w:type="dxa"/>
          </w:tcPr>
          <w:p w14:paraId="2F8A4C50" w14:textId="7FE124C2" w:rsidR="00922F4A" w:rsidRPr="00D3786A" w:rsidRDefault="00000000"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heme="minorEastAsia"/>
                <w:sz w:val="18"/>
                <w:szCs w:val="18"/>
              </w:rPr>
            </w:pPr>
            <w:r w:rsidRPr="00EF4C7E">
              <w:rPr>
                <w:rFonts w:eastAsia="Times New Roman"/>
                <w:sz w:val="18"/>
                <w:szCs w:val="18"/>
              </w:rPr>
              <w:t>10⁻³</w:t>
            </w:r>
          </w:p>
        </w:tc>
      </w:tr>
      <w:tr w:rsidR="00922F4A" w14:paraId="77290F3C" w14:textId="77777777" w:rsidTr="00FB27C3">
        <w:tc>
          <w:tcPr>
            <w:cnfStyle w:val="001000000000" w:firstRow="0" w:lastRow="0" w:firstColumn="1" w:lastColumn="0" w:oddVBand="0" w:evenVBand="0" w:oddHBand="0" w:evenHBand="0" w:firstRowFirstColumn="0" w:firstRowLastColumn="0" w:lastRowFirstColumn="0" w:lastRowLastColumn="0"/>
            <w:tcW w:w="3240" w:type="dxa"/>
          </w:tcPr>
          <w:p w14:paraId="42BC6FD6" w14:textId="77777777" w:rsidR="00922F4A" w:rsidRPr="00FB27C3" w:rsidRDefault="00000000" w:rsidP="00FB27C3">
            <w:pPr>
              <w:ind w:firstLine="360"/>
              <w:jc w:val="center"/>
              <w:rPr>
                <w:b w:val="0"/>
                <w:bCs w:val="0"/>
                <w:sz w:val="18"/>
                <w:szCs w:val="18"/>
              </w:rPr>
            </w:pPr>
            <w:r w:rsidRPr="00FB27C3">
              <w:rPr>
                <w:rFonts w:eastAsia="Times New Roman"/>
                <w:b w:val="0"/>
                <w:bCs w:val="0"/>
                <w:sz w:val="18"/>
                <w:szCs w:val="18"/>
              </w:rPr>
              <w:t>Required consecutive stable steps</w:t>
            </w:r>
          </w:p>
        </w:tc>
        <w:tc>
          <w:tcPr>
            <w:tcW w:w="4968" w:type="dxa"/>
          </w:tcPr>
          <w:p w14:paraId="521B2A0D" w14:textId="77777777" w:rsidR="00922F4A" w:rsidRPr="00EF4C7E" w:rsidRDefault="00000000" w:rsidP="00FB27C3">
            <w:pPr>
              <w:ind w:firstLine="360"/>
              <w:jc w:val="center"/>
              <w:cnfStyle w:val="000000000000" w:firstRow="0" w:lastRow="0" w:firstColumn="0" w:lastColumn="0" w:oddVBand="0" w:evenVBand="0" w:oddHBand="0" w:evenHBand="0" w:firstRowFirstColumn="0" w:firstRowLastColumn="0" w:lastRowFirstColumn="0" w:lastRowLastColumn="0"/>
              <w:rPr>
                <w:sz w:val="18"/>
                <w:szCs w:val="18"/>
              </w:rPr>
            </w:pPr>
            <w:r w:rsidRPr="00EF4C7E">
              <w:rPr>
                <w:rFonts w:eastAsia="Times New Roman"/>
                <w:sz w:val="18"/>
                <w:szCs w:val="18"/>
              </w:rPr>
              <w:t>10</w:t>
            </w:r>
          </w:p>
        </w:tc>
      </w:tr>
      <w:tr w:rsidR="00922F4A" w14:paraId="1BBCB630" w14:textId="77777777" w:rsidTr="00FB2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0" w:type="dxa"/>
          </w:tcPr>
          <w:p w14:paraId="7D3A5AD1" w14:textId="4A5A82BD" w:rsidR="00922F4A" w:rsidRPr="00FB27C3" w:rsidRDefault="00C97492" w:rsidP="00FB27C3">
            <w:pPr>
              <w:ind w:firstLine="360"/>
              <w:jc w:val="center"/>
              <w:rPr>
                <w:rFonts w:eastAsiaTheme="minorEastAsia"/>
                <w:b w:val="0"/>
                <w:bCs w:val="0"/>
                <w:sz w:val="18"/>
                <w:szCs w:val="18"/>
              </w:rPr>
            </w:pPr>
            <w:r w:rsidRPr="00FB27C3">
              <w:rPr>
                <w:rFonts w:eastAsia="Times New Roman"/>
                <w:b w:val="0"/>
                <w:bCs w:val="0"/>
                <w:sz w:val="18"/>
                <w:szCs w:val="18"/>
              </w:rPr>
              <w:t>Mapping of</w:t>
            </w:r>
            <w:r w:rsidRPr="00FB27C3">
              <w:rPr>
                <w:rFonts w:eastAsiaTheme="minorEastAsia" w:hint="eastAsia"/>
                <w:b w:val="0"/>
                <w:bCs w:val="0"/>
                <w:sz w:val="18"/>
                <w:szCs w:val="18"/>
              </w:rPr>
              <w:t xml:space="preserve"> </w:t>
            </w:r>
            <w:r w:rsidRPr="00FB27C3">
              <w:rPr>
                <w:rFonts w:eastAsiaTheme="minorEastAsia" w:hint="eastAsia"/>
                <w:b w:val="0"/>
                <w:bCs w:val="0"/>
                <w:i/>
                <w:iCs/>
                <w:sz w:val="18"/>
                <w:szCs w:val="18"/>
              </w:rPr>
              <w:t>a</w:t>
            </w:r>
            <w:r w:rsidRPr="00FB27C3">
              <w:rPr>
                <w:rFonts w:eastAsiaTheme="minorEastAsia" w:hint="eastAsia"/>
                <w:b w:val="0"/>
                <w:bCs w:val="0"/>
                <w:sz w:val="18"/>
                <w:szCs w:val="18"/>
              </w:rPr>
              <w:t xml:space="preserve">, </w:t>
            </w:r>
            <w:r w:rsidRPr="00FB27C3">
              <w:rPr>
                <w:rFonts w:eastAsiaTheme="minorEastAsia" w:hint="eastAsia"/>
                <w:b w:val="0"/>
                <w:bCs w:val="0"/>
                <w:i/>
                <w:iCs/>
                <w:sz w:val="18"/>
                <w:szCs w:val="18"/>
              </w:rPr>
              <w:t>b</w:t>
            </w:r>
            <w:r w:rsidRPr="00FB27C3">
              <w:rPr>
                <w:rFonts w:eastAsiaTheme="minorEastAsia" w:hint="eastAsia"/>
                <w:b w:val="0"/>
                <w:bCs w:val="0"/>
                <w:sz w:val="18"/>
                <w:szCs w:val="18"/>
              </w:rPr>
              <w:t xml:space="preserve">, </w:t>
            </w:r>
            <w:r w:rsidRPr="00FB27C3">
              <w:rPr>
                <w:rFonts w:eastAsiaTheme="minorEastAsia" w:hint="eastAsia"/>
                <w:b w:val="0"/>
                <w:bCs w:val="0"/>
                <w:i/>
                <w:iCs/>
                <w:sz w:val="18"/>
                <w:szCs w:val="18"/>
              </w:rPr>
              <w:t>c</w:t>
            </w:r>
          </w:p>
        </w:tc>
        <w:tc>
          <w:tcPr>
            <w:tcW w:w="4968" w:type="dxa"/>
          </w:tcPr>
          <w:p w14:paraId="42BB0507" w14:textId="77777777" w:rsidR="00922F4A" w:rsidRPr="00C97492" w:rsidRDefault="00000000"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heme="minorEastAsia"/>
                <w:sz w:val="18"/>
                <w:szCs w:val="18"/>
              </w:rPr>
            </w:pPr>
            <w:r w:rsidRPr="00EF4C7E">
              <w:rPr>
                <w:rFonts w:eastAsia="Times New Roman"/>
                <w:sz w:val="18"/>
                <w:szCs w:val="18"/>
              </w:rPr>
              <w:t>Rank percentile</w:t>
            </w:r>
          </w:p>
        </w:tc>
      </w:tr>
      <w:tr w:rsidR="00C97492" w14:paraId="7EB9DC29" w14:textId="77777777" w:rsidTr="00FB27C3">
        <w:tc>
          <w:tcPr>
            <w:cnfStyle w:val="001000000000" w:firstRow="0" w:lastRow="0" w:firstColumn="1" w:lastColumn="0" w:oddVBand="0" w:evenVBand="0" w:oddHBand="0" w:evenHBand="0" w:firstRowFirstColumn="0" w:firstRowLastColumn="0" w:lastRowFirstColumn="0" w:lastRowLastColumn="0"/>
            <w:tcW w:w="3240" w:type="dxa"/>
          </w:tcPr>
          <w:p w14:paraId="64E26F57" w14:textId="0D03DEE2" w:rsidR="00C97492" w:rsidRPr="00FB27C3" w:rsidRDefault="00C97492" w:rsidP="00FB27C3">
            <w:pPr>
              <w:ind w:firstLine="360"/>
              <w:jc w:val="center"/>
              <w:rPr>
                <w:rFonts w:eastAsia="Times New Roman"/>
                <w:b w:val="0"/>
                <w:bCs w:val="0"/>
                <w:sz w:val="18"/>
                <w:szCs w:val="18"/>
              </w:rPr>
            </w:pPr>
            <w:r w:rsidRPr="00FB27C3">
              <w:rPr>
                <w:rFonts w:eastAsia="Times New Roman"/>
                <w:b w:val="0"/>
                <w:bCs w:val="0"/>
                <w:sz w:val="18"/>
                <w:szCs w:val="18"/>
              </w:rPr>
              <w:t>Mapping of</w:t>
            </w:r>
            <w:r w:rsidRPr="00FB27C3">
              <w:rPr>
                <w:rFonts w:eastAsiaTheme="minorEastAsia" w:hint="eastAsia"/>
                <w:b w:val="0"/>
                <w:bCs w:val="0"/>
                <w:sz w:val="18"/>
                <w:szCs w:val="18"/>
              </w:rPr>
              <w:t xml:space="preserve"> </w:t>
            </w:r>
            <w:r w:rsidRPr="00FB27C3">
              <w:rPr>
                <w:rFonts w:eastAsiaTheme="minorEastAsia" w:hint="eastAsia"/>
                <w:b w:val="0"/>
                <w:bCs w:val="0"/>
                <w:i/>
                <w:iCs/>
                <w:sz w:val="18"/>
                <w:szCs w:val="18"/>
              </w:rPr>
              <w:t>d</w:t>
            </w:r>
          </w:p>
        </w:tc>
        <w:tc>
          <w:tcPr>
            <w:tcW w:w="4968" w:type="dxa"/>
          </w:tcPr>
          <w:p w14:paraId="5DD63B9D" w14:textId="6D22729F" w:rsidR="00C97492" w:rsidRPr="00EF4C7E" w:rsidRDefault="00C97492"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sz w:val="18"/>
                <w:szCs w:val="18"/>
              </w:rPr>
            </w:pPr>
            <w:r w:rsidRPr="00C97492">
              <w:rPr>
                <w:rFonts w:eastAsia="Times New Roman"/>
                <w:sz w:val="18"/>
                <w:szCs w:val="18"/>
              </w:rPr>
              <w:t>Centered Z-score</w:t>
            </w:r>
          </w:p>
        </w:tc>
      </w:tr>
      <w:tr w:rsidR="00922F4A" w14:paraId="59225D45" w14:textId="77777777" w:rsidTr="00FB2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0" w:type="dxa"/>
          </w:tcPr>
          <w:p w14:paraId="31A5FE58" w14:textId="6B348EF8" w:rsidR="00922F4A" w:rsidRPr="00FB27C3" w:rsidRDefault="00000000" w:rsidP="00FB27C3">
            <w:pPr>
              <w:ind w:firstLine="360"/>
              <w:jc w:val="center"/>
              <w:rPr>
                <w:b w:val="0"/>
                <w:bCs w:val="0"/>
                <w:sz w:val="18"/>
                <w:szCs w:val="18"/>
              </w:rPr>
            </w:pPr>
            <w:r w:rsidRPr="00FB27C3">
              <w:rPr>
                <w:rFonts w:eastAsia="Times New Roman"/>
                <w:b w:val="0"/>
                <w:bCs w:val="0"/>
                <w:sz w:val="18"/>
                <w:szCs w:val="18"/>
              </w:rPr>
              <w:t xml:space="preserve">Resourcefulness </w:t>
            </w:r>
            <w:r w:rsidR="00C97492" w:rsidRPr="00FB27C3">
              <w:rPr>
                <w:rFonts w:eastAsia="Times New Roman"/>
                <w:b w:val="0"/>
                <w:bCs w:val="0"/>
                <w:sz w:val="18"/>
                <w:szCs w:val="18"/>
              </w:rPr>
              <w:t>transformation</w:t>
            </w:r>
          </w:p>
        </w:tc>
        <w:tc>
          <w:tcPr>
            <w:tcW w:w="4968" w:type="dxa"/>
          </w:tcPr>
          <w:p w14:paraId="481B4492" w14:textId="11501020" w:rsidR="00922F4A" w:rsidRPr="00EF4C7E" w:rsidRDefault="00000000" w:rsidP="00FB27C3">
            <w:pPr>
              <w:ind w:firstLine="360"/>
              <w:jc w:val="center"/>
              <w:cnfStyle w:val="000000100000" w:firstRow="0" w:lastRow="0" w:firstColumn="0" w:lastColumn="0" w:oddVBand="0" w:evenVBand="0" w:oddHBand="1" w:evenHBand="0" w:firstRowFirstColumn="0" w:firstRowLastColumn="0" w:lastRowFirstColumn="0" w:lastRowLastColumn="0"/>
              <w:rPr>
                <w:sz w:val="18"/>
                <w:szCs w:val="18"/>
              </w:rPr>
            </w:pPr>
            <m:oMathPara>
              <m:oMath>
                <m:sSub>
                  <m:sSubPr>
                    <m:ctrlPr>
                      <w:rPr>
                        <w:rFonts w:ascii="Cambria Math" w:hAnsi="Cambria Math"/>
                        <w:sz w:val="18"/>
                        <w:szCs w:val="16"/>
                      </w:rPr>
                    </m:ctrlPr>
                  </m:sSubPr>
                  <m:e>
                    <m:r>
                      <w:rPr>
                        <w:rFonts w:ascii="Cambria Math" w:hAnsi="Cambria Math"/>
                        <w:sz w:val="18"/>
                        <w:szCs w:val="16"/>
                      </w:rPr>
                      <m:t>d</m:t>
                    </m:r>
                  </m:e>
                  <m:sub>
                    <m:r>
                      <w:rPr>
                        <w:rFonts w:ascii="Cambria Math" w:hAnsi="Cambria Math"/>
                        <w:sz w:val="18"/>
                        <w:szCs w:val="16"/>
                      </w:rPr>
                      <m:t>i</m:t>
                    </m:r>
                  </m:sub>
                </m:sSub>
                <m:r>
                  <m:rPr>
                    <m:sty m:val="p"/>
                  </m:rPr>
                  <w:rPr>
                    <w:rFonts w:ascii="Cambria Math" w:hAnsi="Cambria Math"/>
                    <w:sz w:val="18"/>
                    <w:szCs w:val="16"/>
                  </w:rPr>
                  <m:t>=min⁡[1.10,max⁡(0.90, 1+0.05</m:t>
                </m:r>
                <m:sSub>
                  <m:sSubPr>
                    <m:ctrlPr>
                      <w:rPr>
                        <w:rFonts w:ascii="Cambria Math" w:hAnsi="Cambria Math"/>
                        <w:sz w:val="18"/>
                        <w:szCs w:val="16"/>
                      </w:rPr>
                    </m:ctrlPr>
                  </m:sSubPr>
                  <m:e>
                    <m:r>
                      <w:rPr>
                        <w:rFonts w:ascii="Cambria Math" w:hAnsi="Cambria Math" w:hint="eastAsia"/>
                        <w:sz w:val="18"/>
                        <w:szCs w:val="16"/>
                      </w:rPr>
                      <m:t>z</m:t>
                    </m:r>
                  </m:e>
                  <m:sub>
                    <m:r>
                      <w:rPr>
                        <w:rFonts w:ascii="Cambria Math" w:hAnsi="Cambria Math"/>
                        <w:sz w:val="18"/>
                        <w:szCs w:val="16"/>
                      </w:rPr>
                      <m:t>D</m:t>
                    </m:r>
                    <m:r>
                      <m:rPr>
                        <m:sty m:val="p"/>
                      </m:rPr>
                      <w:rPr>
                        <w:rFonts w:ascii="Cambria Math" w:hAnsi="Cambria Math"/>
                        <w:sz w:val="18"/>
                        <w:szCs w:val="16"/>
                      </w:rPr>
                      <m:t>,</m:t>
                    </m:r>
                    <m:r>
                      <w:rPr>
                        <w:rFonts w:ascii="Cambria Math" w:hAnsi="Cambria Math"/>
                        <w:sz w:val="18"/>
                        <w:szCs w:val="16"/>
                      </w:rPr>
                      <m:t>i</m:t>
                    </m:r>
                  </m:sub>
                </m:sSub>
                <m:r>
                  <m:rPr>
                    <m:sty m:val="p"/>
                  </m:rPr>
                  <w:rPr>
                    <w:rFonts w:ascii="Cambria Math" w:hAnsi="Cambria Math"/>
                    <w:sz w:val="18"/>
                    <w:szCs w:val="16"/>
                  </w:rPr>
                  <m:t>)]</m:t>
                </m:r>
              </m:oMath>
            </m:oMathPara>
          </w:p>
        </w:tc>
      </w:tr>
    </w:tbl>
    <w:p w14:paraId="29C31CD5" w14:textId="23327725" w:rsidR="00FB27C3" w:rsidRDefault="00FB27C3" w:rsidP="00FB27C3">
      <w:pPr>
        <w:ind w:firstLine="480"/>
      </w:pPr>
      <w:r w:rsidRPr="00FB27C3">
        <w:t xml:space="preserve">To provide numerical support for the simulated trajectories shown in Fig. 3, representative trajectory data are reported in Table S4. Shenzhen is selected as the illustrative case because its calibrated terminal-state parameter is </w:t>
      </w:r>
      <m:oMath>
        <m:r>
          <w:rPr>
            <w:rFonts w:ascii="Cambria Math" w:hAnsi="Cambria Math"/>
          </w:rPr>
          <m:t>d=1.10</m:t>
        </m:r>
      </m:oMath>
      <w:r w:rsidRPr="00FB27C3">
        <w:t xml:space="preserve">, allowing the post-shock performance to exceed the normalized pre-shock baseline during the later recovery stage. The table reports the normalized system performance </w:t>
      </w:r>
      <m:oMath>
        <m:r>
          <w:rPr>
            <w:rFonts w:ascii="Cambria Math" w:hAnsi="Cambria Math"/>
          </w:rPr>
          <m:t>P</m:t>
        </m:r>
        <m:d>
          <m:dPr>
            <m:ctrlPr>
              <w:rPr>
                <w:rFonts w:ascii="Cambria Math" w:hAnsi="Cambria Math"/>
              </w:rPr>
            </m:ctrlPr>
          </m:dPr>
          <m:e>
            <m:r>
              <w:rPr>
                <w:rFonts w:ascii="Cambria Math" w:hAnsi="Cambria Math"/>
              </w:rPr>
              <m:t>t</m:t>
            </m:r>
          </m:e>
        </m:d>
        <m:r>
          <w:rPr>
            <w:rFonts w:ascii="Cambria Math" w:hAnsi="Cambria Math"/>
          </w:rPr>
          <m:t xml:space="preserve"> </m:t>
        </m:r>
      </m:oMath>
      <w:r w:rsidRPr="00FB27C3">
        <w:t xml:space="preserve">under the 10-, 100-, and 500-year rainfall scenarios at selected time points over the 100-day simulation horizon. The common integration benchmark </w:t>
      </w:r>
      <m:oMath>
        <m:sSub>
          <m:sSubPr>
            <m:ctrlPr>
              <w:rPr>
                <w:rFonts w:ascii="Cambria Math" w:hAnsi="Cambria Math"/>
              </w:rPr>
            </m:ctrlPr>
          </m:sSubPr>
          <m:e>
            <m:r>
              <w:rPr>
                <w:rFonts w:ascii="Cambria Math" w:hAnsi="Cambria Math"/>
              </w:rPr>
              <m:t>T</m:t>
            </m:r>
          </m:e>
          <m:sub>
            <m:r>
              <m:rPr>
                <m:sty m:val="p"/>
              </m:rPr>
              <w:rPr>
                <w:rFonts w:ascii="Cambria Math" w:hAnsi="Cambria Math"/>
              </w:rPr>
              <m:t>max</m:t>
            </m:r>
          </m:sub>
        </m:sSub>
        <m:r>
          <w:rPr>
            <w:rFonts w:ascii="Cambria Math" w:hAnsi="Cambria Math"/>
          </w:rPr>
          <m:t>=46.5</m:t>
        </m:r>
      </m:oMath>
      <w:r>
        <w:rPr>
          <w:rFonts w:hint="eastAsia"/>
        </w:rPr>
        <w:t xml:space="preserve"> </w:t>
      </w:r>
      <w:r w:rsidRPr="00FB27C3">
        <w:t>days is also included as a reference time point.</w:t>
      </w:r>
    </w:p>
    <w:p w14:paraId="5508CC53" w14:textId="1525EC40" w:rsidR="00FB27C3" w:rsidRPr="00FB27C3" w:rsidRDefault="00FB27C3" w:rsidP="00FB27C3">
      <w:pPr>
        <w:keepNext/>
        <w:keepLines/>
        <w:widowControl/>
        <w:spacing w:after="60"/>
        <w:ind w:firstLineChars="0" w:firstLine="0"/>
        <w:jc w:val="center"/>
        <w:rPr>
          <w:rFonts w:eastAsia="Times New Roman"/>
          <w:b/>
          <w:bCs/>
          <w:sz w:val="20"/>
        </w:rPr>
      </w:pPr>
      <w:r w:rsidRPr="00FB27C3">
        <w:rPr>
          <w:rFonts w:eastAsia="Times New Roman"/>
          <w:b/>
          <w:bCs/>
          <w:sz w:val="20"/>
        </w:rPr>
        <w:t xml:space="preserve">Table S4. </w:t>
      </w:r>
      <w:r w:rsidRPr="00FB27C3">
        <w:rPr>
          <w:rFonts w:eastAsia="Times New Roman"/>
          <w:sz w:val="20"/>
        </w:rPr>
        <w:t>Representative numerical values of the CRM-simulated performance trajectories for Shenzhen under the three extreme-rainfall scenarios.</w:t>
      </w:r>
    </w:p>
    <w:tbl>
      <w:tblPr>
        <w:tblStyle w:val="3-3"/>
        <w:tblW w:w="5000" w:type="pct"/>
        <w:tblLook w:val="04A0" w:firstRow="1" w:lastRow="0" w:firstColumn="1" w:lastColumn="0" w:noHBand="0" w:noVBand="1"/>
      </w:tblPr>
      <w:tblGrid>
        <w:gridCol w:w="1786"/>
        <w:gridCol w:w="2094"/>
        <w:gridCol w:w="2208"/>
        <w:gridCol w:w="2208"/>
      </w:tblGrid>
      <w:tr w:rsidR="00FB27C3" w:rsidRPr="00FB27C3" w14:paraId="4FFBD83F" w14:textId="77777777" w:rsidTr="00FB27C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76" w:type="pct"/>
            <w:hideMark/>
          </w:tcPr>
          <w:p w14:paraId="27339A27" w14:textId="1DCFC501" w:rsidR="00FB27C3" w:rsidRPr="00FB27C3" w:rsidRDefault="00FB27C3" w:rsidP="00FB27C3">
            <w:pPr>
              <w:ind w:firstLine="361"/>
              <w:jc w:val="center"/>
              <w:rPr>
                <w:rFonts w:eastAsia="Times New Roman"/>
                <w:color w:val="000000" w:themeColor="text1"/>
                <w:sz w:val="18"/>
                <w:szCs w:val="18"/>
              </w:rPr>
            </w:pPr>
            <w:r w:rsidRPr="00FB27C3">
              <w:rPr>
                <w:rFonts w:eastAsia="Times New Roman"/>
                <w:color w:val="000000" w:themeColor="text1"/>
                <w:sz w:val="18"/>
                <w:szCs w:val="18"/>
              </w:rPr>
              <w:t xml:space="preserve">Time </w:t>
            </w:r>
            <m:oMath>
              <m:r>
                <m:rPr>
                  <m:sty m:val="bi"/>
                </m:rPr>
                <w:rPr>
                  <w:rFonts w:ascii="Cambria Math" w:eastAsia="Times New Roman" w:hAnsi="Cambria Math"/>
                  <w:color w:val="000000" w:themeColor="text1"/>
                  <w:sz w:val="18"/>
                  <w:szCs w:val="18"/>
                </w:rPr>
                <m:t xml:space="preserve">t </m:t>
              </m:r>
            </m:oMath>
            <w:r w:rsidRPr="00FB27C3">
              <w:rPr>
                <w:rFonts w:eastAsia="Times New Roman"/>
                <w:color w:val="000000" w:themeColor="text1"/>
                <w:sz w:val="18"/>
                <w:szCs w:val="18"/>
              </w:rPr>
              <w:t>(days)</w:t>
            </w:r>
          </w:p>
        </w:tc>
        <w:tc>
          <w:tcPr>
            <w:tcW w:w="1262" w:type="pct"/>
            <w:hideMark/>
          </w:tcPr>
          <w:p w14:paraId="01AD8704" w14:textId="77777777" w:rsidR="00FB27C3" w:rsidRPr="00FB27C3" w:rsidRDefault="00FB27C3" w:rsidP="00FB27C3">
            <w:pPr>
              <w:ind w:firstLine="361"/>
              <w:jc w:val="center"/>
              <w:cnfStyle w:val="100000000000" w:firstRow="1" w:lastRow="0" w:firstColumn="0" w:lastColumn="0" w:oddVBand="0" w:evenVBand="0" w:oddHBand="0" w:evenHBand="0" w:firstRowFirstColumn="0" w:firstRowLastColumn="0" w:lastRowFirstColumn="0" w:lastRowLastColumn="0"/>
              <w:rPr>
                <w:rFonts w:eastAsia="Times New Roman"/>
                <w:color w:val="000000" w:themeColor="text1"/>
                <w:sz w:val="18"/>
                <w:szCs w:val="18"/>
              </w:rPr>
            </w:pPr>
            <w:r w:rsidRPr="00FB27C3">
              <w:rPr>
                <w:rFonts w:eastAsia="Times New Roman"/>
                <w:color w:val="000000" w:themeColor="text1"/>
                <w:sz w:val="18"/>
                <w:szCs w:val="18"/>
              </w:rPr>
              <w:t>10-year scenario</w:t>
            </w:r>
          </w:p>
        </w:tc>
        <w:tc>
          <w:tcPr>
            <w:tcW w:w="1331" w:type="pct"/>
            <w:hideMark/>
          </w:tcPr>
          <w:p w14:paraId="79214472" w14:textId="77777777" w:rsidR="00FB27C3" w:rsidRPr="00FB27C3" w:rsidRDefault="00FB27C3" w:rsidP="00FB27C3">
            <w:pPr>
              <w:ind w:firstLine="361"/>
              <w:jc w:val="center"/>
              <w:cnfStyle w:val="100000000000" w:firstRow="1" w:lastRow="0" w:firstColumn="0" w:lastColumn="0" w:oddVBand="0" w:evenVBand="0" w:oddHBand="0" w:evenHBand="0" w:firstRowFirstColumn="0" w:firstRowLastColumn="0" w:lastRowFirstColumn="0" w:lastRowLastColumn="0"/>
              <w:rPr>
                <w:rFonts w:eastAsia="Times New Roman"/>
                <w:color w:val="000000" w:themeColor="text1"/>
                <w:sz w:val="18"/>
                <w:szCs w:val="18"/>
              </w:rPr>
            </w:pPr>
            <w:r w:rsidRPr="00FB27C3">
              <w:rPr>
                <w:rFonts w:eastAsia="Times New Roman"/>
                <w:color w:val="000000" w:themeColor="text1"/>
                <w:sz w:val="18"/>
                <w:szCs w:val="18"/>
              </w:rPr>
              <w:t>100-year scenario</w:t>
            </w:r>
          </w:p>
        </w:tc>
        <w:tc>
          <w:tcPr>
            <w:tcW w:w="1331" w:type="pct"/>
            <w:hideMark/>
          </w:tcPr>
          <w:p w14:paraId="0C4BB8C3" w14:textId="77777777" w:rsidR="00FB27C3" w:rsidRPr="00FB27C3" w:rsidRDefault="00FB27C3" w:rsidP="00FB27C3">
            <w:pPr>
              <w:ind w:firstLine="361"/>
              <w:jc w:val="center"/>
              <w:cnfStyle w:val="100000000000" w:firstRow="1" w:lastRow="0" w:firstColumn="0" w:lastColumn="0" w:oddVBand="0" w:evenVBand="0" w:oddHBand="0" w:evenHBand="0" w:firstRowFirstColumn="0" w:firstRowLastColumn="0" w:lastRowFirstColumn="0" w:lastRowLastColumn="0"/>
              <w:rPr>
                <w:rFonts w:eastAsia="Times New Roman"/>
                <w:color w:val="000000" w:themeColor="text1"/>
                <w:sz w:val="18"/>
                <w:szCs w:val="18"/>
              </w:rPr>
            </w:pPr>
            <w:r w:rsidRPr="00FB27C3">
              <w:rPr>
                <w:rFonts w:eastAsia="Times New Roman"/>
                <w:color w:val="000000" w:themeColor="text1"/>
                <w:sz w:val="18"/>
                <w:szCs w:val="18"/>
              </w:rPr>
              <w:t>500-year scenario</w:t>
            </w:r>
          </w:p>
        </w:tc>
      </w:tr>
      <w:tr w:rsidR="00FB27C3" w:rsidRPr="00FB27C3" w14:paraId="07EBB51C" w14:textId="77777777" w:rsidTr="00FB2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 w:type="pct"/>
            <w:hideMark/>
          </w:tcPr>
          <w:p w14:paraId="0BA3C6B3" w14:textId="77777777" w:rsidR="00FB27C3" w:rsidRPr="00FB27C3" w:rsidRDefault="00FB27C3" w:rsidP="00FB27C3">
            <w:pPr>
              <w:ind w:firstLine="360"/>
              <w:jc w:val="center"/>
              <w:rPr>
                <w:rFonts w:eastAsia="Times New Roman"/>
                <w:b w:val="0"/>
                <w:sz w:val="18"/>
                <w:szCs w:val="18"/>
              </w:rPr>
            </w:pPr>
            <w:r w:rsidRPr="00FB27C3">
              <w:rPr>
                <w:rFonts w:eastAsia="Times New Roman"/>
                <w:b w:val="0"/>
                <w:sz w:val="18"/>
                <w:szCs w:val="18"/>
              </w:rPr>
              <w:t>0</w:t>
            </w:r>
          </w:p>
        </w:tc>
        <w:tc>
          <w:tcPr>
            <w:tcW w:w="1262" w:type="pct"/>
            <w:hideMark/>
          </w:tcPr>
          <w:p w14:paraId="250A8464"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1.0000</w:t>
            </w:r>
          </w:p>
        </w:tc>
        <w:tc>
          <w:tcPr>
            <w:tcW w:w="1331" w:type="pct"/>
            <w:hideMark/>
          </w:tcPr>
          <w:p w14:paraId="1F85AF1F"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1.0000</w:t>
            </w:r>
          </w:p>
        </w:tc>
        <w:tc>
          <w:tcPr>
            <w:tcW w:w="1331" w:type="pct"/>
            <w:hideMark/>
          </w:tcPr>
          <w:p w14:paraId="669BF3FA"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1.0000</w:t>
            </w:r>
          </w:p>
        </w:tc>
      </w:tr>
      <w:tr w:rsidR="00FB27C3" w:rsidRPr="00FB27C3" w14:paraId="353F027A" w14:textId="77777777" w:rsidTr="00FB27C3">
        <w:tc>
          <w:tcPr>
            <w:cnfStyle w:val="001000000000" w:firstRow="0" w:lastRow="0" w:firstColumn="1" w:lastColumn="0" w:oddVBand="0" w:evenVBand="0" w:oddHBand="0" w:evenHBand="0" w:firstRowFirstColumn="0" w:firstRowLastColumn="0" w:lastRowFirstColumn="0" w:lastRowLastColumn="0"/>
            <w:tcW w:w="1076" w:type="pct"/>
            <w:hideMark/>
          </w:tcPr>
          <w:p w14:paraId="788FAD3D" w14:textId="77777777" w:rsidR="00FB27C3" w:rsidRPr="00FB27C3" w:rsidRDefault="00FB27C3" w:rsidP="00FB27C3">
            <w:pPr>
              <w:ind w:firstLine="360"/>
              <w:jc w:val="center"/>
              <w:rPr>
                <w:rFonts w:eastAsia="Times New Roman"/>
                <w:b w:val="0"/>
                <w:sz w:val="18"/>
                <w:szCs w:val="18"/>
              </w:rPr>
            </w:pPr>
            <w:r w:rsidRPr="00FB27C3">
              <w:rPr>
                <w:rFonts w:eastAsia="Times New Roman"/>
                <w:b w:val="0"/>
                <w:sz w:val="18"/>
                <w:szCs w:val="18"/>
              </w:rPr>
              <w:t>1</w:t>
            </w:r>
          </w:p>
        </w:tc>
        <w:tc>
          <w:tcPr>
            <w:tcW w:w="1262" w:type="pct"/>
            <w:hideMark/>
          </w:tcPr>
          <w:p w14:paraId="3AF5F499"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0.9042</w:t>
            </w:r>
          </w:p>
        </w:tc>
        <w:tc>
          <w:tcPr>
            <w:tcW w:w="1331" w:type="pct"/>
            <w:hideMark/>
          </w:tcPr>
          <w:p w14:paraId="08B559BE"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0.8277</w:t>
            </w:r>
          </w:p>
        </w:tc>
        <w:tc>
          <w:tcPr>
            <w:tcW w:w="1331" w:type="pct"/>
            <w:hideMark/>
          </w:tcPr>
          <w:p w14:paraId="30407E6E"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0.7319</w:t>
            </w:r>
          </w:p>
        </w:tc>
      </w:tr>
      <w:tr w:rsidR="00FB27C3" w:rsidRPr="00FB27C3" w14:paraId="5C84E769" w14:textId="77777777" w:rsidTr="00FB2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 w:type="pct"/>
            <w:hideMark/>
          </w:tcPr>
          <w:p w14:paraId="4D4EC4DB" w14:textId="77777777" w:rsidR="00FB27C3" w:rsidRPr="00FB27C3" w:rsidRDefault="00FB27C3" w:rsidP="00FB27C3">
            <w:pPr>
              <w:ind w:firstLine="360"/>
              <w:jc w:val="center"/>
              <w:rPr>
                <w:rFonts w:eastAsia="Times New Roman"/>
                <w:b w:val="0"/>
                <w:sz w:val="18"/>
                <w:szCs w:val="18"/>
              </w:rPr>
            </w:pPr>
            <w:r w:rsidRPr="00FB27C3">
              <w:rPr>
                <w:rFonts w:eastAsia="Times New Roman"/>
                <w:b w:val="0"/>
                <w:sz w:val="18"/>
                <w:szCs w:val="18"/>
              </w:rPr>
              <w:t>2</w:t>
            </w:r>
          </w:p>
        </w:tc>
        <w:tc>
          <w:tcPr>
            <w:tcW w:w="1262" w:type="pct"/>
            <w:hideMark/>
          </w:tcPr>
          <w:p w14:paraId="61E2EAC9"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0.8941</w:t>
            </w:r>
          </w:p>
        </w:tc>
        <w:tc>
          <w:tcPr>
            <w:tcW w:w="1331" w:type="pct"/>
            <w:hideMark/>
          </w:tcPr>
          <w:p w14:paraId="59560A11"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0.8078</w:t>
            </w:r>
          </w:p>
        </w:tc>
        <w:tc>
          <w:tcPr>
            <w:tcW w:w="1331" w:type="pct"/>
            <w:hideMark/>
          </w:tcPr>
          <w:p w14:paraId="54CD2157"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0.6995</w:t>
            </w:r>
          </w:p>
        </w:tc>
      </w:tr>
      <w:tr w:rsidR="00FB27C3" w:rsidRPr="00FB27C3" w14:paraId="426298C6" w14:textId="77777777" w:rsidTr="00FB27C3">
        <w:tc>
          <w:tcPr>
            <w:cnfStyle w:val="001000000000" w:firstRow="0" w:lastRow="0" w:firstColumn="1" w:lastColumn="0" w:oddVBand="0" w:evenVBand="0" w:oddHBand="0" w:evenHBand="0" w:firstRowFirstColumn="0" w:firstRowLastColumn="0" w:lastRowFirstColumn="0" w:lastRowLastColumn="0"/>
            <w:tcW w:w="1076" w:type="pct"/>
            <w:hideMark/>
          </w:tcPr>
          <w:p w14:paraId="71AE9B0E" w14:textId="77777777" w:rsidR="00FB27C3" w:rsidRPr="00FB27C3" w:rsidRDefault="00FB27C3" w:rsidP="00FB27C3">
            <w:pPr>
              <w:ind w:firstLine="360"/>
              <w:jc w:val="center"/>
              <w:rPr>
                <w:rFonts w:eastAsia="Times New Roman"/>
                <w:b w:val="0"/>
                <w:sz w:val="18"/>
                <w:szCs w:val="18"/>
              </w:rPr>
            </w:pPr>
            <w:r w:rsidRPr="00FB27C3">
              <w:rPr>
                <w:rFonts w:eastAsia="Times New Roman"/>
                <w:b w:val="0"/>
                <w:sz w:val="18"/>
                <w:szCs w:val="18"/>
              </w:rPr>
              <w:t>5</w:t>
            </w:r>
          </w:p>
        </w:tc>
        <w:tc>
          <w:tcPr>
            <w:tcW w:w="1262" w:type="pct"/>
            <w:hideMark/>
          </w:tcPr>
          <w:p w14:paraId="527F6836"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0.9190</w:t>
            </w:r>
          </w:p>
        </w:tc>
        <w:tc>
          <w:tcPr>
            <w:tcW w:w="1331" w:type="pct"/>
            <w:hideMark/>
          </w:tcPr>
          <w:p w14:paraId="7CCDD0D5"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0.8422</w:t>
            </w:r>
          </w:p>
        </w:tc>
        <w:tc>
          <w:tcPr>
            <w:tcW w:w="1331" w:type="pct"/>
            <w:hideMark/>
          </w:tcPr>
          <w:p w14:paraId="7ED166D3"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0.7459</w:t>
            </w:r>
          </w:p>
        </w:tc>
      </w:tr>
      <w:tr w:rsidR="00FB27C3" w:rsidRPr="00FB27C3" w14:paraId="1D139C32" w14:textId="77777777" w:rsidTr="00FB2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 w:type="pct"/>
            <w:hideMark/>
          </w:tcPr>
          <w:p w14:paraId="5B8BC1F7" w14:textId="77777777" w:rsidR="00FB27C3" w:rsidRPr="00FB27C3" w:rsidRDefault="00FB27C3" w:rsidP="00FB27C3">
            <w:pPr>
              <w:ind w:firstLine="360"/>
              <w:jc w:val="center"/>
              <w:rPr>
                <w:rFonts w:eastAsia="Times New Roman"/>
                <w:b w:val="0"/>
                <w:sz w:val="18"/>
                <w:szCs w:val="18"/>
              </w:rPr>
            </w:pPr>
            <w:r w:rsidRPr="00FB27C3">
              <w:rPr>
                <w:rFonts w:eastAsia="Times New Roman"/>
                <w:b w:val="0"/>
                <w:sz w:val="18"/>
                <w:szCs w:val="18"/>
              </w:rPr>
              <w:t>10</w:t>
            </w:r>
          </w:p>
        </w:tc>
        <w:tc>
          <w:tcPr>
            <w:tcW w:w="1262" w:type="pct"/>
            <w:hideMark/>
          </w:tcPr>
          <w:p w14:paraId="1B9CF900"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0.9736</w:t>
            </w:r>
          </w:p>
        </w:tc>
        <w:tc>
          <w:tcPr>
            <w:tcW w:w="1331" w:type="pct"/>
            <w:hideMark/>
          </w:tcPr>
          <w:p w14:paraId="7009276D"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0.9200</w:t>
            </w:r>
          </w:p>
        </w:tc>
        <w:tc>
          <w:tcPr>
            <w:tcW w:w="1331" w:type="pct"/>
            <w:hideMark/>
          </w:tcPr>
          <w:p w14:paraId="2A3A63CE"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0.8527</w:t>
            </w:r>
          </w:p>
        </w:tc>
      </w:tr>
      <w:tr w:rsidR="00FB27C3" w:rsidRPr="00FB27C3" w14:paraId="0A52B07E" w14:textId="77777777" w:rsidTr="00FB27C3">
        <w:tc>
          <w:tcPr>
            <w:cnfStyle w:val="001000000000" w:firstRow="0" w:lastRow="0" w:firstColumn="1" w:lastColumn="0" w:oddVBand="0" w:evenVBand="0" w:oddHBand="0" w:evenHBand="0" w:firstRowFirstColumn="0" w:firstRowLastColumn="0" w:lastRowFirstColumn="0" w:lastRowLastColumn="0"/>
            <w:tcW w:w="1076" w:type="pct"/>
            <w:hideMark/>
          </w:tcPr>
          <w:p w14:paraId="145BF326" w14:textId="77777777" w:rsidR="00FB27C3" w:rsidRPr="00FB27C3" w:rsidRDefault="00FB27C3" w:rsidP="00FB27C3">
            <w:pPr>
              <w:ind w:firstLine="360"/>
              <w:jc w:val="center"/>
              <w:rPr>
                <w:rFonts w:eastAsia="Times New Roman"/>
                <w:b w:val="0"/>
                <w:sz w:val="18"/>
                <w:szCs w:val="18"/>
              </w:rPr>
            </w:pPr>
            <w:r w:rsidRPr="00FB27C3">
              <w:rPr>
                <w:rFonts w:eastAsia="Times New Roman"/>
                <w:b w:val="0"/>
                <w:sz w:val="18"/>
                <w:szCs w:val="18"/>
              </w:rPr>
              <w:t>20</w:t>
            </w:r>
          </w:p>
        </w:tc>
        <w:tc>
          <w:tcPr>
            <w:tcW w:w="1262" w:type="pct"/>
            <w:hideMark/>
          </w:tcPr>
          <w:p w14:paraId="268BA923"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1.0489</w:t>
            </w:r>
          </w:p>
        </w:tc>
        <w:tc>
          <w:tcPr>
            <w:tcW w:w="1331" w:type="pct"/>
            <w:hideMark/>
          </w:tcPr>
          <w:p w14:paraId="56E45D42"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1.0271</w:t>
            </w:r>
          </w:p>
        </w:tc>
        <w:tc>
          <w:tcPr>
            <w:tcW w:w="1331" w:type="pct"/>
            <w:hideMark/>
          </w:tcPr>
          <w:p w14:paraId="11DA9A00"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0.9999</w:t>
            </w:r>
          </w:p>
        </w:tc>
      </w:tr>
      <w:tr w:rsidR="00FB27C3" w:rsidRPr="00FB27C3" w14:paraId="23092A33" w14:textId="77777777" w:rsidTr="00FB2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 w:type="pct"/>
            <w:hideMark/>
          </w:tcPr>
          <w:p w14:paraId="214997FC" w14:textId="77777777" w:rsidR="00FB27C3" w:rsidRPr="00FB27C3" w:rsidRDefault="00FB27C3" w:rsidP="00FB27C3">
            <w:pPr>
              <w:ind w:firstLine="360"/>
              <w:jc w:val="center"/>
              <w:rPr>
                <w:rFonts w:eastAsia="Times New Roman"/>
                <w:b w:val="0"/>
                <w:sz w:val="18"/>
                <w:szCs w:val="18"/>
              </w:rPr>
            </w:pPr>
            <w:r w:rsidRPr="00FB27C3">
              <w:rPr>
                <w:rFonts w:eastAsia="Times New Roman"/>
                <w:b w:val="0"/>
                <w:sz w:val="18"/>
                <w:szCs w:val="18"/>
              </w:rPr>
              <w:t>30</w:t>
            </w:r>
          </w:p>
        </w:tc>
        <w:tc>
          <w:tcPr>
            <w:tcW w:w="1262" w:type="pct"/>
            <w:hideMark/>
          </w:tcPr>
          <w:p w14:paraId="1F585998"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1.0810</w:t>
            </w:r>
          </w:p>
        </w:tc>
        <w:tc>
          <w:tcPr>
            <w:tcW w:w="1331" w:type="pct"/>
            <w:hideMark/>
          </w:tcPr>
          <w:p w14:paraId="1B71D4CB"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1.0730</w:t>
            </w:r>
          </w:p>
        </w:tc>
        <w:tc>
          <w:tcPr>
            <w:tcW w:w="1331" w:type="pct"/>
            <w:hideMark/>
          </w:tcPr>
          <w:p w14:paraId="78FD288A"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1.0629</w:t>
            </w:r>
          </w:p>
        </w:tc>
      </w:tr>
      <w:tr w:rsidR="00FB27C3" w:rsidRPr="00FB27C3" w14:paraId="0B28EB27" w14:textId="77777777" w:rsidTr="00FB27C3">
        <w:tc>
          <w:tcPr>
            <w:cnfStyle w:val="001000000000" w:firstRow="0" w:lastRow="0" w:firstColumn="1" w:lastColumn="0" w:oddVBand="0" w:evenVBand="0" w:oddHBand="0" w:evenHBand="0" w:firstRowFirstColumn="0" w:firstRowLastColumn="0" w:lastRowFirstColumn="0" w:lastRowLastColumn="0"/>
            <w:tcW w:w="1076" w:type="pct"/>
            <w:hideMark/>
          </w:tcPr>
          <w:p w14:paraId="31A4A7F1" w14:textId="77777777" w:rsidR="00FB27C3" w:rsidRPr="00FB27C3" w:rsidRDefault="00FB27C3" w:rsidP="00FB27C3">
            <w:pPr>
              <w:ind w:firstLine="360"/>
              <w:jc w:val="center"/>
              <w:rPr>
                <w:rFonts w:eastAsia="Times New Roman"/>
                <w:b w:val="0"/>
                <w:sz w:val="18"/>
                <w:szCs w:val="18"/>
              </w:rPr>
            </w:pPr>
            <w:r w:rsidRPr="00FB27C3">
              <w:rPr>
                <w:rFonts w:eastAsia="Times New Roman"/>
                <w:b w:val="0"/>
                <w:sz w:val="18"/>
                <w:szCs w:val="18"/>
              </w:rPr>
              <w:t>40</w:t>
            </w:r>
          </w:p>
        </w:tc>
        <w:tc>
          <w:tcPr>
            <w:tcW w:w="1262" w:type="pct"/>
            <w:hideMark/>
          </w:tcPr>
          <w:p w14:paraId="14CB91FC"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1.0932</w:t>
            </w:r>
          </w:p>
        </w:tc>
        <w:tc>
          <w:tcPr>
            <w:tcW w:w="1331" w:type="pct"/>
            <w:hideMark/>
          </w:tcPr>
          <w:p w14:paraId="60AC2452"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1.0903</w:t>
            </w:r>
          </w:p>
        </w:tc>
        <w:tc>
          <w:tcPr>
            <w:tcW w:w="1331" w:type="pct"/>
            <w:hideMark/>
          </w:tcPr>
          <w:p w14:paraId="46FA4B56"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1.0866</w:t>
            </w:r>
          </w:p>
        </w:tc>
      </w:tr>
      <w:tr w:rsidR="00FB27C3" w:rsidRPr="00FB27C3" w14:paraId="0C716F69" w14:textId="77777777" w:rsidTr="00FB2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 w:type="pct"/>
            <w:hideMark/>
          </w:tcPr>
          <w:p w14:paraId="3BD1E087" w14:textId="77777777" w:rsidR="00FB27C3" w:rsidRPr="00FB27C3" w:rsidRDefault="00FB27C3" w:rsidP="00FB27C3">
            <w:pPr>
              <w:ind w:firstLine="360"/>
              <w:jc w:val="center"/>
              <w:rPr>
                <w:rFonts w:eastAsia="Times New Roman"/>
                <w:b w:val="0"/>
                <w:sz w:val="18"/>
                <w:szCs w:val="18"/>
              </w:rPr>
            </w:pPr>
            <w:r w:rsidRPr="00FB27C3">
              <w:rPr>
                <w:rFonts w:eastAsia="Times New Roman"/>
                <w:b w:val="0"/>
                <w:sz w:val="18"/>
                <w:szCs w:val="18"/>
              </w:rPr>
              <w:t>46.5</w:t>
            </w:r>
          </w:p>
        </w:tc>
        <w:tc>
          <w:tcPr>
            <w:tcW w:w="1262" w:type="pct"/>
            <w:hideMark/>
          </w:tcPr>
          <w:p w14:paraId="7D9F7F12"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1.0965</w:t>
            </w:r>
          </w:p>
        </w:tc>
        <w:tc>
          <w:tcPr>
            <w:tcW w:w="1331" w:type="pct"/>
            <w:hideMark/>
          </w:tcPr>
          <w:p w14:paraId="6ADAC22F"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1.0950</w:t>
            </w:r>
          </w:p>
        </w:tc>
        <w:tc>
          <w:tcPr>
            <w:tcW w:w="1331" w:type="pct"/>
            <w:hideMark/>
          </w:tcPr>
          <w:p w14:paraId="65586D99"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1.0931</w:t>
            </w:r>
          </w:p>
        </w:tc>
      </w:tr>
      <w:tr w:rsidR="00FB27C3" w:rsidRPr="00FB27C3" w14:paraId="18B44F2C" w14:textId="77777777" w:rsidTr="00FB27C3">
        <w:tc>
          <w:tcPr>
            <w:cnfStyle w:val="001000000000" w:firstRow="0" w:lastRow="0" w:firstColumn="1" w:lastColumn="0" w:oddVBand="0" w:evenVBand="0" w:oddHBand="0" w:evenHBand="0" w:firstRowFirstColumn="0" w:firstRowLastColumn="0" w:lastRowFirstColumn="0" w:lastRowLastColumn="0"/>
            <w:tcW w:w="1076" w:type="pct"/>
            <w:hideMark/>
          </w:tcPr>
          <w:p w14:paraId="76CBC70A" w14:textId="77777777" w:rsidR="00FB27C3" w:rsidRPr="00FB27C3" w:rsidRDefault="00FB27C3" w:rsidP="00FB27C3">
            <w:pPr>
              <w:ind w:firstLine="360"/>
              <w:jc w:val="center"/>
              <w:rPr>
                <w:rFonts w:eastAsia="Times New Roman"/>
                <w:b w:val="0"/>
                <w:sz w:val="18"/>
                <w:szCs w:val="18"/>
              </w:rPr>
            </w:pPr>
            <w:r w:rsidRPr="00FB27C3">
              <w:rPr>
                <w:rFonts w:eastAsia="Times New Roman"/>
                <w:b w:val="0"/>
                <w:sz w:val="18"/>
                <w:szCs w:val="18"/>
              </w:rPr>
              <w:t>60</w:t>
            </w:r>
          </w:p>
        </w:tc>
        <w:tc>
          <w:tcPr>
            <w:tcW w:w="1262" w:type="pct"/>
            <w:hideMark/>
          </w:tcPr>
          <w:p w14:paraId="029FB7CF"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1.0991</w:t>
            </w:r>
          </w:p>
        </w:tc>
        <w:tc>
          <w:tcPr>
            <w:tcW w:w="1331" w:type="pct"/>
            <w:hideMark/>
          </w:tcPr>
          <w:p w14:paraId="445B2656"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1.0988</w:t>
            </w:r>
          </w:p>
        </w:tc>
        <w:tc>
          <w:tcPr>
            <w:tcW w:w="1331" w:type="pct"/>
            <w:hideMark/>
          </w:tcPr>
          <w:p w14:paraId="77DA9C8A"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1.0983</w:t>
            </w:r>
          </w:p>
        </w:tc>
      </w:tr>
      <w:tr w:rsidR="00FB27C3" w:rsidRPr="00FB27C3" w14:paraId="54DB7C4D" w14:textId="77777777" w:rsidTr="00FB2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 w:type="pct"/>
            <w:hideMark/>
          </w:tcPr>
          <w:p w14:paraId="584E1A55" w14:textId="77777777" w:rsidR="00FB27C3" w:rsidRPr="00FB27C3" w:rsidRDefault="00FB27C3" w:rsidP="00FB27C3">
            <w:pPr>
              <w:ind w:firstLine="360"/>
              <w:jc w:val="center"/>
              <w:rPr>
                <w:rFonts w:eastAsia="Times New Roman"/>
                <w:b w:val="0"/>
                <w:sz w:val="18"/>
                <w:szCs w:val="18"/>
              </w:rPr>
            </w:pPr>
            <w:r w:rsidRPr="00FB27C3">
              <w:rPr>
                <w:rFonts w:eastAsia="Times New Roman"/>
                <w:b w:val="0"/>
                <w:sz w:val="18"/>
                <w:szCs w:val="18"/>
              </w:rPr>
              <w:t>80</w:t>
            </w:r>
          </w:p>
        </w:tc>
        <w:tc>
          <w:tcPr>
            <w:tcW w:w="1262" w:type="pct"/>
            <w:hideMark/>
          </w:tcPr>
          <w:p w14:paraId="4755166E"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1.0999</w:t>
            </w:r>
          </w:p>
        </w:tc>
        <w:tc>
          <w:tcPr>
            <w:tcW w:w="1331" w:type="pct"/>
            <w:hideMark/>
          </w:tcPr>
          <w:p w14:paraId="264A54DA"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1.0998</w:t>
            </w:r>
          </w:p>
        </w:tc>
        <w:tc>
          <w:tcPr>
            <w:tcW w:w="1331" w:type="pct"/>
            <w:hideMark/>
          </w:tcPr>
          <w:p w14:paraId="0CA5EF56" w14:textId="77777777" w:rsidR="00FB27C3" w:rsidRPr="00FB27C3" w:rsidRDefault="00FB27C3" w:rsidP="00FB27C3">
            <w:pPr>
              <w:ind w:firstLine="360"/>
              <w:jc w:val="center"/>
              <w:cnfStyle w:val="000000100000" w:firstRow="0" w:lastRow="0" w:firstColumn="0" w:lastColumn="0" w:oddVBand="0" w:evenVBand="0" w:oddHBand="1" w:evenHBand="0" w:firstRowFirstColumn="0" w:firstRowLastColumn="0" w:lastRowFirstColumn="0" w:lastRowLastColumn="0"/>
              <w:rPr>
                <w:rFonts w:eastAsia="Times New Roman"/>
                <w:bCs/>
                <w:sz w:val="18"/>
                <w:szCs w:val="18"/>
              </w:rPr>
            </w:pPr>
            <w:r w:rsidRPr="00FB27C3">
              <w:rPr>
                <w:rFonts w:eastAsia="Times New Roman"/>
                <w:bCs/>
                <w:sz w:val="18"/>
                <w:szCs w:val="18"/>
              </w:rPr>
              <w:t>1.0998</w:t>
            </w:r>
          </w:p>
        </w:tc>
      </w:tr>
      <w:tr w:rsidR="00FB27C3" w:rsidRPr="00FB27C3" w14:paraId="47B33D71" w14:textId="77777777" w:rsidTr="00FB27C3">
        <w:tc>
          <w:tcPr>
            <w:cnfStyle w:val="001000000000" w:firstRow="0" w:lastRow="0" w:firstColumn="1" w:lastColumn="0" w:oddVBand="0" w:evenVBand="0" w:oddHBand="0" w:evenHBand="0" w:firstRowFirstColumn="0" w:firstRowLastColumn="0" w:lastRowFirstColumn="0" w:lastRowLastColumn="0"/>
            <w:tcW w:w="1076" w:type="pct"/>
            <w:hideMark/>
          </w:tcPr>
          <w:p w14:paraId="033C6972" w14:textId="77777777" w:rsidR="00FB27C3" w:rsidRPr="00FB27C3" w:rsidRDefault="00FB27C3" w:rsidP="00FB27C3">
            <w:pPr>
              <w:ind w:firstLine="360"/>
              <w:jc w:val="center"/>
              <w:rPr>
                <w:rFonts w:eastAsia="Times New Roman"/>
                <w:b w:val="0"/>
                <w:sz w:val="18"/>
                <w:szCs w:val="18"/>
              </w:rPr>
            </w:pPr>
            <w:r w:rsidRPr="00FB27C3">
              <w:rPr>
                <w:rFonts w:eastAsia="Times New Roman"/>
                <w:b w:val="0"/>
                <w:sz w:val="18"/>
                <w:szCs w:val="18"/>
              </w:rPr>
              <w:t>100</w:t>
            </w:r>
          </w:p>
        </w:tc>
        <w:tc>
          <w:tcPr>
            <w:tcW w:w="1262" w:type="pct"/>
            <w:hideMark/>
          </w:tcPr>
          <w:p w14:paraId="3FA5FB3A"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1.1000</w:t>
            </w:r>
          </w:p>
        </w:tc>
        <w:tc>
          <w:tcPr>
            <w:tcW w:w="1331" w:type="pct"/>
            <w:hideMark/>
          </w:tcPr>
          <w:p w14:paraId="5DA3BE7B"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1.1000</w:t>
            </w:r>
          </w:p>
        </w:tc>
        <w:tc>
          <w:tcPr>
            <w:tcW w:w="1331" w:type="pct"/>
            <w:hideMark/>
          </w:tcPr>
          <w:p w14:paraId="6DCF606E" w14:textId="77777777" w:rsidR="00FB27C3" w:rsidRPr="00FB27C3" w:rsidRDefault="00FB27C3" w:rsidP="00FB27C3">
            <w:pPr>
              <w:ind w:firstLine="360"/>
              <w:jc w:val="center"/>
              <w:cnfStyle w:val="000000000000" w:firstRow="0" w:lastRow="0" w:firstColumn="0" w:lastColumn="0" w:oddVBand="0" w:evenVBand="0" w:oddHBand="0" w:evenHBand="0" w:firstRowFirstColumn="0" w:firstRowLastColumn="0" w:lastRowFirstColumn="0" w:lastRowLastColumn="0"/>
              <w:rPr>
                <w:rFonts w:eastAsia="Times New Roman"/>
                <w:bCs/>
                <w:sz w:val="18"/>
                <w:szCs w:val="18"/>
              </w:rPr>
            </w:pPr>
            <w:r w:rsidRPr="00FB27C3">
              <w:rPr>
                <w:rFonts w:eastAsia="Times New Roman"/>
                <w:bCs/>
                <w:sz w:val="18"/>
                <w:szCs w:val="18"/>
              </w:rPr>
              <w:t>1.1000</w:t>
            </w:r>
          </w:p>
        </w:tc>
      </w:tr>
    </w:tbl>
    <w:p w14:paraId="3FA873E9" w14:textId="0AB97613" w:rsidR="00FB27C3" w:rsidRPr="00F37B93" w:rsidRDefault="00FB27C3" w:rsidP="00FB27C3">
      <w:pPr>
        <w:ind w:firstLineChars="0" w:firstLine="0"/>
        <w:rPr>
          <w:sz w:val="18"/>
          <w:szCs w:val="16"/>
        </w:rPr>
      </w:pPr>
      <w:r w:rsidRPr="00F37B93">
        <w:rPr>
          <w:b/>
          <w:bCs/>
          <w:sz w:val="18"/>
          <w:szCs w:val="16"/>
        </w:rPr>
        <w:t>Note:</w:t>
      </w:r>
      <w:r w:rsidRPr="00F37B93">
        <w:rPr>
          <w:sz w:val="18"/>
          <w:szCs w:val="16"/>
        </w:rPr>
        <w:t xml:space="preserve"> </w:t>
      </w:r>
      <m:oMath>
        <m:r>
          <w:rPr>
            <w:rFonts w:ascii="Cambria Math" w:hAnsi="Cambria Math"/>
            <w:sz w:val="18"/>
            <w:szCs w:val="16"/>
          </w:rPr>
          <m:t>P</m:t>
        </m:r>
        <m:d>
          <m:dPr>
            <m:ctrlPr>
              <w:rPr>
                <w:rFonts w:ascii="Cambria Math" w:hAnsi="Cambria Math"/>
                <w:sz w:val="18"/>
                <w:szCs w:val="16"/>
              </w:rPr>
            </m:ctrlPr>
          </m:dPr>
          <m:e>
            <m:r>
              <w:rPr>
                <w:rFonts w:ascii="Cambria Math" w:hAnsi="Cambria Math"/>
                <w:sz w:val="18"/>
                <w:szCs w:val="16"/>
              </w:rPr>
              <m:t>t</m:t>
            </m:r>
          </m:e>
        </m:d>
      </m:oMath>
      <w:r w:rsidR="00DA5FB3">
        <w:rPr>
          <w:rFonts w:hint="eastAsia"/>
          <w:sz w:val="18"/>
          <w:szCs w:val="16"/>
        </w:rPr>
        <w:t xml:space="preserve"> </w:t>
      </w:r>
      <w:r w:rsidRPr="00F37B93">
        <w:rPr>
          <w:sz w:val="18"/>
          <w:szCs w:val="16"/>
        </w:rPr>
        <w:t xml:space="preserve">denotes normalized system performance, with </w:t>
      </w:r>
      <m:oMath>
        <m:r>
          <w:rPr>
            <w:rFonts w:ascii="Cambria Math" w:hAnsi="Cambria Math"/>
            <w:sz w:val="18"/>
            <w:szCs w:val="16"/>
          </w:rPr>
          <m:t>P</m:t>
        </m:r>
        <m:d>
          <m:dPr>
            <m:ctrlPr>
              <w:rPr>
                <w:rFonts w:ascii="Cambria Math" w:hAnsi="Cambria Math"/>
                <w:sz w:val="18"/>
                <w:szCs w:val="16"/>
              </w:rPr>
            </m:ctrlPr>
          </m:dPr>
          <m:e>
            <m:r>
              <w:rPr>
                <w:rFonts w:ascii="Cambria Math" w:hAnsi="Cambria Math"/>
                <w:sz w:val="18"/>
                <w:szCs w:val="16"/>
              </w:rPr>
              <m:t>0</m:t>
            </m:r>
          </m:e>
        </m:d>
        <m:r>
          <w:rPr>
            <w:rFonts w:ascii="Cambria Math" w:hAnsi="Cambria Math"/>
            <w:sz w:val="18"/>
            <w:szCs w:val="16"/>
          </w:rPr>
          <m:t>=1</m:t>
        </m:r>
      </m:oMath>
      <w:r w:rsidRPr="00F37B93">
        <w:rPr>
          <w:rFonts w:hint="eastAsia"/>
          <w:sz w:val="18"/>
          <w:szCs w:val="16"/>
        </w:rPr>
        <w:t xml:space="preserve"> </w:t>
      </w:r>
      <w:r w:rsidRPr="00F37B93">
        <w:rPr>
          <w:sz w:val="18"/>
          <w:szCs w:val="16"/>
        </w:rPr>
        <w:t xml:space="preserve">representing the pre-shock baseline. </w:t>
      </w:r>
      <m:oMath>
        <m:sSub>
          <m:sSubPr>
            <m:ctrlPr>
              <w:rPr>
                <w:rFonts w:ascii="Cambria Math" w:hAnsi="Cambria Math"/>
                <w:sz w:val="18"/>
                <w:szCs w:val="16"/>
              </w:rPr>
            </m:ctrlPr>
          </m:sSubPr>
          <m:e>
            <m:r>
              <w:rPr>
                <w:rFonts w:ascii="Cambria Math" w:hAnsi="Cambria Math"/>
                <w:sz w:val="18"/>
                <w:szCs w:val="16"/>
              </w:rPr>
              <m:t>T</m:t>
            </m:r>
          </m:e>
          <m:sub>
            <m:r>
              <m:rPr>
                <m:sty m:val="p"/>
              </m:rPr>
              <w:rPr>
                <w:rFonts w:ascii="Cambria Math" w:hAnsi="Cambria Math"/>
                <w:sz w:val="18"/>
                <w:szCs w:val="16"/>
              </w:rPr>
              <m:t>max</m:t>
            </m:r>
          </m:sub>
        </m:sSub>
        <m:r>
          <w:rPr>
            <w:rFonts w:ascii="Cambria Math" w:hAnsi="Cambria Math"/>
            <w:sz w:val="18"/>
            <w:szCs w:val="16"/>
          </w:rPr>
          <m:t>=46.5</m:t>
        </m:r>
      </m:oMath>
      <w:r w:rsidRPr="00F37B93">
        <w:rPr>
          <w:rFonts w:hint="eastAsia"/>
          <w:sz w:val="18"/>
          <w:szCs w:val="16"/>
        </w:rPr>
        <w:t xml:space="preserve"> </w:t>
      </w:r>
      <w:r w:rsidRPr="00F37B93">
        <w:rPr>
          <w:sz w:val="18"/>
          <w:szCs w:val="16"/>
        </w:rPr>
        <w:t>days is the common integration benchmark used to calculate the resilience metric, whereas the trajectories in Fig. 3 are simulated over the full 100-day numerical horizon.</w:t>
      </w:r>
    </w:p>
    <w:p w14:paraId="1F7FD1AF" w14:textId="291FAFCF" w:rsidR="00067AA9" w:rsidRDefault="00067AA9">
      <w:pPr>
        <w:pStyle w:val="1"/>
        <w:spacing w:before="163" w:after="163"/>
      </w:pPr>
      <w:bookmarkStart w:id="8" w:name="_Toc240017614"/>
      <w:r w:rsidRPr="00067AA9">
        <w:lastRenderedPageBreak/>
        <w:t>Sensitivity of the common integration benchmark</w:t>
      </w:r>
      <w:bookmarkEnd w:id="8"/>
    </w:p>
    <w:p w14:paraId="0920ACEE" w14:textId="3BE9AB7A" w:rsidR="00067AA9" w:rsidRDefault="00067AA9" w:rsidP="00067AA9">
      <w:pPr>
        <w:ind w:firstLine="480"/>
      </w:pPr>
      <w:r w:rsidRPr="00067AA9">
        <w:t>Because the common integration benchmark is determined from the maximum recovery time within the comparison set, we further evaluated its sensitivity to sample composition using a leave-one-city-out test. The baseline benchmark for the nine-city application was 4</w:t>
      </w:r>
      <w:r w:rsidR="00A53B55">
        <w:rPr>
          <w:rFonts w:hint="eastAsia"/>
        </w:rPr>
        <w:t>6.5</w:t>
      </w:r>
      <w:r w:rsidRPr="00067AA9">
        <w:t xml:space="preserve"> days. Each city was removed in turn, after which the common benchmark and resilience scores of the retained cities were recalculated.</w:t>
      </w:r>
    </w:p>
    <w:p w14:paraId="26625665" w14:textId="762417CD" w:rsidR="00067AA9" w:rsidRDefault="00057962" w:rsidP="00067AA9">
      <w:pPr>
        <w:ind w:firstLineChars="0" w:firstLine="0"/>
      </w:pPr>
      <w:r>
        <w:rPr>
          <w:rFonts w:hint="eastAsia"/>
          <w:noProof/>
        </w:rPr>
        <w:drawing>
          <wp:inline distT="0" distB="0" distL="0" distR="0" wp14:anchorId="61B1FB65" wp14:editId="2C7CB696">
            <wp:extent cx="5274310" cy="2350135"/>
            <wp:effectExtent l="0" t="0" r="2540" b="0"/>
            <wp:docPr id="212110669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106698" name="图片 2121106698"/>
                    <pic:cNvPicPr/>
                  </pic:nvPicPr>
                  <pic:blipFill>
                    <a:blip r:embed="rId13"/>
                    <a:stretch>
                      <a:fillRect/>
                    </a:stretch>
                  </pic:blipFill>
                  <pic:spPr>
                    <a:xfrm>
                      <a:off x="0" y="0"/>
                      <a:ext cx="5274310" cy="2350135"/>
                    </a:xfrm>
                    <a:prstGeom prst="rect">
                      <a:avLst/>
                    </a:prstGeom>
                  </pic:spPr>
                </pic:pic>
              </a:graphicData>
            </a:graphic>
          </wp:inline>
        </w:drawing>
      </w:r>
    </w:p>
    <w:p w14:paraId="135DD54C" w14:textId="01C11833" w:rsidR="00067AA9" w:rsidRPr="00067AA9" w:rsidRDefault="00067AA9" w:rsidP="00067AA9">
      <w:pPr>
        <w:ind w:firstLineChars="0" w:firstLine="0"/>
        <w:jc w:val="center"/>
        <w:rPr>
          <w:sz w:val="21"/>
          <w:szCs w:val="20"/>
        </w:rPr>
      </w:pPr>
      <w:r w:rsidRPr="00165FC6">
        <w:rPr>
          <w:b/>
          <w:bCs/>
          <w:sz w:val="21"/>
          <w:szCs w:val="20"/>
        </w:rPr>
        <w:t>Fig. S1</w:t>
      </w:r>
      <w:r w:rsidR="00165FC6">
        <w:rPr>
          <w:rFonts w:hint="eastAsia"/>
          <w:sz w:val="21"/>
          <w:szCs w:val="20"/>
        </w:rPr>
        <w:t>.</w:t>
      </w:r>
      <w:r w:rsidRPr="00067AA9">
        <w:rPr>
          <w:sz w:val="21"/>
          <w:szCs w:val="20"/>
        </w:rPr>
        <w:t xml:space="preserve"> </w:t>
      </w:r>
      <w:r w:rsidR="00601189" w:rsidRPr="00601189">
        <w:rPr>
          <w:sz w:val="21"/>
          <w:szCs w:val="20"/>
        </w:rPr>
        <w:t>Sensitivity of the common integration benchmark and stability of resilience rankings under leave-one-city-out analysis</w:t>
      </w:r>
      <w:r w:rsidRPr="00067AA9">
        <w:rPr>
          <w:sz w:val="21"/>
          <w:szCs w:val="20"/>
        </w:rPr>
        <w:t>.</w:t>
      </w:r>
      <w:r w:rsidR="00601189" w:rsidRPr="00601189">
        <w:rPr>
          <w:b/>
          <w:bCs/>
        </w:rPr>
        <w:t xml:space="preserve"> </w:t>
      </w:r>
      <w:r w:rsidR="00601189" w:rsidRPr="00601189">
        <w:rPr>
          <w:b/>
          <w:bCs/>
          <w:sz w:val="21"/>
          <w:szCs w:val="20"/>
        </w:rPr>
        <w:t>(a)</w:t>
      </w:r>
      <w:r w:rsidR="00601189" w:rsidRPr="00601189">
        <w:rPr>
          <w:sz w:val="21"/>
          <w:szCs w:val="20"/>
        </w:rPr>
        <w:t xml:space="preserve"> The baseline common benchmark for the nine-city comparison set is </w:t>
      </w:r>
      <m:oMath>
        <m:sSub>
          <m:sSubPr>
            <m:ctrlPr>
              <w:rPr>
                <w:rFonts w:ascii="Cambria Math" w:hAnsi="Cambria Math"/>
                <w:sz w:val="21"/>
                <w:szCs w:val="20"/>
              </w:rPr>
            </m:ctrlPr>
          </m:sSubPr>
          <m:e>
            <m:r>
              <w:rPr>
                <w:rFonts w:ascii="Cambria Math" w:hAnsi="Cambria Math"/>
                <w:sz w:val="21"/>
                <w:szCs w:val="20"/>
              </w:rPr>
              <m:t>T</m:t>
            </m:r>
          </m:e>
          <m:sub>
            <m:r>
              <m:rPr>
                <m:sty m:val="p"/>
              </m:rPr>
              <w:rPr>
                <w:rFonts w:ascii="Cambria Math" w:hAnsi="Cambria Math"/>
                <w:sz w:val="21"/>
                <w:szCs w:val="20"/>
              </w:rPr>
              <m:t>max</m:t>
            </m:r>
          </m:sub>
        </m:sSub>
        <m:r>
          <w:rPr>
            <w:rFonts w:ascii="Cambria Math" w:hAnsi="Cambria Math"/>
            <w:sz w:val="21"/>
            <w:szCs w:val="20"/>
          </w:rPr>
          <m:t>=46.5</m:t>
        </m:r>
      </m:oMath>
      <w:r w:rsidR="00601189">
        <w:rPr>
          <w:rFonts w:hint="eastAsia"/>
          <w:sz w:val="21"/>
          <w:szCs w:val="20"/>
        </w:rPr>
        <w:t xml:space="preserve"> </w:t>
      </w:r>
      <w:r w:rsidR="00601189" w:rsidRPr="00601189">
        <w:rPr>
          <w:sz w:val="21"/>
          <w:szCs w:val="20"/>
        </w:rPr>
        <w:t xml:space="preserve">days. Removing Chengdu reduces the benchmark to 43.6 days, whereas removing any other city does not change </w:t>
      </w:r>
      <m:oMath>
        <m:sSub>
          <m:sSubPr>
            <m:ctrlPr>
              <w:rPr>
                <w:rFonts w:ascii="Cambria Math" w:hAnsi="Cambria Math"/>
                <w:sz w:val="21"/>
                <w:szCs w:val="20"/>
              </w:rPr>
            </m:ctrlPr>
          </m:sSubPr>
          <m:e>
            <m:r>
              <w:rPr>
                <w:rFonts w:ascii="Cambria Math" w:hAnsi="Cambria Math"/>
                <w:sz w:val="21"/>
                <w:szCs w:val="20"/>
              </w:rPr>
              <m:t>T</m:t>
            </m:r>
          </m:e>
          <m:sub>
            <m:r>
              <m:rPr>
                <m:sty m:val="p"/>
              </m:rPr>
              <w:rPr>
                <w:rFonts w:ascii="Cambria Math" w:hAnsi="Cambria Math"/>
                <w:sz w:val="21"/>
                <w:szCs w:val="20"/>
              </w:rPr>
              <m:t>max</m:t>
            </m:r>
          </m:sub>
        </m:sSub>
      </m:oMath>
      <w:r w:rsidR="00601189" w:rsidRPr="00601189">
        <w:rPr>
          <w:sz w:val="21"/>
          <w:szCs w:val="20"/>
        </w:rPr>
        <w:t>.</w:t>
      </w:r>
      <w:r w:rsidR="00601189">
        <w:rPr>
          <w:rFonts w:hint="eastAsia"/>
          <w:sz w:val="21"/>
          <w:szCs w:val="20"/>
        </w:rPr>
        <w:t xml:space="preserve"> </w:t>
      </w:r>
      <w:r w:rsidR="00601189" w:rsidRPr="00601189">
        <w:rPr>
          <w:b/>
          <w:bCs/>
          <w:sz w:val="21"/>
          <w:szCs w:val="20"/>
        </w:rPr>
        <w:t>(b)</w:t>
      </w:r>
      <w:r w:rsidR="00601189" w:rsidRPr="00601189">
        <w:rPr>
          <w:sz w:val="21"/>
          <w:szCs w:val="20"/>
        </w:rPr>
        <w:t xml:space="preserve"> Spearman rank correlations between the baseline resilience rankings and those recalculated after removing Chengdu are 0.976 for the 10-year scenario, 1.000 for the 100-year scenario, 1.000 for the 500-year scenario, and 0.998 for pooled city-scenario observations.</w:t>
      </w:r>
    </w:p>
    <w:p w14:paraId="384B77C1" w14:textId="2A6FE4C8" w:rsidR="00601189" w:rsidRPr="00601189" w:rsidRDefault="00601189" w:rsidP="00601189">
      <w:pPr>
        <w:ind w:firstLine="480"/>
      </w:pPr>
      <w:r w:rsidRPr="00601189">
        <w:t xml:space="preserve">To examine the sensitivity of the resilience metric to the common integration benchmark, a leave-one-city-out analysis was conducted for the nine illustrative cities. Under the baseline comparison set, the common benchmark was determined as </w:t>
      </w:r>
      <m:oMath>
        <m:sSub>
          <m:sSubPr>
            <m:ctrlPr>
              <w:rPr>
                <w:rFonts w:ascii="Cambria Math" w:hAnsi="Cambria Math"/>
              </w:rPr>
            </m:ctrlPr>
          </m:sSubPr>
          <m:e>
            <m:r>
              <w:rPr>
                <w:rFonts w:ascii="Cambria Math" w:hAnsi="Cambria Math"/>
              </w:rPr>
              <m:t>T</m:t>
            </m:r>
          </m:e>
          <m:sub>
            <m:r>
              <m:rPr>
                <m:sty m:val="p"/>
              </m:rPr>
              <w:rPr>
                <w:rFonts w:ascii="Cambria Math" w:hAnsi="Cambria Math"/>
              </w:rPr>
              <m:t>max</m:t>
            </m:r>
          </m:sub>
        </m:sSub>
        <m:r>
          <w:rPr>
            <w:rFonts w:ascii="Cambria Math" w:hAnsi="Cambria Math"/>
          </w:rPr>
          <m:t>=46.5</m:t>
        </m:r>
      </m:oMath>
      <w:r>
        <w:rPr>
          <w:rFonts w:hint="eastAsia"/>
        </w:rPr>
        <w:t xml:space="preserve"> </w:t>
      </w:r>
      <w:r w:rsidRPr="00601189">
        <w:t xml:space="preserve">days. When each city was removed in turn, only removing Chengdu changed the benchmark, reducing it to 43.6 days, whereas removing any of the other eight cities left </w:t>
      </w:r>
      <m:oMath>
        <m:sSub>
          <m:sSubPr>
            <m:ctrlPr>
              <w:rPr>
                <w:rFonts w:ascii="Cambria Math" w:hAnsi="Cambria Math"/>
              </w:rPr>
            </m:ctrlPr>
          </m:sSubPr>
          <m:e>
            <m:r>
              <w:rPr>
                <w:rFonts w:ascii="Cambria Math" w:hAnsi="Cambria Math"/>
              </w:rPr>
              <m:t>T</m:t>
            </m:r>
          </m:e>
          <m:sub>
            <m:r>
              <m:rPr>
                <m:sty m:val="p"/>
              </m:rPr>
              <w:rPr>
                <w:rFonts w:ascii="Cambria Math" w:hAnsi="Cambria Math"/>
              </w:rPr>
              <m:t>max</m:t>
            </m:r>
          </m:sub>
        </m:sSub>
      </m:oMath>
      <w:r w:rsidR="00032477">
        <w:rPr>
          <w:rFonts w:hint="eastAsia"/>
        </w:rPr>
        <w:t xml:space="preserve"> </w:t>
      </w:r>
      <w:r w:rsidRPr="00601189">
        <w:t>unchanged at 46.5 days. This indicates that Chengdu defines the upper bound of the observed recovery duration within the selected case set.</w:t>
      </w:r>
    </w:p>
    <w:p w14:paraId="6848A282" w14:textId="1D374CAA" w:rsidR="002135B3" w:rsidRDefault="00601189" w:rsidP="00601189">
      <w:pPr>
        <w:ind w:firstLine="480"/>
      </w:pPr>
      <w:r w:rsidRPr="00601189">
        <w:t xml:space="preserve">The effect of this benchmark variation on cross-city comparisons was further evaluated using Spearman rank correlations between the baseline resilience rankings and those recalculated after removing Chengdu. The corresponding coefficients were 0.976 for the 10-year scenario, 1.000 for the 100-year scenario, 1.000 for the 500-year scenario, and 0.998 for the pooled city-scenario observations. These results show that </w:t>
      </w:r>
      <w:r w:rsidRPr="00601189">
        <w:lastRenderedPageBreak/>
        <w:t>although the common benchmark affects the absolute value of the resilience metric, the relative ranking of cities remains highly stable. Therefore, the benchmark choice has limited influence on the comparative interpretation of resilience differences across the illustrative cases</w:t>
      </w:r>
      <w:r w:rsidR="00067AA9" w:rsidRPr="00067AA9">
        <w:t>.</w:t>
      </w:r>
    </w:p>
    <w:p w14:paraId="406A5CD1" w14:textId="3721746E" w:rsidR="00922F4A" w:rsidRDefault="002135B3" w:rsidP="005933D9">
      <w:pPr>
        <w:pStyle w:val="1"/>
        <w:numPr>
          <w:ilvl w:val="0"/>
          <w:numId w:val="0"/>
        </w:numPr>
        <w:spacing w:before="163" w:after="163"/>
      </w:pPr>
      <w:r>
        <w:br w:type="page"/>
      </w:r>
      <w:bookmarkStart w:id="9" w:name="_Toc240017615"/>
      <w:r>
        <w:lastRenderedPageBreak/>
        <w:t>References</w:t>
      </w:r>
      <w:bookmarkEnd w:id="9"/>
    </w:p>
    <w:p w14:paraId="5B03355A" w14:textId="77777777" w:rsidR="00067AA9" w:rsidRPr="00067AA9" w:rsidRDefault="00EF27D1" w:rsidP="002135B3">
      <w:pPr>
        <w:pStyle w:val="ae"/>
        <w:adjustRightInd w:val="0"/>
        <w:spacing w:line="240" w:lineRule="auto"/>
        <w:ind w:left="480" w:hangingChars="200" w:hanging="480"/>
      </w:pPr>
      <w:r>
        <w:rPr>
          <w:rFonts w:eastAsiaTheme="minorEastAsia"/>
        </w:rPr>
        <w:fldChar w:fldCharType="begin"/>
      </w:r>
      <w:r>
        <w:rPr>
          <w:rFonts w:eastAsiaTheme="minorEastAsia"/>
        </w:rPr>
        <w:instrText xml:space="preserve"> ADDIN ZOTERO_BIBL {"uncited":[],"omitted":[],"custom":[]} CSL_BIBLIOGRAPHY </w:instrText>
      </w:r>
      <w:r>
        <w:rPr>
          <w:rFonts w:eastAsiaTheme="minorEastAsia"/>
        </w:rPr>
        <w:fldChar w:fldCharType="separate"/>
      </w:r>
      <w:r w:rsidR="00067AA9" w:rsidRPr="00067AA9">
        <w:t xml:space="preserve">Diakoulaki, D., Mavrotas, G., &amp; Papayannakis, L. (1995). Determining objective weights in multiple criteria problems: The critic method. </w:t>
      </w:r>
      <w:r w:rsidR="00067AA9" w:rsidRPr="00067AA9">
        <w:rPr>
          <w:i/>
          <w:iCs/>
        </w:rPr>
        <w:t>Computers &amp; Operations Research</w:t>
      </w:r>
      <w:r w:rsidR="00067AA9" w:rsidRPr="00067AA9">
        <w:t xml:space="preserve">, </w:t>
      </w:r>
      <w:r w:rsidR="00067AA9" w:rsidRPr="00067AA9">
        <w:rPr>
          <w:i/>
          <w:iCs/>
        </w:rPr>
        <w:t>22</w:t>
      </w:r>
      <w:r w:rsidR="00067AA9" w:rsidRPr="00067AA9">
        <w:t>(7), 763–770. https://doi.org/10.1016/0305-0548(94)00059-H</w:t>
      </w:r>
    </w:p>
    <w:p w14:paraId="2522A5B3" w14:textId="77777777" w:rsidR="00067AA9" w:rsidRPr="00067AA9" w:rsidRDefault="00067AA9" w:rsidP="002135B3">
      <w:pPr>
        <w:pStyle w:val="ae"/>
        <w:adjustRightInd w:val="0"/>
        <w:spacing w:line="240" w:lineRule="auto"/>
        <w:ind w:left="480" w:hangingChars="200" w:hanging="480"/>
      </w:pPr>
      <w:r w:rsidRPr="00067AA9">
        <w:t xml:space="preserve">Han, J., Miao, C., Gou, J., Zheng, H., Zhang, Q., &amp; Guo, X. (2023). A new daily gridded precipitation dataset for the Chinese mainland based on gauge observations. </w:t>
      </w:r>
      <w:r w:rsidRPr="00067AA9">
        <w:rPr>
          <w:i/>
          <w:iCs/>
        </w:rPr>
        <w:t>Earth System Science Data</w:t>
      </w:r>
      <w:r w:rsidRPr="00067AA9">
        <w:t xml:space="preserve">, </w:t>
      </w:r>
      <w:r w:rsidRPr="00067AA9">
        <w:rPr>
          <w:i/>
          <w:iCs/>
        </w:rPr>
        <w:t>15</w:t>
      </w:r>
      <w:r w:rsidRPr="00067AA9">
        <w:t>(7), 3147–3161. https://doi.org/10.5194/essd-15-3147-2023</w:t>
      </w:r>
    </w:p>
    <w:p w14:paraId="3D3B7C00" w14:textId="77777777" w:rsidR="00067AA9" w:rsidRPr="00067AA9" w:rsidRDefault="00067AA9" w:rsidP="002135B3">
      <w:pPr>
        <w:pStyle w:val="ae"/>
        <w:adjustRightInd w:val="0"/>
        <w:spacing w:line="240" w:lineRule="auto"/>
        <w:ind w:left="480" w:hangingChars="200" w:hanging="480"/>
      </w:pPr>
      <w:r w:rsidRPr="00067AA9">
        <w:t xml:space="preserve">Shannon, C. E. (1948). A Mathematical Theory of Communication. </w:t>
      </w:r>
      <w:r w:rsidRPr="00067AA9">
        <w:rPr>
          <w:i/>
          <w:iCs/>
        </w:rPr>
        <w:t>Bell System Technical Journal</w:t>
      </w:r>
      <w:r w:rsidRPr="00067AA9">
        <w:t xml:space="preserve">, </w:t>
      </w:r>
      <w:r w:rsidRPr="00067AA9">
        <w:rPr>
          <w:i/>
          <w:iCs/>
        </w:rPr>
        <w:t>27</w:t>
      </w:r>
      <w:r w:rsidRPr="00067AA9">
        <w:t>(3), 379–423. https://doi.org/10.1002/j.1538-7305.1948.tb01338.x</w:t>
      </w:r>
    </w:p>
    <w:p w14:paraId="2E10D9C7" w14:textId="77777777" w:rsidR="00067AA9" w:rsidRPr="00067AA9" w:rsidRDefault="00067AA9" w:rsidP="002135B3">
      <w:pPr>
        <w:pStyle w:val="ae"/>
        <w:adjustRightInd w:val="0"/>
        <w:spacing w:line="240" w:lineRule="auto"/>
        <w:ind w:left="480" w:hangingChars="200" w:hanging="480"/>
      </w:pPr>
      <w:r w:rsidRPr="00067AA9">
        <w:t xml:space="preserve">Zhuang, L., Wang, M., Liu, K., Tang, L. C., Wu, J., Xu, D., Liu, J., Zhang, J., Yang, J., Ren, Y., &amp; Xu, D. (2026). Assessing and Optimizing Urban Dynamic Resilience to Extreme Rainfall from Shock to Recovery. </w:t>
      </w:r>
      <w:r w:rsidRPr="00067AA9">
        <w:rPr>
          <w:i/>
          <w:iCs/>
        </w:rPr>
        <w:t>International Journal of Disaster Risk Science</w:t>
      </w:r>
      <w:r w:rsidRPr="00067AA9">
        <w:t xml:space="preserve">, </w:t>
      </w:r>
      <w:r w:rsidRPr="00067AA9">
        <w:rPr>
          <w:i/>
          <w:iCs/>
        </w:rPr>
        <w:t>17</w:t>
      </w:r>
      <w:r w:rsidRPr="00067AA9">
        <w:t>(1), 128–147. https://doi.org/10.1007/s13753-025-00683-w</w:t>
      </w:r>
    </w:p>
    <w:p w14:paraId="5D049845" w14:textId="4EE92549" w:rsidR="00922F4A" w:rsidRPr="00EF27D1" w:rsidRDefault="00EF27D1" w:rsidP="002135B3">
      <w:pPr>
        <w:pStyle w:val="ae"/>
        <w:adjustRightInd w:val="0"/>
        <w:spacing w:line="240" w:lineRule="auto"/>
        <w:ind w:left="480" w:hangingChars="200" w:hanging="480"/>
        <w:rPr>
          <w:rFonts w:eastAsiaTheme="minorEastAsia"/>
        </w:rPr>
      </w:pPr>
      <w:r>
        <w:rPr>
          <w:rFonts w:eastAsiaTheme="minorEastAsia"/>
        </w:rPr>
        <w:fldChar w:fldCharType="end"/>
      </w:r>
    </w:p>
    <w:sectPr w:rsidR="00922F4A" w:rsidRPr="00EF27D1" w:rsidSect="004B7169">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DFCF8" w14:textId="77777777" w:rsidR="00D0025D" w:rsidRDefault="00D0025D" w:rsidP="00847830">
      <w:pPr>
        <w:spacing w:line="240" w:lineRule="auto"/>
        <w:ind w:firstLine="480"/>
      </w:pPr>
      <w:r>
        <w:separator/>
      </w:r>
    </w:p>
  </w:endnote>
  <w:endnote w:type="continuationSeparator" w:id="0">
    <w:p w14:paraId="598DAB69" w14:textId="77777777" w:rsidR="00D0025D" w:rsidRDefault="00D0025D" w:rsidP="00847830">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2958E" w14:textId="77777777" w:rsidR="00847830" w:rsidRDefault="00847830">
    <w:pPr>
      <w:pStyle w:val="aa"/>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4354116"/>
      <w:docPartObj>
        <w:docPartGallery w:val="Page Numbers (Bottom of Page)"/>
        <w:docPartUnique/>
      </w:docPartObj>
    </w:sdtPr>
    <w:sdtContent>
      <w:p w14:paraId="232369CF" w14:textId="77777777" w:rsidR="004301AF" w:rsidRDefault="004301AF">
        <w:pPr>
          <w:pStyle w:val="aa"/>
          <w:ind w:firstLine="360"/>
          <w:jc w:val="center"/>
        </w:pPr>
        <w:r>
          <w:fldChar w:fldCharType="begin"/>
        </w:r>
        <w:r>
          <w:instrText>PAGE   \* MERGEFORMAT</w:instrText>
        </w:r>
        <w:r>
          <w:fldChar w:fldCharType="separate"/>
        </w:r>
        <w:r>
          <w:rPr>
            <w:lang w:val="zh-CN"/>
          </w:rPr>
          <w:t>2</w:t>
        </w:r>
        <w:r>
          <w:fldChar w:fldCharType="end"/>
        </w:r>
      </w:p>
    </w:sdtContent>
  </w:sdt>
  <w:p w14:paraId="209EE0AD" w14:textId="77777777" w:rsidR="00847830" w:rsidRDefault="00847830">
    <w:pPr>
      <w:pStyle w:val="aa"/>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98AB1" w14:textId="77777777" w:rsidR="00847830" w:rsidRDefault="00847830">
    <w:pPr>
      <w:pStyle w:val="aa"/>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38F7E" w14:textId="77777777" w:rsidR="00D0025D" w:rsidRDefault="00D0025D" w:rsidP="00847830">
      <w:pPr>
        <w:spacing w:line="240" w:lineRule="auto"/>
        <w:ind w:firstLine="480"/>
      </w:pPr>
      <w:r>
        <w:separator/>
      </w:r>
    </w:p>
  </w:footnote>
  <w:footnote w:type="continuationSeparator" w:id="0">
    <w:p w14:paraId="5BA55909" w14:textId="77777777" w:rsidR="00D0025D" w:rsidRDefault="00D0025D" w:rsidP="00847830">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831B3" w14:textId="77777777" w:rsidR="00847830" w:rsidRDefault="00847830">
    <w:pPr>
      <w:pStyle w:val="a8"/>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AB058" w14:textId="77777777" w:rsidR="00847830" w:rsidRPr="00847830" w:rsidRDefault="00847830" w:rsidP="00847830">
    <w:pPr>
      <w:ind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CDE55" w14:textId="77777777" w:rsidR="00847830" w:rsidRDefault="00847830">
    <w:pPr>
      <w:pStyle w:val="a8"/>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72265"/>
    <w:multiLevelType w:val="hybridMultilevel"/>
    <w:tmpl w:val="8CDEB6D6"/>
    <w:lvl w:ilvl="0" w:tplc="91366C1C">
      <w:start w:val="1"/>
      <w:numFmt w:val="decimal"/>
      <w:lvlText w:val="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7F14EF5"/>
    <w:multiLevelType w:val="hybridMultilevel"/>
    <w:tmpl w:val="82B015E0"/>
    <w:lvl w:ilvl="0" w:tplc="8296491E">
      <w:start w:val="1"/>
      <w:numFmt w:val="decimal"/>
      <w:lvlText w:val="(%1)"/>
      <w:lvlJc w:val="left"/>
      <w:pPr>
        <w:ind w:left="360" w:hanging="360"/>
      </w:pPr>
      <w:rPr>
        <w:rFonts w:hint="default"/>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95E5499"/>
    <w:multiLevelType w:val="hybridMultilevel"/>
    <w:tmpl w:val="8CE8228A"/>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1A9914D1"/>
    <w:multiLevelType w:val="multilevel"/>
    <w:tmpl w:val="4D227724"/>
    <w:lvl w:ilvl="0">
      <w:start w:val="1"/>
      <w:numFmt w:val="decimal"/>
      <w:pStyle w:val="1"/>
      <w:suff w:val="space"/>
      <w:lvlText w:val="%1"/>
      <w:lvlJc w:val="left"/>
      <w:pPr>
        <w:ind w:left="845" w:hanging="425"/>
      </w:pPr>
      <w:rPr>
        <w:rFonts w:ascii="Times New Roman" w:eastAsia="宋体" w:hAnsi="Times New Roman" w:hint="default"/>
      </w:rPr>
    </w:lvl>
    <w:lvl w:ilvl="1">
      <w:start w:val="1"/>
      <w:numFmt w:val="decimal"/>
      <w:pStyle w:val="2"/>
      <w:suff w:val="space"/>
      <w:lvlText w:val="%1.%2"/>
      <w:lvlJc w:val="left"/>
      <w:pPr>
        <w:ind w:left="1412" w:hanging="992"/>
      </w:pPr>
      <w:rPr>
        <w:rFonts w:ascii="Times New Roman" w:eastAsia="宋体" w:hAnsi="Times New Roman" w:hint="default"/>
      </w:rPr>
    </w:lvl>
    <w:lvl w:ilvl="2">
      <w:start w:val="1"/>
      <w:numFmt w:val="decimal"/>
      <w:pStyle w:val="3"/>
      <w:suff w:val="space"/>
      <w:lvlText w:val="%1.%2.%3"/>
      <w:lvlJc w:val="left"/>
      <w:pPr>
        <w:ind w:left="1838" w:hanging="1418"/>
      </w:pPr>
      <w:rPr>
        <w:rFonts w:ascii="Times New Roman" w:eastAsia="宋体" w:hAnsi="Times New Roman" w:hint="default"/>
      </w:rPr>
    </w:lvl>
    <w:lvl w:ilvl="3">
      <w:start w:val="1"/>
      <w:numFmt w:val="decimal"/>
      <w:lvlText w:val="%1.%2.%3.%4"/>
      <w:lvlJc w:val="left"/>
      <w:pPr>
        <w:ind w:left="2404" w:hanging="708"/>
      </w:pPr>
      <w:rPr>
        <w:rFonts w:hint="eastAsia"/>
      </w:rPr>
    </w:lvl>
    <w:lvl w:ilvl="4">
      <w:start w:val="1"/>
      <w:numFmt w:val="decimal"/>
      <w:lvlText w:val="%1.%2.%3.%4.%5"/>
      <w:lvlJc w:val="left"/>
      <w:pPr>
        <w:ind w:left="2971" w:hanging="850"/>
      </w:pPr>
      <w:rPr>
        <w:rFonts w:hint="eastAsia"/>
      </w:rPr>
    </w:lvl>
    <w:lvl w:ilvl="5">
      <w:start w:val="1"/>
      <w:numFmt w:val="decimal"/>
      <w:lvlText w:val="%1.%2.%3.%4.%5.%6"/>
      <w:lvlJc w:val="left"/>
      <w:pPr>
        <w:ind w:left="3680" w:hanging="1134"/>
      </w:pPr>
      <w:rPr>
        <w:rFonts w:hint="eastAsia"/>
      </w:rPr>
    </w:lvl>
    <w:lvl w:ilvl="6">
      <w:start w:val="1"/>
      <w:numFmt w:val="decimal"/>
      <w:lvlText w:val="%1.%2.%3.%4.%5.%6.%7"/>
      <w:lvlJc w:val="left"/>
      <w:pPr>
        <w:ind w:left="4247" w:hanging="1276"/>
      </w:pPr>
      <w:rPr>
        <w:rFonts w:hint="eastAsia"/>
      </w:rPr>
    </w:lvl>
    <w:lvl w:ilvl="7">
      <w:start w:val="1"/>
      <w:numFmt w:val="decimal"/>
      <w:lvlText w:val="%1.%2.%3.%4.%5.%6.%7.%8"/>
      <w:lvlJc w:val="left"/>
      <w:pPr>
        <w:ind w:left="4814" w:hanging="1418"/>
      </w:pPr>
      <w:rPr>
        <w:rFonts w:hint="eastAsia"/>
      </w:rPr>
    </w:lvl>
    <w:lvl w:ilvl="8">
      <w:start w:val="1"/>
      <w:numFmt w:val="decimal"/>
      <w:lvlText w:val="%1.%2.%3.%4.%5.%6.%7.%8.%9"/>
      <w:lvlJc w:val="left"/>
      <w:pPr>
        <w:ind w:left="5522" w:hanging="1700"/>
      </w:pPr>
      <w:rPr>
        <w:rFonts w:hint="eastAsia"/>
      </w:rPr>
    </w:lvl>
  </w:abstractNum>
  <w:abstractNum w:abstractNumId="4" w15:restartNumberingAfterBreak="0">
    <w:nsid w:val="1EB94423"/>
    <w:multiLevelType w:val="hybridMultilevel"/>
    <w:tmpl w:val="7F3EE31C"/>
    <w:lvl w:ilvl="0" w:tplc="0409000B">
      <w:start w:val="1"/>
      <w:numFmt w:val="bullet"/>
      <w:lvlText w:val=""/>
      <w:lvlJc w:val="left"/>
      <w:pPr>
        <w:ind w:left="920" w:hanging="440"/>
      </w:pPr>
      <w:rPr>
        <w:rFonts w:ascii="Wingdings" w:hAnsi="Wingdings" w:hint="default"/>
      </w:rPr>
    </w:lvl>
    <w:lvl w:ilvl="1" w:tplc="04090003" w:tentative="1">
      <w:start w:val="1"/>
      <w:numFmt w:val="bullet"/>
      <w:lvlText w:val=""/>
      <w:lvlJc w:val="left"/>
      <w:pPr>
        <w:ind w:left="1360" w:hanging="440"/>
      </w:pPr>
      <w:rPr>
        <w:rFonts w:ascii="Wingdings" w:hAnsi="Wingdings" w:hint="default"/>
      </w:rPr>
    </w:lvl>
    <w:lvl w:ilvl="2" w:tplc="04090005" w:tentative="1">
      <w:start w:val="1"/>
      <w:numFmt w:val="bullet"/>
      <w:lvlText w:val=""/>
      <w:lvlJc w:val="left"/>
      <w:pPr>
        <w:ind w:left="1800" w:hanging="440"/>
      </w:pPr>
      <w:rPr>
        <w:rFonts w:ascii="Wingdings" w:hAnsi="Wingdings" w:hint="default"/>
      </w:rPr>
    </w:lvl>
    <w:lvl w:ilvl="3" w:tplc="04090001" w:tentative="1">
      <w:start w:val="1"/>
      <w:numFmt w:val="bullet"/>
      <w:lvlText w:val=""/>
      <w:lvlJc w:val="left"/>
      <w:pPr>
        <w:ind w:left="2240" w:hanging="440"/>
      </w:pPr>
      <w:rPr>
        <w:rFonts w:ascii="Wingdings" w:hAnsi="Wingdings" w:hint="default"/>
      </w:rPr>
    </w:lvl>
    <w:lvl w:ilvl="4" w:tplc="04090003" w:tentative="1">
      <w:start w:val="1"/>
      <w:numFmt w:val="bullet"/>
      <w:lvlText w:val=""/>
      <w:lvlJc w:val="left"/>
      <w:pPr>
        <w:ind w:left="2680" w:hanging="440"/>
      </w:pPr>
      <w:rPr>
        <w:rFonts w:ascii="Wingdings" w:hAnsi="Wingdings" w:hint="default"/>
      </w:rPr>
    </w:lvl>
    <w:lvl w:ilvl="5" w:tplc="04090005" w:tentative="1">
      <w:start w:val="1"/>
      <w:numFmt w:val="bullet"/>
      <w:lvlText w:val=""/>
      <w:lvlJc w:val="left"/>
      <w:pPr>
        <w:ind w:left="3120" w:hanging="440"/>
      </w:pPr>
      <w:rPr>
        <w:rFonts w:ascii="Wingdings" w:hAnsi="Wingdings" w:hint="default"/>
      </w:rPr>
    </w:lvl>
    <w:lvl w:ilvl="6" w:tplc="04090001" w:tentative="1">
      <w:start w:val="1"/>
      <w:numFmt w:val="bullet"/>
      <w:lvlText w:val=""/>
      <w:lvlJc w:val="left"/>
      <w:pPr>
        <w:ind w:left="3560" w:hanging="440"/>
      </w:pPr>
      <w:rPr>
        <w:rFonts w:ascii="Wingdings" w:hAnsi="Wingdings" w:hint="default"/>
      </w:rPr>
    </w:lvl>
    <w:lvl w:ilvl="7" w:tplc="04090003" w:tentative="1">
      <w:start w:val="1"/>
      <w:numFmt w:val="bullet"/>
      <w:lvlText w:val=""/>
      <w:lvlJc w:val="left"/>
      <w:pPr>
        <w:ind w:left="4000" w:hanging="440"/>
      </w:pPr>
      <w:rPr>
        <w:rFonts w:ascii="Wingdings" w:hAnsi="Wingdings" w:hint="default"/>
      </w:rPr>
    </w:lvl>
    <w:lvl w:ilvl="8" w:tplc="04090005" w:tentative="1">
      <w:start w:val="1"/>
      <w:numFmt w:val="bullet"/>
      <w:lvlText w:val=""/>
      <w:lvlJc w:val="left"/>
      <w:pPr>
        <w:ind w:left="4440" w:hanging="440"/>
      </w:pPr>
      <w:rPr>
        <w:rFonts w:ascii="Wingdings" w:hAnsi="Wingdings" w:hint="default"/>
      </w:rPr>
    </w:lvl>
  </w:abstractNum>
  <w:abstractNum w:abstractNumId="5" w15:restartNumberingAfterBreak="0">
    <w:nsid w:val="47A82ECE"/>
    <w:multiLevelType w:val="multilevel"/>
    <w:tmpl w:val="C79A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954A4"/>
    <w:multiLevelType w:val="hybridMultilevel"/>
    <w:tmpl w:val="26D2BC4E"/>
    <w:lvl w:ilvl="0" w:tplc="5420D5BC">
      <w:start w:val="1"/>
      <w:numFmt w:val="decimal"/>
      <w:lvlText w:val="(%1)"/>
      <w:lvlJc w:val="left"/>
      <w:pPr>
        <w:ind w:left="780" w:hanging="360"/>
      </w:pPr>
      <w:rPr>
        <w:rFonts w:hint="default"/>
        <w:b/>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7" w15:restartNumberingAfterBreak="0">
    <w:nsid w:val="67CC3B46"/>
    <w:multiLevelType w:val="hybridMultilevel"/>
    <w:tmpl w:val="8F948978"/>
    <w:lvl w:ilvl="0" w:tplc="06DECAE6">
      <w:start w:val="1"/>
      <w:numFmt w:val="decimal"/>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8" w15:restartNumberingAfterBreak="0">
    <w:nsid w:val="75E6582D"/>
    <w:multiLevelType w:val="multilevel"/>
    <w:tmpl w:val="B5F64152"/>
    <w:lvl w:ilvl="0">
      <w:start w:val="1"/>
      <w:numFmt w:val="decimal"/>
      <w:pStyle w:val="10"/>
      <w:lvlText w:val="%1"/>
      <w:lvlJc w:val="left"/>
      <w:pPr>
        <w:ind w:left="0" w:hanging="432"/>
      </w:pPr>
      <w:rPr>
        <w:rFonts w:hint="eastAsia"/>
      </w:rPr>
    </w:lvl>
    <w:lvl w:ilvl="1">
      <w:start w:val="1"/>
      <w:numFmt w:val="decimal"/>
      <w:pStyle w:val="20"/>
      <w:lvlText w:val="%1.%2"/>
      <w:lvlJc w:val="left"/>
      <w:pPr>
        <w:ind w:left="144" w:hanging="576"/>
      </w:pPr>
      <w:rPr>
        <w:rFonts w:hint="eastAsia"/>
      </w:rPr>
    </w:lvl>
    <w:lvl w:ilvl="2">
      <w:start w:val="1"/>
      <w:numFmt w:val="decimal"/>
      <w:pStyle w:val="30"/>
      <w:lvlText w:val="%1.%2.%3"/>
      <w:lvlJc w:val="left"/>
      <w:pPr>
        <w:ind w:left="288" w:hanging="720"/>
      </w:pPr>
      <w:rPr>
        <w:rFonts w:hint="eastAsia"/>
      </w:rPr>
    </w:lvl>
    <w:lvl w:ilvl="3">
      <w:start w:val="1"/>
      <w:numFmt w:val="decimal"/>
      <w:lvlText w:val="%1.%2.%3.%4"/>
      <w:lvlJc w:val="left"/>
      <w:pPr>
        <w:ind w:left="432" w:hanging="864"/>
      </w:pPr>
      <w:rPr>
        <w:rFonts w:hint="eastAsia"/>
      </w:rPr>
    </w:lvl>
    <w:lvl w:ilvl="4">
      <w:start w:val="1"/>
      <w:numFmt w:val="decimal"/>
      <w:lvlText w:val="%1.%2.%3.%4.%5"/>
      <w:lvlJc w:val="left"/>
      <w:pPr>
        <w:ind w:left="576" w:hanging="1008"/>
      </w:pPr>
      <w:rPr>
        <w:rFonts w:hint="eastAsia"/>
      </w:rPr>
    </w:lvl>
    <w:lvl w:ilvl="5">
      <w:start w:val="1"/>
      <w:numFmt w:val="decimal"/>
      <w:lvlText w:val="%1.%2.%3.%4.%5.%6"/>
      <w:lvlJc w:val="left"/>
      <w:pPr>
        <w:ind w:left="720" w:hanging="1152"/>
      </w:pPr>
      <w:rPr>
        <w:rFonts w:hint="eastAsia"/>
      </w:rPr>
    </w:lvl>
    <w:lvl w:ilvl="6">
      <w:start w:val="1"/>
      <w:numFmt w:val="decimal"/>
      <w:lvlText w:val="%1.%2.%3.%4.%5.%6.%7"/>
      <w:lvlJc w:val="left"/>
      <w:pPr>
        <w:ind w:left="864" w:hanging="1296"/>
      </w:pPr>
      <w:rPr>
        <w:rFonts w:hint="eastAsia"/>
      </w:rPr>
    </w:lvl>
    <w:lvl w:ilvl="7">
      <w:start w:val="1"/>
      <w:numFmt w:val="decimal"/>
      <w:lvlText w:val="%1.%2.%3.%4.%5.%6.%7.%8"/>
      <w:lvlJc w:val="left"/>
      <w:pPr>
        <w:ind w:left="1008" w:hanging="1440"/>
      </w:pPr>
      <w:rPr>
        <w:rFonts w:hint="eastAsia"/>
      </w:rPr>
    </w:lvl>
    <w:lvl w:ilvl="8">
      <w:start w:val="1"/>
      <w:numFmt w:val="decimal"/>
      <w:lvlText w:val="%1.%2.%3.%4.%5.%6.%7.%8.%9"/>
      <w:lvlJc w:val="left"/>
      <w:pPr>
        <w:ind w:left="1152" w:hanging="1584"/>
      </w:pPr>
      <w:rPr>
        <w:rFonts w:hint="eastAsia"/>
      </w:rPr>
    </w:lvl>
  </w:abstractNum>
  <w:num w:numId="1" w16cid:durableId="1938517797">
    <w:abstractNumId w:val="0"/>
  </w:num>
  <w:num w:numId="2" w16cid:durableId="1194153213">
    <w:abstractNumId w:val="8"/>
  </w:num>
  <w:num w:numId="3" w16cid:durableId="309479352">
    <w:abstractNumId w:val="8"/>
  </w:num>
  <w:num w:numId="4" w16cid:durableId="1085883261">
    <w:abstractNumId w:val="8"/>
  </w:num>
  <w:num w:numId="5" w16cid:durableId="1677072332">
    <w:abstractNumId w:val="8"/>
  </w:num>
  <w:num w:numId="6" w16cid:durableId="26411367">
    <w:abstractNumId w:val="8"/>
  </w:num>
  <w:num w:numId="7" w16cid:durableId="85345722">
    <w:abstractNumId w:val="8"/>
  </w:num>
  <w:num w:numId="8" w16cid:durableId="1876195225">
    <w:abstractNumId w:val="8"/>
  </w:num>
  <w:num w:numId="9" w16cid:durableId="1914580601">
    <w:abstractNumId w:val="8"/>
  </w:num>
  <w:num w:numId="10" w16cid:durableId="557012250">
    <w:abstractNumId w:val="8"/>
  </w:num>
  <w:num w:numId="11" w16cid:durableId="1283734210">
    <w:abstractNumId w:val="8"/>
  </w:num>
  <w:num w:numId="12" w16cid:durableId="1905138706">
    <w:abstractNumId w:val="8"/>
  </w:num>
  <w:num w:numId="13" w16cid:durableId="2070420947">
    <w:abstractNumId w:val="8"/>
  </w:num>
  <w:num w:numId="14" w16cid:durableId="1591739288">
    <w:abstractNumId w:val="3"/>
  </w:num>
  <w:num w:numId="15" w16cid:durableId="1249735514">
    <w:abstractNumId w:val="3"/>
  </w:num>
  <w:num w:numId="16" w16cid:durableId="154029882">
    <w:abstractNumId w:val="3"/>
  </w:num>
  <w:num w:numId="17" w16cid:durableId="2036229036">
    <w:abstractNumId w:val="3"/>
  </w:num>
  <w:num w:numId="18" w16cid:durableId="1397708219">
    <w:abstractNumId w:val="3"/>
  </w:num>
  <w:num w:numId="19" w16cid:durableId="1856457945">
    <w:abstractNumId w:val="7"/>
  </w:num>
  <w:num w:numId="20" w16cid:durableId="376242795">
    <w:abstractNumId w:val="6"/>
  </w:num>
  <w:num w:numId="21" w16cid:durableId="1112361260">
    <w:abstractNumId w:val="1"/>
  </w:num>
  <w:num w:numId="22" w16cid:durableId="100415685">
    <w:abstractNumId w:val="5"/>
  </w:num>
  <w:num w:numId="23" w16cid:durableId="1627346713">
    <w:abstractNumId w:val="2"/>
  </w:num>
  <w:num w:numId="24" w16cid:durableId="1117487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D52"/>
    <w:rsid w:val="00000602"/>
    <w:rsid w:val="00004AE9"/>
    <w:rsid w:val="00004E27"/>
    <w:rsid w:val="00011E70"/>
    <w:rsid w:val="00021197"/>
    <w:rsid w:val="00032477"/>
    <w:rsid w:val="000342F0"/>
    <w:rsid w:val="0003509E"/>
    <w:rsid w:val="000449A2"/>
    <w:rsid w:val="00047B38"/>
    <w:rsid w:val="00057962"/>
    <w:rsid w:val="000629E1"/>
    <w:rsid w:val="00066BAB"/>
    <w:rsid w:val="000676B9"/>
    <w:rsid w:val="00067AA9"/>
    <w:rsid w:val="00070600"/>
    <w:rsid w:val="00076E7D"/>
    <w:rsid w:val="0009428A"/>
    <w:rsid w:val="00094E19"/>
    <w:rsid w:val="000A124A"/>
    <w:rsid w:val="000A2BA7"/>
    <w:rsid w:val="000A3E71"/>
    <w:rsid w:val="000B152E"/>
    <w:rsid w:val="000C427A"/>
    <w:rsid w:val="000C4350"/>
    <w:rsid w:val="000D0F10"/>
    <w:rsid w:val="000D7A81"/>
    <w:rsid w:val="000E2086"/>
    <w:rsid w:val="000E50A4"/>
    <w:rsid w:val="0010055E"/>
    <w:rsid w:val="001105F5"/>
    <w:rsid w:val="001111D5"/>
    <w:rsid w:val="00112B99"/>
    <w:rsid w:val="00116E84"/>
    <w:rsid w:val="00125592"/>
    <w:rsid w:val="001304BE"/>
    <w:rsid w:val="00151D52"/>
    <w:rsid w:val="00164221"/>
    <w:rsid w:val="00165FC6"/>
    <w:rsid w:val="00186B67"/>
    <w:rsid w:val="0018738E"/>
    <w:rsid w:val="001876A7"/>
    <w:rsid w:val="001974FC"/>
    <w:rsid w:val="001A65AB"/>
    <w:rsid w:val="001B0337"/>
    <w:rsid w:val="001E4B5C"/>
    <w:rsid w:val="001F4B91"/>
    <w:rsid w:val="0020591E"/>
    <w:rsid w:val="00211352"/>
    <w:rsid w:val="00211FB7"/>
    <w:rsid w:val="002135B3"/>
    <w:rsid w:val="0022495D"/>
    <w:rsid w:val="0022706B"/>
    <w:rsid w:val="00237BBE"/>
    <w:rsid w:val="00240C82"/>
    <w:rsid w:val="00242F82"/>
    <w:rsid w:val="00244435"/>
    <w:rsid w:val="00256341"/>
    <w:rsid w:val="00261BC1"/>
    <w:rsid w:val="00261FC9"/>
    <w:rsid w:val="0028171A"/>
    <w:rsid w:val="002A3F7A"/>
    <w:rsid w:val="002C631F"/>
    <w:rsid w:val="002C7E14"/>
    <w:rsid w:val="002D1BE5"/>
    <w:rsid w:val="002D4225"/>
    <w:rsid w:val="002F0D3D"/>
    <w:rsid w:val="00313154"/>
    <w:rsid w:val="00323317"/>
    <w:rsid w:val="00330CAB"/>
    <w:rsid w:val="00346401"/>
    <w:rsid w:val="00347D79"/>
    <w:rsid w:val="003603B6"/>
    <w:rsid w:val="00371503"/>
    <w:rsid w:val="003838B9"/>
    <w:rsid w:val="00386DE1"/>
    <w:rsid w:val="00390709"/>
    <w:rsid w:val="003927E7"/>
    <w:rsid w:val="003A6EF7"/>
    <w:rsid w:val="003B13DD"/>
    <w:rsid w:val="003F3903"/>
    <w:rsid w:val="00421484"/>
    <w:rsid w:val="004255F6"/>
    <w:rsid w:val="00425D3B"/>
    <w:rsid w:val="004301AF"/>
    <w:rsid w:val="00430C1B"/>
    <w:rsid w:val="00432D13"/>
    <w:rsid w:val="00437B5A"/>
    <w:rsid w:val="00443E0B"/>
    <w:rsid w:val="00446676"/>
    <w:rsid w:val="00454F8A"/>
    <w:rsid w:val="00465A03"/>
    <w:rsid w:val="0047584A"/>
    <w:rsid w:val="00487EC8"/>
    <w:rsid w:val="004965D8"/>
    <w:rsid w:val="0049729A"/>
    <w:rsid w:val="004A1D99"/>
    <w:rsid w:val="004A5746"/>
    <w:rsid w:val="004A7E74"/>
    <w:rsid w:val="004B4523"/>
    <w:rsid w:val="004B6B7B"/>
    <w:rsid w:val="004B7169"/>
    <w:rsid w:val="004C043A"/>
    <w:rsid w:val="004C22BF"/>
    <w:rsid w:val="004D6B79"/>
    <w:rsid w:val="004E1D6C"/>
    <w:rsid w:val="005042F2"/>
    <w:rsid w:val="005126F0"/>
    <w:rsid w:val="0051468C"/>
    <w:rsid w:val="0053032B"/>
    <w:rsid w:val="005400D3"/>
    <w:rsid w:val="0054276F"/>
    <w:rsid w:val="00547A33"/>
    <w:rsid w:val="00552AF4"/>
    <w:rsid w:val="005555F5"/>
    <w:rsid w:val="00560722"/>
    <w:rsid w:val="00561DE5"/>
    <w:rsid w:val="0057232E"/>
    <w:rsid w:val="00573710"/>
    <w:rsid w:val="005933D9"/>
    <w:rsid w:val="005B148C"/>
    <w:rsid w:val="005B2915"/>
    <w:rsid w:val="005B2E53"/>
    <w:rsid w:val="005B53CF"/>
    <w:rsid w:val="005C1CC3"/>
    <w:rsid w:val="00601189"/>
    <w:rsid w:val="00601747"/>
    <w:rsid w:val="006033A4"/>
    <w:rsid w:val="006042D6"/>
    <w:rsid w:val="006079A4"/>
    <w:rsid w:val="006230CE"/>
    <w:rsid w:val="006277C1"/>
    <w:rsid w:val="00633E25"/>
    <w:rsid w:val="00644EA7"/>
    <w:rsid w:val="006466BF"/>
    <w:rsid w:val="00647965"/>
    <w:rsid w:val="006522DD"/>
    <w:rsid w:val="00655515"/>
    <w:rsid w:val="00661023"/>
    <w:rsid w:val="00673C4D"/>
    <w:rsid w:val="006772A8"/>
    <w:rsid w:val="006902F5"/>
    <w:rsid w:val="00692209"/>
    <w:rsid w:val="006967D3"/>
    <w:rsid w:val="006A090D"/>
    <w:rsid w:val="006B74AA"/>
    <w:rsid w:val="006C0A9B"/>
    <w:rsid w:val="006E5E11"/>
    <w:rsid w:val="0070508D"/>
    <w:rsid w:val="00707198"/>
    <w:rsid w:val="00710ECE"/>
    <w:rsid w:val="0071468C"/>
    <w:rsid w:val="0071602E"/>
    <w:rsid w:val="0071676E"/>
    <w:rsid w:val="00720BA4"/>
    <w:rsid w:val="00731A52"/>
    <w:rsid w:val="00745188"/>
    <w:rsid w:val="00747BD0"/>
    <w:rsid w:val="00755A66"/>
    <w:rsid w:val="00757BF4"/>
    <w:rsid w:val="00760B66"/>
    <w:rsid w:val="007633D4"/>
    <w:rsid w:val="00790822"/>
    <w:rsid w:val="007A2E92"/>
    <w:rsid w:val="007C6E6F"/>
    <w:rsid w:val="007D4426"/>
    <w:rsid w:val="007E1153"/>
    <w:rsid w:val="007E37F3"/>
    <w:rsid w:val="007E46A2"/>
    <w:rsid w:val="008038E0"/>
    <w:rsid w:val="0080435D"/>
    <w:rsid w:val="00827DAF"/>
    <w:rsid w:val="0083220F"/>
    <w:rsid w:val="00837B3E"/>
    <w:rsid w:val="008472AB"/>
    <w:rsid w:val="00847830"/>
    <w:rsid w:val="00847CBD"/>
    <w:rsid w:val="00850705"/>
    <w:rsid w:val="00886897"/>
    <w:rsid w:val="008A0607"/>
    <w:rsid w:val="008A3ADE"/>
    <w:rsid w:val="008B4AB1"/>
    <w:rsid w:val="008B7739"/>
    <w:rsid w:val="008B7C06"/>
    <w:rsid w:val="008C003D"/>
    <w:rsid w:val="008C40BD"/>
    <w:rsid w:val="008E710F"/>
    <w:rsid w:val="009132D2"/>
    <w:rsid w:val="00914BE9"/>
    <w:rsid w:val="009227ED"/>
    <w:rsid w:val="00922F4A"/>
    <w:rsid w:val="009319FC"/>
    <w:rsid w:val="00934A25"/>
    <w:rsid w:val="0094086C"/>
    <w:rsid w:val="00956DF5"/>
    <w:rsid w:val="0095786C"/>
    <w:rsid w:val="009646B5"/>
    <w:rsid w:val="009661C5"/>
    <w:rsid w:val="00970C44"/>
    <w:rsid w:val="00983AEB"/>
    <w:rsid w:val="00993833"/>
    <w:rsid w:val="009949D1"/>
    <w:rsid w:val="009B7EB1"/>
    <w:rsid w:val="009C3F1A"/>
    <w:rsid w:val="009C48C3"/>
    <w:rsid w:val="009C4C4E"/>
    <w:rsid w:val="009D3121"/>
    <w:rsid w:val="009D583A"/>
    <w:rsid w:val="009E113B"/>
    <w:rsid w:val="009F345C"/>
    <w:rsid w:val="00A03291"/>
    <w:rsid w:val="00A04F88"/>
    <w:rsid w:val="00A069E8"/>
    <w:rsid w:val="00A11C70"/>
    <w:rsid w:val="00A12FA6"/>
    <w:rsid w:val="00A15760"/>
    <w:rsid w:val="00A16CAC"/>
    <w:rsid w:val="00A2522D"/>
    <w:rsid w:val="00A42E43"/>
    <w:rsid w:val="00A47C79"/>
    <w:rsid w:val="00A47CF5"/>
    <w:rsid w:val="00A53B55"/>
    <w:rsid w:val="00A57E1C"/>
    <w:rsid w:val="00AA4440"/>
    <w:rsid w:val="00AB5A4E"/>
    <w:rsid w:val="00AC7FC8"/>
    <w:rsid w:val="00AF6A28"/>
    <w:rsid w:val="00B0230E"/>
    <w:rsid w:val="00B11E6D"/>
    <w:rsid w:val="00B12ABC"/>
    <w:rsid w:val="00B16FD4"/>
    <w:rsid w:val="00B1719D"/>
    <w:rsid w:val="00B25E0D"/>
    <w:rsid w:val="00B31C07"/>
    <w:rsid w:val="00B36374"/>
    <w:rsid w:val="00B448BD"/>
    <w:rsid w:val="00B62926"/>
    <w:rsid w:val="00B72D5D"/>
    <w:rsid w:val="00B7609A"/>
    <w:rsid w:val="00B86427"/>
    <w:rsid w:val="00B940F8"/>
    <w:rsid w:val="00BD5178"/>
    <w:rsid w:val="00BD6F72"/>
    <w:rsid w:val="00BD7DB9"/>
    <w:rsid w:val="00BF270D"/>
    <w:rsid w:val="00BF4192"/>
    <w:rsid w:val="00C13A3F"/>
    <w:rsid w:val="00C14EB5"/>
    <w:rsid w:val="00C16AA8"/>
    <w:rsid w:val="00C204FD"/>
    <w:rsid w:val="00C22195"/>
    <w:rsid w:val="00C5171B"/>
    <w:rsid w:val="00C5379D"/>
    <w:rsid w:val="00C551F0"/>
    <w:rsid w:val="00C97492"/>
    <w:rsid w:val="00C97E8E"/>
    <w:rsid w:val="00CA0761"/>
    <w:rsid w:val="00CA2AB9"/>
    <w:rsid w:val="00CB5982"/>
    <w:rsid w:val="00CD4600"/>
    <w:rsid w:val="00CD6B81"/>
    <w:rsid w:val="00CE0A95"/>
    <w:rsid w:val="00CE4FC5"/>
    <w:rsid w:val="00D0025D"/>
    <w:rsid w:val="00D02DCD"/>
    <w:rsid w:val="00D22C4B"/>
    <w:rsid w:val="00D23A43"/>
    <w:rsid w:val="00D31B00"/>
    <w:rsid w:val="00D3786A"/>
    <w:rsid w:val="00D42795"/>
    <w:rsid w:val="00D60F90"/>
    <w:rsid w:val="00D61357"/>
    <w:rsid w:val="00DA3AC3"/>
    <w:rsid w:val="00DA5FB3"/>
    <w:rsid w:val="00DB5219"/>
    <w:rsid w:val="00DD39F0"/>
    <w:rsid w:val="00DD5C4B"/>
    <w:rsid w:val="00DE398B"/>
    <w:rsid w:val="00DF0F7C"/>
    <w:rsid w:val="00E065AF"/>
    <w:rsid w:val="00E1751A"/>
    <w:rsid w:val="00E235E7"/>
    <w:rsid w:val="00E452CE"/>
    <w:rsid w:val="00E45883"/>
    <w:rsid w:val="00E471DD"/>
    <w:rsid w:val="00E57CED"/>
    <w:rsid w:val="00E72785"/>
    <w:rsid w:val="00E80C00"/>
    <w:rsid w:val="00E84D3F"/>
    <w:rsid w:val="00E870CB"/>
    <w:rsid w:val="00EB1546"/>
    <w:rsid w:val="00EC39A3"/>
    <w:rsid w:val="00EE7E34"/>
    <w:rsid w:val="00EF1023"/>
    <w:rsid w:val="00EF27D1"/>
    <w:rsid w:val="00EF4C7E"/>
    <w:rsid w:val="00F06F0D"/>
    <w:rsid w:val="00F10607"/>
    <w:rsid w:val="00F10FB8"/>
    <w:rsid w:val="00F211F7"/>
    <w:rsid w:val="00F21E4E"/>
    <w:rsid w:val="00F23738"/>
    <w:rsid w:val="00F2538D"/>
    <w:rsid w:val="00F33011"/>
    <w:rsid w:val="00F361BD"/>
    <w:rsid w:val="00F367B6"/>
    <w:rsid w:val="00F37B93"/>
    <w:rsid w:val="00F45C9D"/>
    <w:rsid w:val="00F530F9"/>
    <w:rsid w:val="00F66E49"/>
    <w:rsid w:val="00F725F8"/>
    <w:rsid w:val="00F80425"/>
    <w:rsid w:val="00F83916"/>
    <w:rsid w:val="00F866A6"/>
    <w:rsid w:val="00F87B35"/>
    <w:rsid w:val="00F9078F"/>
    <w:rsid w:val="00F934B3"/>
    <w:rsid w:val="00F96CAA"/>
    <w:rsid w:val="00FA4DD9"/>
    <w:rsid w:val="00FA5F5D"/>
    <w:rsid w:val="00FA779E"/>
    <w:rsid w:val="00FB27C3"/>
    <w:rsid w:val="00FC24EC"/>
    <w:rsid w:val="00FC49CE"/>
    <w:rsid w:val="00FC4DDA"/>
    <w:rsid w:val="00FD2B0C"/>
    <w:rsid w:val="00FD7540"/>
    <w:rsid w:val="00FE4AF2"/>
    <w:rsid w:val="00FF43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76FF7F"/>
  <w14:defaultImageDpi w14:val="32767"/>
  <w15:chartTrackingRefBased/>
  <w15:docId w15:val="{9E097BB5-1DFC-4DD1-8619-5B300A606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3C4D"/>
    <w:pPr>
      <w:widowControl w:val="0"/>
      <w:snapToGrid w:val="0"/>
      <w:spacing w:line="360" w:lineRule="auto"/>
      <w:ind w:firstLineChars="200" w:firstLine="200"/>
      <w:jc w:val="both"/>
    </w:pPr>
    <w:rPr>
      <w:rFonts w:ascii="Times New Roman" w:eastAsia="宋体" w:hAnsi="Times New Roman"/>
      <w:sz w:val="24"/>
    </w:rPr>
  </w:style>
  <w:style w:type="paragraph" w:styleId="10">
    <w:name w:val="heading 1"/>
    <w:basedOn w:val="a"/>
    <w:next w:val="a"/>
    <w:link w:val="11"/>
    <w:uiPriority w:val="9"/>
    <w:qFormat/>
    <w:rsid w:val="00561DE5"/>
    <w:pPr>
      <w:keepNext/>
      <w:keepLines/>
      <w:numPr>
        <w:numId w:val="13"/>
      </w:numPr>
      <w:spacing w:before="120" w:after="120"/>
      <w:ind w:firstLineChars="0" w:firstLine="0"/>
      <w:outlineLvl w:val="0"/>
    </w:pPr>
    <w:rPr>
      <w:bCs/>
      <w:kern w:val="44"/>
      <w:sz w:val="28"/>
      <w:szCs w:val="44"/>
    </w:rPr>
  </w:style>
  <w:style w:type="paragraph" w:styleId="20">
    <w:name w:val="heading 2"/>
    <w:basedOn w:val="a"/>
    <w:next w:val="a"/>
    <w:link w:val="21"/>
    <w:uiPriority w:val="9"/>
    <w:unhideWhenUsed/>
    <w:qFormat/>
    <w:rsid w:val="00561DE5"/>
    <w:pPr>
      <w:keepNext/>
      <w:keepLines/>
      <w:numPr>
        <w:ilvl w:val="1"/>
        <w:numId w:val="13"/>
      </w:numPr>
      <w:spacing w:before="120" w:after="260"/>
      <w:ind w:firstLineChars="0" w:firstLine="0"/>
      <w:outlineLvl w:val="1"/>
    </w:pPr>
    <w:rPr>
      <w:rFonts w:cstheme="majorBidi"/>
      <w:bCs/>
      <w:szCs w:val="32"/>
    </w:rPr>
  </w:style>
  <w:style w:type="paragraph" w:styleId="30">
    <w:name w:val="heading 3"/>
    <w:basedOn w:val="a"/>
    <w:next w:val="a"/>
    <w:link w:val="31"/>
    <w:uiPriority w:val="9"/>
    <w:unhideWhenUsed/>
    <w:qFormat/>
    <w:rsid w:val="00561DE5"/>
    <w:pPr>
      <w:keepNext/>
      <w:keepLines/>
      <w:numPr>
        <w:ilvl w:val="2"/>
        <w:numId w:val="13"/>
      </w:numPr>
      <w:adjustRightInd w:val="0"/>
      <w:ind w:firstLineChars="0" w:firstLine="0"/>
      <w:outlineLvl w:val="2"/>
    </w:pPr>
    <w:rPr>
      <w:bCs/>
      <w:szCs w:val="32"/>
    </w:rPr>
  </w:style>
  <w:style w:type="paragraph" w:styleId="4">
    <w:name w:val="heading 4"/>
    <w:basedOn w:val="a"/>
    <w:next w:val="a"/>
    <w:link w:val="40"/>
    <w:uiPriority w:val="9"/>
    <w:semiHidden/>
    <w:unhideWhenUsed/>
    <w:qFormat/>
    <w:rsid w:val="00F866A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英文论文标题1"/>
    <w:basedOn w:val="10"/>
    <w:autoRedefine/>
    <w:qFormat/>
    <w:rsid w:val="00C97492"/>
    <w:pPr>
      <w:numPr>
        <w:numId w:val="18"/>
      </w:numPr>
      <w:adjustRightInd w:val="0"/>
      <w:spacing w:beforeLines="50" w:before="50" w:afterLines="50" w:after="50" w:line="240" w:lineRule="auto"/>
      <w:ind w:left="0" w:firstLine="0"/>
    </w:pPr>
    <w:rPr>
      <w:b/>
    </w:rPr>
  </w:style>
  <w:style w:type="character" w:customStyle="1" w:styleId="11">
    <w:name w:val="标题 1 字符"/>
    <w:basedOn w:val="a0"/>
    <w:link w:val="10"/>
    <w:uiPriority w:val="9"/>
    <w:rsid w:val="00A42E43"/>
    <w:rPr>
      <w:rFonts w:ascii="Times New Roman" w:eastAsia="宋体" w:hAnsi="Times New Roman"/>
      <w:bCs/>
      <w:kern w:val="44"/>
      <w:sz w:val="28"/>
      <w:szCs w:val="44"/>
    </w:rPr>
  </w:style>
  <w:style w:type="paragraph" w:customStyle="1" w:styleId="a3">
    <w:name w:val="英文论文正文"/>
    <w:basedOn w:val="a"/>
    <w:link w:val="a4"/>
    <w:qFormat/>
    <w:rsid w:val="00707198"/>
    <w:pPr>
      <w:snapToGrid/>
      <w:ind w:firstLineChars="0" w:firstLine="0"/>
    </w:pPr>
    <w:rPr>
      <w:sz w:val="21"/>
    </w:rPr>
  </w:style>
  <w:style w:type="paragraph" w:customStyle="1" w:styleId="2">
    <w:name w:val="英文论文标题2"/>
    <w:basedOn w:val="20"/>
    <w:autoRedefine/>
    <w:qFormat/>
    <w:rsid w:val="00454F8A"/>
    <w:pPr>
      <w:numPr>
        <w:numId w:val="18"/>
      </w:numPr>
      <w:spacing w:beforeLines="50" w:before="163" w:afterLines="50" w:after="163" w:line="240" w:lineRule="auto"/>
      <w:ind w:left="0" w:firstLine="0"/>
    </w:pPr>
    <w:rPr>
      <w:b/>
    </w:rPr>
  </w:style>
  <w:style w:type="character" w:customStyle="1" w:styleId="21">
    <w:name w:val="标题 2 字符"/>
    <w:basedOn w:val="a0"/>
    <w:link w:val="20"/>
    <w:uiPriority w:val="9"/>
    <w:rsid w:val="00A42E43"/>
    <w:rPr>
      <w:rFonts w:ascii="Times New Roman" w:eastAsia="宋体" w:hAnsi="Times New Roman" w:cstheme="majorBidi"/>
      <w:bCs/>
      <w:sz w:val="24"/>
      <w:szCs w:val="32"/>
    </w:rPr>
  </w:style>
  <w:style w:type="paragraph" w:customStyle="1" w:styleId="3">
    <w:name w:val="英文论文标题3"/>
    <w:basedOn w:val="30"/>
    <w:link w:val="32"/>
    <w:autoRedefine/>
    <w:qFormat/>
    <w:rsid w:val="0071468C"/>
    <w:pPr>
      <w:numPr>
        <w:numId w:val="18"/>
      </w:numPr>
      <w:spacing w:beforeLines="50" w:before="163" w:afterLines="50" w:after="163"/>
    </w:pPr>
    <w:rPr>
      <w:b/>
      <w:sz w:val="21"/>
    </w:rPr>
  </w:style>
  <w:style w:type="character" w:customStyle="1" w:styleId="32">
    <w:name w:val="英文论文标题3 字符"/>
    <w:basedOn w:val="a0"/>
    <w:link w:val="3"/>
    <w:rsid w:val="0071468C"/>
    <w:rPr>
      <w:rFonts w:ascii="Times New Roman" w:eastAsia="宋体" w:hAnsi="Times New Roman"/>
      <w:b/>
      <w:bCs/>
      <w:szCs w:val="32"/>
    </w:rPr>
  </w:style>
  <w:style w:type="character" w:customStyle="1" w:styleId="31">
    <w:name w:val="标题 3 字符"/>
    <w:basedOn w:val="a0"/>
    <w:link w:val="30"/>
    <w:uiPriority w:val="9"/>
    <w:rsid w:val="00A42E43"/>
    <w:rPr>
      <w:rFonts w:ascii="Times New Roman" w:eastAsia="宋体" w:hAnsi="Times New Roman"/>
      <w:bCs/>
      <w:sz w:val="24"/>
      <w:szCs w:val="32"/>
    </w:rPr>
  </w:style>
  <w:style w:type="character" w:customStyle="1" w:styleId="a4">
    <w:name w:val="英文论文正文 字符"/>
    <w:basedOn w:val="a0"/>
    <w:link w:val="a3"/>
    <w:rsid w:val="00707198"/>
    <w:rPr>
      <w:rFonts w:ascii="Times New Roman" w:eastAsia="宋体" w:hAnsi="Times New Roman"/>
    </w:rPr>
  </w:style>
  <w:style w:type="character" w:styleId="a5">
    <w:name w:val="page number"/>
    <w:basedOn w:val="a0"/>
    <w:uiPriority w:val="99"/>
    <w:unhideWhenUsed/>
    <w:qFormat/>
    <w:rsid w:val="00242F82"/>
    <w:rPr>
      <w:rFonts w:ascii="Times New Roman" w:eastAsia="Times New Roman" w:hAnsi="Times New Roman"/>
      <w:sz w:val="21"/>
      <w:szCs w:val="21"/>
    </w:rPr>
  </w:style>
  <w:style w:type="paragraph" w:customStyle="1" w:styleId="a6">
    <w:name w:val="公式"/>
    <w:basedOn w:val="a3"/>
    <w:next w:val="a3"/>
    <w:link w:val="a7"/>
    <w:qFormat/>
    <w:rsid w:val="009C4C4E"/>
    <w:pPr>
      <w:tabs>
        <w:tab w:val="center" w:pos="4181"/>
        <w:tab w:val="right" w:pos="8383"/>
      </w:tabs>
      <w:snapToGrid w:val="0"/>
      <w:spacing w:line="240" w:lineRule="auto"/>
      <w:jc w:val="right"/>
      <w:textAlignment w:val="center"/>
    </w:pPr>
  </w:style>
  <w:style w:type="character" w:customStyle="1" w:styleId="a7">
    <w:name w:val="公式 字符"/>
    <w:basedOn w:val="a4"/>
    <w:link w:val="a6"/>
    <w:rsid w:val="009C4C4E"/>
    <w:rPr>
      <w:rFonts w:ascii="Times New Roman" w:eastAsia="宋体" w:hAnsi="Times New Roman"/>
    </w:rPr>
  </w:style>
  <w:style w:type="paragraph" w:styleId="a8">
    <w:name w:val="header"/>
    <w:basedOn w:val="a"/>
    <w:link w:val="a9"/>
    <w:uiPriority w:val="99"/>
    <w:unhideWhenUsed/>
    <w:rsid w:val="00847830"/>
    <w:pPr>
      <w:pBdr>
        <w:bottom w:val="single" w:sz="6" w:space="1" w:color="auto"/>
      </w:pBdr>
      <w:tabs>
        <w:tab w:val="center" w:pos="4153"/>
        <w:tab w:val="right" w:pos="8306"/>
      </w:tabs>
      <w:spacing w:line="240" w:lineRule="auto"/>
      <w:jc w:val="center"/>
    </w:pPr>
    <w:rPr>
      <w:sz w:val="18"/>
      <w:szCs w:val="18"/>
    </w:rPr>
  </w:style>
  <w:style w:type="character" w:customStyle="1" w:styleId="a9">
    <w:name w:val="页眉 字符"/>
    <w:basedOn w:val="a0"/>
    <w:link w:val="a8"/>
    <w:uiPriority w:val="99"/>
    <w:rsid w:val="00847830"/>
    <w:rPr>
      <w:rFonts w:ascii="Times New Roman" w:eastAsia="宋体" w:hAnsi="Times New Roman"/>
      <w:sz w:val="18"/>
      <w:szCs w:val="18"/>
    </w:rPr>
  </w:style>
  <w:style w:type="paragraph" w:styleId="aa">
    <w:name w:val="footer"/>
    <w:basedOn w:val="a"/>
    <w:link w:val="ab"/>
    <w:uiPriority w:val="99"/>
    <w:unhideWhenUsed/>
    <w:rsid w:val="00847830"/>
    <w:pPr>
      <w:tabs>
        <w:tab w:val="center" w:pos="4153"/>
        <w:tab w:val="right" w:pos="8306"/>
      </w:tabs>
      <w:spacing w:line="240" w:lineRule="auto"/>
      <w:jc w:val="left"/>
    </w:pPr>
    <w:rPr>
      <w:sz w:val="18"/>
      <w:szCs w:val="18"/>
    </w:rPr>
  </w:style>
  <w:style w:type="character" w:customStyle="1" w:styleId="ab">
    <w:name w:val="页脚 字符"/>
    <w:basedOn w:val="a0"/>
    <w:link w:val="aa"/>
    <w:uiPriority w:val="99"/>
    <w:rsid w:val="00847830"/>
    <w:rPr>
      <w:rFonts w:ascii="Times New Roman" w:eastAsia="宋体" w:hAnsi="Times New Roman"/>
      <w:sz w:val="18"/>
      <w:szCs w:val="18"/>
    </w:rPr>
  </w:style>
  <w:style w:type="table" w:styleId="ac">
    <w:name w:val="Table Grid"/>
    <w:basedOn w:val="a1"/>
    <w:uiPriority w:val="39"/>
    <w:rsid w:val="008478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
    <w:name w:val="List Table 6 Colorful"/>
    <w:basedOn w:val="a1"/>
    <w:uiPriority w:val="51"/>
    <w:rsid w:val="005B148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Plain Table 4"/>
    <w:basedOn w:val="a1"/>
    <w:uiPriority w:val="44"/>
    <w:rsid w:val="00552AF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2">
    <w:name w:val="List Table 2"/>
    <w:basedOn w:val="a1"/>
    <w:uiPriority w:val="47"/>
    <w:rsid w:val="00552AF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40">
    <w:name w:val="标题 4 字符"/>
    <w:basedOn w:val="a0"/>
    <w:link w:val="4"/>
    <w:uiPriority w:val="9"/>
    <w:semiHidden/>
    <w:rsid w:val="00F866A6"/>
    <w:rPr>
      <w:rFonts w:asciiTheme="majorHAnsi" w:eastAsiaTheme="majorEastAsia" w:hAnsiTheme="majorHAnsi" w:cstheme="majorBidi"/>
      <w:b/>
      <w:bCs/>
      <w:sz w:val="28"/>
      <w:szCs w:val="28"/>
    </w:rPr>
  </w:style>
  <w:style w:type="paragraph" w:customStyle="1" w:styleId="MTDisplayEquation">
    <w:name w:val="MTDisplayEquation"/>
    <w:basedOn w:val="a"/>
    <w:link w:val="MTDisplayEquation0"/>
    <w:rsid w:val="002F0D3D"/>
    <w:pPr>
      <w:tabs>
        <w:tab w:val="center" w:pos="4160"/>
        <w:tab w:val="right" w:pos="8300"/>
      </w:tabs>
      <w:ind w:firstLineChars="0" w:firstLine="0"/>
    </w:pPr>
  </w:style>
  <w:style w:type="character" w:customStyle="1" w:styleId="MTDisplayEquation0">
    <w:name w:val="MTDisplayEquation 字符"/>
    <w:basedOn w:val="a0"/>
    <w:link w:val="MTDisplayEquation"/>
    <w:rsid w:val="002F0D3D"/>
    <w:rPr>
      <w:rFonts w:ascii="Times New Roman" w:eastAsia="宋体" w:hAnsi="Times New Roman"/>
      <w:sz w:val="24"/>
    </w:rPr>
  </w:style>
  <w:style w:type="paragraph" w:styleId="ad">
    <w:name w:val="List Paragraph"/>
    <w:basedOn w:val="a"/>
    <w:uiPriority w:val="34"/>
    <w:qFormat/>
    <w:rsid w:val="00FF4367"/>
    <w:pPr>
      <w:ind w:firstLine="420"/>
    </w:pPr>
  </w:style>
  <w:style w:type="paragraph" w:styleId="ae">
    <w:name w:val="Bibliography"/>
    <w:basedOn w:val="a"/>
    <w:next w:val="a"/>
    <w:uiPriority w:val="37"/>
    <w:unhideWhenUsed/>
    <w:rsid w:val="00B72D5D"/>
    <w:pPr>
      <w:spacing w:line="480" w:lineRule="auto"/>
      <w:ind w:left="720" w:hanging="720"/>
    </w:pPr>
  </w:style>
  <w:style w:type="character" w:styleId="af">
    <w:name w:val="line number"/>
    <w:basedOn w:val="a0"/>
    <w:uiPriority w:val="99"/>
    <w:semiHidden/>
    <w:unhideWhenUsed/>
    <w:rsid w:val="00633E25"/>
  </w:style>
  <w:style w:type="table" w:styleId="4-3">
    <w:name w:val="List Table 4 Accent 3"/>
    <w:basedOn w:val="a1"/>
    <w:uiPriority w:val="49"/>
    <w:rsid w:val="00EE7E34"/>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30">
    <w:name w:val="Grid Table 4 Accent 3"/>
    <w:basedOn w:val="a1"/>
    <w:uiPriority w:val="49"/>
    <w:rsid w:val="0022706B"/>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f0">
    <w:name w:val="Hyperlink"/>
    <w:basedOn w:val="a0"/>
    <w:uiPriority w:val="99"/>
    <w:unhideWhenUsed/>
    <w:rsid w:val="00AF6A28"/>
    <w:rPr>
      <w:color w:val="0563C1" w:themeColor="hyperlink"/>
      <w:u w:val="single"/>
    </w:rPr>
  </w:style>
  <w:style w:type="character" w:styleId="af1">
    <w:name w:val="Unresolved Mention"/>
    <w:basedOn w:val="a0"/>
    <w:uiPriority w:val="99"/>
    <w:semiHidden/>
    <w:unhideWhenUsed/>
    <w:rsid w:val="00AF6A28"/>
    <w:rPr>
      <w:color w:val="605E5C"/>
      <w:shd w:val="clear" w:color="auto" w:fill="E1DFDD"/>
    </w:rPr>
  </w:style>
  <w:style w:type="character" w:styleId="af2">
    <w:name w:val="FollowedHyperlink"/>
    <w:basedOn w:val="a0"/>
    <w:uiPriority w:val="99"/>
    <w:semiHidden/>
    <w:unhideWhenUsed/>
    <w:rsid w:val="00AF6A28"/>
    <w:rPr>
      <w:color w:val="954F72" w:themeColor="followedHyperlink"/>
      <w:u w:val="single"/>
    </w:rPr>
  </w:style>
  <w:style w:type="character" w:styleId="HTML">
    <w:name w:val="HTML Code"/>
    <w:basedOn w:val="a0"/>
    <w:uiPriority w:val="99"/>
    <w:semiHidden/>
    <w:unhideWhenUsed/>
    <w:rsid w:val="00731A52"/>
    <w:rPr>
      <w:rFonts w:ascii="宋体" w:eastAsia="宋体" w:hAnsi="宋体" w:cs="宋体"/>
      <w:sz w:val="24"/>
      <w:szCs w:val="24"/>
    </w:rPr>
  </w:style>
  <w:style w:type="paragraph" w:styleId="af3">
    <w:name w:val="Normal (Web)"/>
    <w:basedOn w:val="a"/>
    <w:uiPriority w:val="99"/>
    <w:semiHidden/>
    <w:unhideWhenUsed/>
    <w:rsid w:val="00731A52"/>
    <w:pPr>
      <w:widowControl/>
      <w:snapToGrid/>
      <w:spacing w:before="100" w:beforeAutospacing="1" w:after="100" w:afterAutospacing="1" w:line="240" w:lineRule="auto"/>
      <w:ind w:firstLineChars="0" w:firstLine="0"/>
      <w:jc w:val="left"/>
    </w:pPr>
    <w:rPr>
      <w:rFonts w:ascii="宋体" w:hAnsi="宋体" w:cs="宋体"/>
      <w:kern w:val="0"/>
      <w:szCs w:val="24"/>
    </w:rPr>
  </w:style>
  <w:style w:type="paragraph" w:styleId="TOC">
    <w:name w:val="TOC Heading"/>
    <w:basedOn w:val="10"/>
    <w:next w:val="a"/>
    <w:uiPriority w:val="39"/>
    <w:unhideWhenUsed/>
    <w:qFormat/>
    <w:rsid w:val="004B7169"/>
    <w:pPr>
      <w:widowControl/>
      <w:numPr>
        <w:numId w:val="0"/>
      </w:numPr>
      <w:snapToGrid/>
      <w:spacing w:before="240" w:after="0" w:line="259" w:lineRule="auto"/>
      <w:jc w:val="left"/>
      <w:outlineLvl w:val="9"/>
    </w:pPr>
    <w:rPr>
      <w:rFonts w:asciiTheme="majorHAnsi" w:eastAsiaTheme="majorEastAsia" w:hAnsiTheme="majorHAnsi" w:cstheme="majorBidi"/>
      <w:bCs w:val="0"/>
      <w:color w:val="2F5496" w:themeColor="accent1" w:themeShade="BF"/>
      <w:kern w:val="0"/>
      <w:sz w:val="32"/>
      <w:szCs w:val="32"/>
    </w:rPr>
  </w:style>
  <w:style w:type="paragraph" w:styleId="TOC2">
    <w:name w:val="toc 2"/>
    <w:basedOn w:val="a"/>
    <w:next w:val="a"/>
    <w:autoRedefine/>
    <w:uiPriority w:val="39"/>
    <w:unhideWhenUsed/>
    <w:rsid w:val="004B7169"/>
    <w:pPr>
      <w:widowControl/>
      <w:snapToGrid/>
      <w:spacing w:after="100" w:line="259" w:lineRule="auto"/>
      <w:ind w:left="220" w:firstLineChars="0" w:firstLine="0"/>
      <w:jc w:val="left"/>
    </w:pPr>
    <w:rPr>
      <w:rFonts w:asciiTheme="minorHAnsi" w:eastAsiaTheme="minorEastAsia" w:hAnsiTheme="minorHAnsi" w:cs="Times New Roman"/>
      <w:kern w:val="0"/>
      <w:sz w:val="22"/>
    </w:rPr>
  </w:style>
  <w:style w:type="paragraph" w:styleId="TOC1">
    <w:name w:val="toc 1"/>
    <w:basedOn w:val="a"/>
    <w:next w:val="a"/>
    <w:autoRedefine/>
    <w:uiPriority w:val="39"/>
    <w:unhideWhenUsed/>
    <w:rsid w:val="004B7169"/>
    <w:pPr>
      <w:widowControl/>
      <w:snapToGrid/>
      <w:spacing w:after="100" w:line="259" w:lineRule="auto"/>
      <w:ind w:firstLineChars="0" w:firstLine="0"/>
      <w:jc w:val="left"/>
    </w:pPr>
    <w:rPr>
      <w:rFonts w:asciiTheme="minorHAnsi" w:eastAsiaTheme="minorEastAsia" w:hAnsiTheme="minorHAnsi" w:cs="Times New Roman"/>
      <w:kern w:val="0"/>
      <w:sz w:val="22"/>
    </w:rPr>
  </w:style>
  <w:style w:type="paragraph" w:styleId="TOC3">
    <w:name w:val="toc 3"/>
    <w:basedOn w:val="a"/>
    <w:next w:val="a"/>
    <w:autoRedefine/>
    <w:uiPriority w:val="39"/>
    <w:unhideWhenUsed/>
    <w:rsid w:val="004B7169"/>
    <w:pPr>
      <w:widowControl/>
      <w:snapToGrid/>
      <w:spacing w:after="100" w:line="259" w:lineRule="auto"/>
      <w:ind w:left="440" w:firstLineChars="0" w:firstLine="0"/>
      <w:jc w:val="left"/>
    </w:pPr>
    <w:rPr>
      <w:rFonts w:asciiTheme="minorHAnsi" w:eastAsiaTheme="minorEastAsia" w:hAnsiTheme="minorHAnsi" w:cs="Times New Roman"/>
      <w:kern w:val="0"/>
      <w:sz w:val="22"/>
    </w:rPr>
  </w:style>
  <w:style w:type="character" w:styleId="af4">
    <w:name w:val="Placeholder Text"/>
    <w:basedOn w:val="a0"/>
    <w:uiPriority w:val="99"/>
    <w:semiHidden/>
    <w:rsid w:val="00EF4C7E"/>
    <w:rPr>
      <w:color w:val="666666"/>
    </w:rPr>
  </w:style>
  <w:style w:type="table" w:styleId="3-3">
    <w:name w:val="List Table 3 Accent 3"/>
    <w:basedOn w:val="a1"/>
    <w:uiPriority w:val="48"/>
    <w:rsid w:val="00FB27C3"/>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87586">
      <w:bodyDiv w:val="1"/>
      <w:marLeft w:val="0"/>
      <w:marRight w:val="0"/>
      <w:marTop w:val="0"/>
      <w:marBottom w:val="0"/>
      <w:divBdr>
        <w:top w:val="none" w:sz="0" w:space="0" w:color="auto"/>
        <w:left w:val="none" w:sz="0" w:space="0" w:color="auto"/>
        <w:bottom w:val="none" w:sz="0" w:space="0" w:color="auto"/>
        <w:right w:val="none" w:sz="0" w:space="0" w:color="auto"/>
      </w:divBdr>
    </w:div>
    <w:div w:id="126359018">
      <w:bodyDiv w:val="1"/>
      <w:marLeft w:val="0"/>
      <w:marRight w:val="0"/>
      <w:marTop w:val="0"/>
      <w:marBottom w:val="0"/>
      <w:divBdr>
        <w:top w:val="none" w:sz="0" w:space="0" w:color="auto"/>
        <w:left w:val="none" w:sz="0" w:space="0" w:color="auto"/>
        <w:bottom w:val="none" w:sz="0" w:space="0" w:color="auto"/>
        <w:right w:val="none" w:sz="0" w:space="0" w:color="auto"/>
      </w:divBdr>
    </w:div>
    <w:div w:id="143398042">
      <w:bodyDiv w:val="1"/>
      <w:marLeft w:val="0"/>
      <w:marRight w:val="0"/>
      <w:marTop w:val="0"/>
      <w:marBottom w:val="0"/>
      <w:divBdr>
        <w:top w:val="none" w:sz="0" w:space="0" w:color="auto"/>
        <w:left w:val="none" w:sz="0" w:space="0" w:color="auto"/>
        <w:bottom w:val="none" w:sz="0" w:space="0" w:color="auto"/>
        <w:right w:val="none" w:sz="0" w:space="0" w:color="auto"/>
      </w:divBdr>
    </w:div>
    <w:div w:id="225845704">
      <w:bodyDiv w:val="1"/>
      <w:marLeft w:val="0"/>
      <w:marRight w:val="0"/>
      <w:marTop w:val="0"/>
      <w:marBottom w:val="0"/>
      <w:divBdr>
        <w:top w:val="none" w:sz="0" w:space="0" w:color="auto"/>
        <w:left w:val="none" w:sz="0" w:space="0" w:color="auto"/>
        <w:bottom w:val="none" w:sz="0" w:space="0" w:color="auto"/>
        <w:right w:val="none" w:sz="0" w:space="0" w:color="auto"/>
      </w:divBdr>
    </w:div>
    <w:div w:id="238027998">
      <w:bodyDiv w:val="1"/>
      <w:marLeft w:val="0"/>
      <w:marRight w:val="0"/>
      <w:marTop w:val="0"/>
      <w:marBottom w:val="0"/>
      <w:divBdr>
        <w:top w:val="none" w:sz="0" w:space="0" w:color="auto"/>
        <w:left w:val="none" w:sz="0" w:space="0" w:color="auto"/>
        <w:bottom w:val="none" w:sz="0" w:space="0" w:color="auto"/>
        <w:right w:val="none" w:sz="0" w:space="0" w:color="auto"/>
      </w:divBdr>
    </w:div>
    <w:div w:id="240650302">
      <w:bodyDiv w:val="1"/>
      <w:marLeft w:val="0"/>
      <w:marRight w:val="0"/>
      <w:marTop w:val="0"/>
      <w:marBottom w:val="0"/>
      <w:divBdr>
        <w:top w:val="none" w:sz="0" w:space="0" w:color="auto"/>
        <w:left w:val="none" w:sz="0" w:space="0" w:color="auto"/>
        <w:bottom w:val="none" w:sz="0" w:space="0" w:color="auto"/>
        <w:right w:val="none" w:sz="0" w:space="0" w:color="auto"/>
      </w:divBdr>
    </w:div>
    <w:div w:id="250626793">
      <w:bodyDiv w:val="1"/>
      <w:marLeft w:val="0"/>
      <w:marRight w:val="0"/>
      <w:marTop w:val="0"/>
      <w:marBottom w:val="0"/>
      <w:divBdr>
        <w:top w:val="none" w:sz="0" w:space="0" w:color="auto"/>
        <w:left w:val="none" w:sz="0" w:space="0" w:color="auto"/>
        <w:bottom w:val="none" w:sz="0" w:space="0" w:color="auto"/>
        <w:right w:val="none" w:sz="0" w:space="0" w:color="auto"/>
      </w:divBdr>
    </w:div>
    <w:div w:id="287781977">
      <w:bodyDiv w:val="1"/>
      <w:marLeft w:val="0"/>
      <w:marRight w:val="0"/>
      <w:marTop w:val="0"/>
      <w:marBottom w:val="0"/>
      <w:divBdr>
        <w:top w:val="none" w:sz="0" w:space="0" w:color="auto"/>
        <w:left w:val="none" w:sz="0" w:space="0" w:color="auto"/>
        <w:bottom w:val="none" w:sz="0" w:space="0" w:color="auto"/>
        <w:right w:val="none" w:sz="0" w:space="0" w:color="auto"/>
      </w:divBdr>
    </w:div>
    <w:div w:id="287782045">
      <w:bodyDiv w:val="1"/>
      <w:marLeft w:val="0"/>
      <w:marRight w:val="0"/>
      <w:marTop w:val="0"/>
      <w:marBottom w:val="0"/>
      <w:divBdr>
        <w:top w:val="none" w:sz="0" w:space="0" w:color="auto"/>
        <w:left w:val="none" w:sz="0" w:space="0" w:color="auto"/>
        <w:bottom w:val="none" w:sz="0" w:space="0" w:color="auto"/>
        <w:right w:val="none" w:sz="0" w:space="0" w:color="auto"/>
      </w:divBdr>
    </w:div>
    <w:div w:id="323094385">
      <w:bodyDiv w:val="1"/>
      <w:marLeft w:val="0"/>
      <w:marRight w:val="0"/>
      <w:marTop w:val="0"/>
      <w:marBottom w:val="0"/>
      <w:divBdr>
        <w:top w:val="none" w:sz="0" w:space="0" w:color="auto"/>
        <w:left w:val="none" w:sz="0" w:space="0" w:color="auto"/>
        <w:bottom w:val="none" w:sz="0" w:space="0" w:color="auto"/>
        <w:right w:val="none" w:sz="0" w:space="0" w:color="auto"/>
      </w:divBdr>
    </w:div>
    <w:div w:id="334113904">
      <w:bodyDiv w:val="1"/>
      <w:marLeft w:val="0"/>
      <w:marRight w:val="0"/>
      <w:marTop w:val="0"/>
      <w:marBottom w:val="0"/>
      <w:divBdr>
        <w:top w:val="none" w:sz="0" w:space="0" w:color="auto"/>
        <w:left w:val="none" w:sz="0" w:space="0" w:color="auto"/>
        <w:bottom w:val="none" w:sz="0" w:space="0" w:color="auto"/>
        <w:right w:val="none" w:sz="0" w:space="0" w:color="auto"/>
      </w:divBdr>
    </w:div>
    <w:div w:id="687800533">
      <w:bodyDiv w:val="1"/>
      <w:marLeft w:val="0"/>
      <w:marRight w:val="0"/>
      <w:marTop w:val="0"/>
      <w:marBottom w:val="0"/>
      <w:divBdr>
        <w:top w:val="none" w:sz="0" w:space="0" w:color="auto"/>
        <w:left w:val="none" w:sz="0" w:space="0" w:color="auto"/>
        <w:bottom w:val="none" w:sz="0" w:space="0" w:color="auto"/>
        <w:right w:val="none" w:sz="0" w:space="0" w:color="auto"/>
      </w:divBdr>
    </w:div>
    <w:div w:id="765225037">
      <w:bodyDiv w:val="1"/>
      <w:marLeft w:val="0"/>
      <w:marRight w:val="0"/>
      <w:marTop w:val="0"/>
      <w:marBottom w:val="0"/>
      <w:divBdr>
        <w:top w:val="none" w:sz="0" w:space="0" w:color="auto"/>
        <w:left w:val="none" w:sz="0" w:space="0" w:color="auto"/>
        <w:bottom w:val="none" w:sz="0" w:space="0" w:color="auto"/>
        <w:right w:val="none" w:sz="0" w:space="0" w:color="auto"/>
      </w:divBdr>
    </w:div>
    <w:div w:id="945816707">
      <w:bodyDiv w:val="1"/>
      <w:marLeft w:val="0"/>
      <w:marRight w:val="0"/>
      <w:marTop w:val="0"/>
      <w:marBottom w:val="0"/>
      <w:divBdr>
        <w:top w:val="none" w:sz="0" w:space="0" w:color="auto"/>
        <w:left w:val="none" w:sz="0" w:space="0" w:color="auto"/>
        <w:bottom w:val="none" w:sz="0" w:space="0" w:color="auto"/>
        <w:right w:val="none" w:sz="0" w:space="0" w:color="auto"/>
      </w:divBdr>
      <w:divsChild>
        <w:div w:id="3562034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2249263">
      <w:bodyDiv w:val="1"/>
      <w:marLeft w:val="0"/>
      <w:marRight w:val="0"/>
      <w:marTop w:val="0"/>
      <w:marBottom w:val="0"/>
      <w:divBdr>
        <w:top w:val="none" w:sz="0" w:space="0" w:color="auto"/>
        <w:left w:val="none" w:sz="0" w:space="0" w:color="auto"/>
        <w:bottom w:val="none" w:sz="0" w:space="0" w:color="auto"/>
        <w:right w:val="none" w:sz="0" w:space="0" w:color="auto"/>
      </w:divBdr>
    </w:div>
    <w:div w:id="986518034">
      <w:bodyDiv w:val="1"/>
      <w:marLeft w:val="0"/>
      <w:marRight w:val="0"/>
      <w:marTop w:val="0"/>
      <w:marBottom w:val="0"/>
      <w:divBdr>
        <w:top w:val="none" w:sz="0" w:space="0" w:color="auto"/>
        <w:left w:val="none" w:sz="0" w:space="0" w:color="auto"/>
        <w:bottom w:val="none" w:sz="0" w:space="0" w:color="auto"/>
        <w:right w:val="none" w:sz="0" w:space="0" w:color="auto"/>
      </w:divBdr>
    </w:div>
    <w:div w:id="1027174328">
      <w:bodyDiv w:val="1"/>
      <w:marLeft w:val="0"/>
      <w:marRight w:val="0"/>
      <w:marTop w:val="0"/>
      <w:marBottom w:val="0"/>
      <w:divBdr>
        <w:top w:val="none" w:sz="0" w:space="0" w:color="auto"/>
        <w:left w:val="none" w:sz="0" w:space="0" w:color="auto"/>
        <w:bottom w:val="none" w:sz="0" w:space="0" w:color="auto"/>
        <w:right w:val="none" w:sz="0" w:space="0" w:color="auto"/>
      </w:divBdr>
    </w:div>
    <w:div w:id="1052189284">
      <w:bodyDiv w:val="1"/>
      <w:marLeft w:val="0"/>
      <w:marRight w:val="0"/>
      <w:marTop w:val="0"/>
      <w:marBottom w:val="0"/>
      <w:divBdr>
        <w:top w:val="none" w:sz="0" w:space="0" w:color="auto"/>
        <w:left w:val="none" w:sz="0" w:space="0" w:color="auto"/>
        <w:bottom w:val="none" w:sz="0" w:space="0" w:color="auto"/>
        <w:right w:val="none" w:sz="0" w:space="0" w:color="auto"/>
      </w:divBdr>
    </w:div>
    <w:div w:id="1078164283">
      <w:bodyDiv w:val="1"/>
      <w:marLeft w:val="0"/>
      <w:marRight w:val="0"/>
      <w:marTop w:val="0"/>
      <w:marBottom w:val="0"/>
      <w:divBdr>
        <w:top w:val="none" w:sz="0" w:space="0" w:color="auto"/>
        <w:left w:val="none" w:sz="0" w:space="0" w:color="auto"/>
        <w:bottom w:val="none" w:sz="0" w:space="0" w:color="auto"/>
        <w:right w:val="none" w:sz="0" w:space="0" w:color="auto"/>
      </w:divBdr>
    </w:div>
    <w:div w:id="1117064411">
      <w:bodyDiv w:val="1"/>
      <w:marLeft w:val="0"/>
      <w:marRight w:val="0"/>
      <w:marTop w:val="0"/>
      <w:marBottom w:val="0"/>
      <w:divBdr>
        <w:top w:val="none" w:sz="0" w:space="0" w:color="auto"/>
        <w:left w:val="none" w:sz="0" w:space="0" w:color="auto"/>
        <w:bottom w:val="none" w:sz="0" w:space="0" w:color="auto"/>
        <w:right w:val="none" w:sz="0" w:space="0" w:color="auto"/>
      </w:divBdr>
    </w:div>
    <w:div w:id="1365789631">
      <w:bodyDiv w:val="1"/>
      <w:marLeft w:val="0"/>
      <w:marRight w:val="0"/>
      <w:marTop w:val="0"/>
      <w:marBottom w:val="0"/>
      <w:divBdr>
        <w:top w:val="none" w:sz="0" w:space="0" w:color="auto"/>
        <w:left w:val="none" w:sz="0" w:space="0" w:color="auto"/>
        <w:bottom w:val="none" w:sz="0" w:space="0" w:color="auto"/>
        <w:right w:val="none" w:sz="0" w:space="0" w:color="auto"/>
      </w:divBdr>
    </w:div>
    <w:div w:id="1500190680">
      <w:bodyDiv w:val="1"/>
      <w:marLeft w:val="0"/>
      <w:marRight w:val="0"/>
      <w:marTop w:val="0"/>
      <w:marBottom w:val="0"/>
      <w:divBdr>
        <w:top w:val="none" w:sz="0" w:space="0" w:color="auto"/>
        <w:left w:val="none" w:sz="0" w:space="0" w:color="auto"/>
        <w:bottom w:val="none" w:sz="0" w:space="0" w:color="auto"/>
        <w:right w:val="none" w:sz="0" w:space="0" w:color="auto"/>
      </w:divBdr>
    </w:div>
    <w:div w:id="1508128634">
      <w:bodyDiv w:val="1"/>
      <w:marLeft w:val="0"/>
      <w:marRight w:val="0"/>
      <w:marTop w:val="0"/>
      <w:marBottom w:val="0"/>
      <w:divBdr>
        <w:top w:val="none" w:sz="0" w:space="0" w:color="auto"/>
        <w:left w:val="none" w:sz="0" w:space="0" w:color="auto"/>
        <w:bottom w:val="none" w:sz="0" w:space="0" w:color="auto"/>
        <w:right w:val="none" w:sz="0" w:space="0" w:color="auto"/>
      </w:divBdr>
    </w:div>
    <w:div w:id="1542355328">
      <w:bodyDiv w:val="1"/>
      <w:marLeft w:val="0"/>
      <w:marRight w:val="0"/>
      <w:marTop w:val="0"/>
      <w:marBottom w:val="0"/>
      <w:divBdr>
        <w:top w:val="none" w:sz="0" w:space="0" w:color="auto"/>
        <w:left w:val="none" w:sz="0" w:space="0" w:color="auto"/>
        <w:bottom w:val="none" w:sz="0" w:space="0" w:color="auto"/>
        <w:right w:val="none" w:sz="0" w:space="0" w:color="auto"/>
      </w:divBdr>
    </w:div>
    <w:div w:id="1629042458">
      <w:bodyDiv w:val="1"/>
      <w:marLeft w:val="0"/>
      <w:marRight w:val="0"/>
      <w:marTop w:val="0"/>
      <w:marBottom w:val="0"/>
      <w:divBdr>
        <w:top w:val="none" w:sz="0" w:space="0" w:color="auto"/>
        <w:left w:val="none" w:sz="0" w:space="0" w:color="auto"/>
        <w:bottom w:val="none" w:sz="0" w:space="0" w:color="auto"/>
        <w:right w:val="none" w:sz="0" w:space="0" w:color="auto"/>
      </w:divBdr>
    </w:div>
    <w:div w:id="1802839840">
      <w:bodyDiv w:val="1"/>
      <w:marLeft w:val="0"/>
      <w:marRight w:val="0"/>
      <w:marTop w:val="0"/>
      <w:marBottom w:val="0"/>
      <w:divBdr>
        <w:top w:val="none" w:sz="0" w:space="0" w:color="auto"/>
        <w:left w:val="none" w:sz="0" w:space="0" w:color="auto"/>
        <w:bottom w:val="none" w:sz="0" w:space="0" w:color="auto"/>
        <w:right w:val="none" w:sz="0" w:space="0" w:color="auto"/>
      </w:divBdr>
    </w:div>
    <w:div w:id="1825587145">
      <w:bodyDiv w:val="1"/>
      <w:marLeft w:val="0"/>
      <w:marRight w:val="0"/>
      <w:marTop w:val="0"/>
      <w:marBottom w:val="0"/>
      <w:divBdr>
        <w:top w:val="none" w:sz="0" w:space="0" w:color="auto"/>
        <w:left w:val="none" w:sz="0" w:space="0" w:color="auto"/>
        <w:bottom w:val="none" w:sz="0" w:space="0" w:color="auto"/>
        <w:right w:val="none" w:sz="0" w:space="0" w:color="auto"/>
      </w:divBdr>
    </w:div>
    <w:div w:id="1875193811">
      <w:bodyDiv w:val="1"/>
      <w:marLeft w:val="0"/>
      <w:marRight w:val="0"/>
      <w:marTop w:val="0"/>
      <w:marBottom w:val="0"/>
      <w:divBdr>
        <w:top w:val="none" w:sz="0" w:space="0" w:color="auto"/>
        <w:left w:val="none" w:sz="0" w:space="0" w:color="auto"/>
        <w:bottom w:val="none" w:sz="0" w:space="0" w:color="auto"/>
        <w:right w:val="none" w:sz="0" w:space="0" w:color="auto"/>
      </w:divBdr>
    </w:div>
    <w:div w:id="1904949699">
      <w:bodyDiv w:val="1"/>
      <w:marLeft w:val="0"/>
      <w:marRight w:val="0"/>
      <w:marTop w:val="0"/>
      <w:marBottom w:val="0"/>
      <w:divBdr>
        <w:top w:val="none" w:sz="0" w:space="0" w:color="auto"/>
        <w:left w:val="none" w:sz="0" w:space="0" w:color="auto"/>
        <w:bottom w:val="none" w:sz="0" w:space="0" w:color="auto"/>
        <w:right w:val="none" w:sz="0" w:space="0" w:color="auto"/>
      </w:divBdr>
    </w:div>
    <w:div w:id="1940872757">
      <w:bodyDiv w:val="1"/>
      <w:marLeft w:val="0"/>
      <w:marRight w:val="0"/>
      <w:marTop w:val="0"/>
      <w:marBottom w:val="0"/>
      <w:divBdr>
        <w:top w:val="none" w:sz="0" w:space="0" w:color="auto"/>
        <w:left w:val="none" w:sz="0" w:space="0" w:color="auto"/>
        <w:bottom w:val="none" w:sz="0" w:space="0" w:color="auto"/>
        <w:right w:val="none" w:sz="0" w:space="0" w:color="auto"/>
      </w:divBdr>
    </w:div>
    <w:div w:id="1961498530">
      <w:bodyDiv w:val="1"/>
      <w:marLeft w:val="0"/>
      <w:marRight w:val="0"/>
      <w:marTop w:val="0"/>
      <w:marBottom w:val="0"/>
      <w:divBdr>
        <w:top w:val="none" w:sz="0" w:space="0" w:color="auto"/>
        <w:left w:val="none" w:sz="0" w:space="0" w:color="auto"/>
        <w:bottom w:val="none" w:sz="0" w:space="0" w:color="auto"/>
        <w:right w:val="none" w:sz="0" w:space="0" w:color="auto"/>
      </w:divBdr>
    </w:div>
    <w:div w:id="1978682459">
      <w:bodyDiv w:val="1"/>
      <w:marLeft w:val="0"/>
      <w:marRight w:val="0"/>
      <w:marTop w:val="0"/>
      <w:marBottom w:val="0"/>
      <w:divBdr>
        <w:top w:val="none" w:sz="0" w:space="0" w:color="auto"/>
        <w:left w:val="none" w:sz="0" w:space="0" w:color="auto"/>
        <w:bottom w:val="none" w:sz="0" w:space="0" w:color="auto"/>
        <w:right w:val="none" w:sz="0" w:space="0" w:color="auto"/>
      </w:divBdr>
      <w:divsChild>
        <w:div w:id="2378309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0724748">
      <w:bodyDiv w:val="1"/>
      <w:marLeft w:val="0"/>
      <w:marRight w:val="0"/>
      <w:marTop w:val="0"/>
      <w:marBottom w:val="0"/>
      <w:divBdr>
        <w:top w:val="none" w:sz="0" w:space="0" w:color="auto"/>
        <w:left w:val="none" w:sz="0" w:space="0" w:color="auto"/>
        <w:bottom w:val="none" w:sz="0" w:space="0" w:color="auto"/>
        <w:right w:val="none" w:sz="0" w:space="0" w:color="auto"/>
      </w:divBdr>
    </w:div>
    <w:div w:id="2050300254">
      <w:bodyDiv w:val="1"/>
      <w:marLeft w:val="0"/>
      <w:marRight w:val="0"/>
      <w:marTop w:val="0"/>
      <w:marBottom w:val="0"/>
      <w:divBdr>
        <w:top w:val="none" w:sz="0" w:space="0" w:color="auto"/>
        <w:left w:val="none" w:sz="0" w:space="0" w:color="auto"/>
        <w:bottom w:val="none" w:sz="0" w:space="0" w:color="auto"/>
        <w:right w:val="none" w:sz="0" w:space="0" w:color="auto"/>
      </w:divBdr>
    </w:div>
    <w:div w:id="2074429986">
      <w:bodyDiv w:val="1"/>
      <w:marLeft w:val="0"/>
      <w:marRight w:val="0"/>
      <w:marTop w:val="0"/>
      <w:marBottom w:val="0"/>
      <w:divBdr>
        <w:top w:val="none" w:sz="0" w:space="0" w:color="auto"/>
        <w:left w:val="none" w:sz="0" w:space="0" w:color="auto"/>
        <w:bottom w:val="none" w:sz="0" w:space="0" w:color="auto"/>
        <w:right w:val="none" w:sz="0" w:space="0" w:color="auto"/>
      </w:divBdr>
    </w:div>
    <w:div w:id="213393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sd.copernicus.org/articles/15/3147/2023/" TargetMode="External"/><Relationship Id="rId13" Type="http://schemas.openxmlformats.org/officeDocument/2006/relationships/image" Target="media/image1.jp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eijing.gov.cn/gongkai/caizheng/czbg/jsbg/202308/t20230817_3224438.htm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a.cnki.net/yearBook/single?id=N2025041039&amp;pinyinCode=YSLTJ"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ata.cnki.net/yearBook/single?id=N2025020156&amp;pinyinCode=YZGCA"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ata.cnki.net/yearBook/single?id=N2023110029&amp;pinyinCode=YCJTJ" TargetMode="External"/><Relationship Id="rId1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098E8-5BAE-44EE-B24A-712661A30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2150</TotalTime>
  <Pages>12</Pages>
  <Words>4459</Words>
  <Characters>29613</Characters>
  <Application>Microsoft Office Word</Application>
  <DocSecurity>0</DocSecurity>
  <Lines>548</Lines>
  <Paragraphs>151</Paragraphs>
  <ScaleCrop>false</ScaleCrop>
  <Company/>
  <LinksUpToDate>false</LinksUpToDate>
  <CharactersWithSpaces>33921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林妹</dc:creator>
  <cp:keywords/>
  <dc:description/>
  <cp:lastModifiedBy>Linmei Zhuang</cp:lastModifiedBy>
  <cp:revision>168</cp:revision>
  <cp:lastPrinted>2026-09-11T04:15:00Z</cp:lastPrinted>
  <dcterms:created xsi:type="dcterms:W3CDTF">2025-03-25T08:10:00Z</dcterms:created>
  <dcterms:modified xsi:type="dcterms:W3CDTF">2026-09-11T06:12:00Z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52a08954788d6932a610b61a89b1c05ccb110e257dc37bba35315aedaac4d033</vt:lpwstr>
  </property>
  <property fmtid="{D5CDD505-2E9C-101B-9397-08002B2CF9AE}" pid="3" name="MTWinEqns">
    <vt:bool>true</vt:bool>
  </property>
  <property fmtid="{D5CDD505-2E9C-101B-9397-08002B2CF9AE}" pid="4" name="ZOTERO_PREF_1">
    <vt:lpwstr>&lt;data data-version="3" zotero-version="9.0.6"&gt;&lt;session id="q5WUbVQ3"/&gt;&lt;style id="http://www.zotero.org/styles/apa" locale="en-US" hasBibliography="1" bibliographyStyleHasBeenSet="1"/&gt;&lt;prefs&gt;&lt;pref name="fieldType" value="Field"/&gt;&lt;pref name="automaticJourna</vt:lpwstr>
  </property>
  <property fmtid="{D5CDD505-2E9C-101B-9397-08002B2CF9AE}" pid="5" name="ZOTERO_PREF_2">
    <vt:lpwstr>lAbbreviations" value="true"/&gt;&lt;/prefs&gt;&lt;/data&gt;</vt:lpwstr>
  </property>
</Properties>
</file>