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1CBDEA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3847465" cy="2879725"/>
            <wp:effectExtent l="0" t="0" r="635" b="635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746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9208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 w:eastAsia="宋体" w:cs="Times New Roman"/>
          <w:b/>
          <w:bCs/>
          <w:sz w:val="21"/>
          <w:szCs w:val="21"/>
          <w:lang w:val="en-US" w:eastAsia="zh-CN"/>
        </w:rPr>
        <w:t>Fig. S1</w:t>
      </w:r>
      <w:r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t xml:space="preserve"> Amino acid compositions after </w:t>
      </w:r>
      <w:r>
        <w:rPr>
          <w:rFonts w:hint="eastAsia" w:eastAsia="宋体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AESSF</w:t>
      </w:r>
      <w:r>
        <w:rPr>
          <w:rFonts w:hint="eastAsia" w:cs="Times New Roman"/>
          <w:color w:val="auto"/>
          <w:szCs w:val="21"/>
          <w:highlight w:val="none"/>
        </w:rPr>
        <w:t xml:space="preserve"> process</w:t>
      </w:r>
      <w:r>
        <w:rPr>
          <w:rFonts w:hint="eastAsia" w:eastAsia="宋体" w:cs="Times New Roman"/>
          <w:color w:val="auto"/>
          <w:szCs w:val="21"/>
          <w:highlight w:val="none"/>
          <w:lang w:val="en-US" w:eastAsia="zh-CN"/>
        </w:rPr>
        <w:t>.</w:t>
      </w:r>
    </w:p>
    <w:p w14:paraId="5580C9DF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4"/>
          <w:lang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7908114E">
      <w:pPr>
        <w:shd w:val="clear"/>
        <w:spacing w:line="480" w:lineRule="auto"/>
        <w:jc w:val="center"/>
        <w:rPr>
          <w:rFonts w:eastAsia="宋体" w:cs="Times New Roman"/>
          <w:szCs w:val="21"/>
        </w:rPr>
      </w:pPr>
      <w:r>
        <w:rPr>
          <w:rFonts w:eastAsia="宋体" w:cs="Times New Roman"/>
          <w:szCs w:val="21"/>
        </w:rPr>
        <w:drawing>
          <wp:inline distT="0" distB="0" distL="0" distR="0">
            <wp:extent cx="4404360" cy="6673215"/>
            <wp:effectExtent l="0" t="0" r="15240" b="13335"/>
            <wp:docPr id="19512311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231120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717" cy="6682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53BDC">
      <w:pPr>
        <w:shd w:val="clear"/>
        <w:spacing w:line="480" w:lineRule="auto"/>
        <w:jc w:val="both"/>
        <w:rPr>
          <w:rFonts w:hint="eastAsia" w:ascii="Times New Roman" w:hAnsi="Times New Roman" w:eastAsia="宋体" w:cs="Times New Roman"/>
          <w:b/>
          <w:bCs/>
          <w:sz w:val="2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cs="Times New Roman"/>
          <w:b/>
          <w:bCs/>
          <w:szCs w:val="21"/>
        </w:rPr>
        <w:t xml:space="preserve">Fig. </w:t>
      </w:r>
      <w:r>
        <w:rPr>
          <w:rFonts w:hint="eastAsia" w:cs="Times New Roman" w:eastAsiaTheme="minorEastAsia"/>
          <w:b/>
          <w:bCs/>
          <w:szCs w:val="21"/>
        </w:rPr>
        <w:t>S2</w:t>
      </w:r>
      <w:r>
        <w:rPr>
          <w:rFonts w:cs="Times New Roman"/>
          <w:b/>
          <w:bCs/>
          <w:szCs w:val="21"/>
        </w:rPr>
        <w:t xml:space="preserve"> </w:t>
      </w:r>
      <w:r>
        <w:rPr>
          <w:rFonts w:cs="Times New Roman"/>
          <w:szCs w:val="21"/>
        </w:rPr>
        <w:t>HS</w:t>
      </w:r>
      <w:bookmarkStart w:id="0" w:name="_Hlk229131842"/>
      <w:r>
        <w:rPr>
          <w:rFonts w:ascii="Times New Roman" w:hAnsi="Times New Roman" w:cs="Times New Roman"/>
          <w:sz w:val="24"/>
          <w:szCs w:val="24"/>
        </w:rPr>
        <w:t>–</w:t>
      </w:r>
      <w:bookmarkEnd w:id="0"/>
      <w:r>
        <w:rPr>
          <w:rFonts w:cs="Times New Roman"/>
          <w:szCs w:val="21"/>
        </w:rPr>
        <w:t>GC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cs="Times New Roman"/>
          <w:szCs w:val="21"/>
        </w:rPr>
        <w:t xml:space="preserve">IMS analysis of </w:t>
      </w:r>
      <w:r>
        <w:rPr>
          <w:rFonts w:hint="eastAsia" w:cs="Times New Roman" w:eastAsiaTheme="minorEastAsia"/>
          <w:szCs w:val="21"/>
        </w:rPr>
        <w:t xml:space="preserve">CK during </w:t>
      </w:r>
      <w:r>
        <w:rPr>
          <w:rFonts w:hint="eastAsia" w:cs="Times New Roman" w:eastAsiaTheme="minorEastAsia"/>
          <w:szCs w:val="21"/>
          <w:lang w:val="en-US" w:eastAsia="zh-CN"/>
        </w:rPr>
        <w:t>AESSF</w:t>
      </w:r>
      <w:r>
        <w:rPr>
          <w:rFonts w:hint="eastAsia" w:cs="Times New Roman"/>
          <w:color w:val="auto"/>
          <w:szCs w:val="21"/>
          <w:highlight w:val="none"/>
        </w:rPr>
        <w:t xml:space="preserve"> process</w:t>
      </w:r>
      <w:r>
        <w:rPr>
          <w:rFonts w:hint="eastAsia" w:cs="Times New Roman" w:eastAsiaTheme="minorEastAsia"/>
          <w:szCs w:val="21"/>
          <w:lang w:val="en-US" w:eastAsia="zh-CN"/>
        </w:rPr>
        <w:t xml:space="preserve">. </w:t>
      </w:r>
      <w:r>
        <w:rPr>
          <w:rFonts w:cs="Times New Roman"/>
          <w:szCs w:val="21"/>
        </w:rPr>
        <w:t xml:space="preserve">(a) </w:t>
      </w:r>
      <w:r>
        <w:rPr>
          <w:rFonts w:hint="eastAsia" w:cs="Times New Roman" w:eastAsiaTheme="minorEastAsia"/>
          <w:szCs w:val="21"/>
        </w:rPr>
        <w:t>2</w:t>
      </w:r>
      <w:r>
        <w:rPr>
          <w:rFonts w:cs="Times New Roman"/>
          <w:szCs w:val="21"/>
        </w:rPr>
        <w:t xml:space="preserve">D topographic plots; (b) Comparison of different; (c) </w:t>
      </w:r>
      <w:r>
        <w:rPr>
          <w:rFonts w:hint="eastAsia" w:cs="Times New Roman" w:eastAsiaTheme="minorEastAsia"/>
          <w:szCs w:val="21"/>
        </w:rPr>
        <w:t>F</w:t>
      </w:r>
      <w:r>
        <w:rPr>
          <w:rFonts w:cs="Times New Roman"/>
          <w:szCs w:val="21"/>
        </w:rPr>
        <w:t>ingerprints</w:t>
      </w:r>
      <w:r>
        <w:rPr>
          <w:rFonts w:hint="eastAsia" w:eastAsia="宋体" w:cs="Times New Roman"/>
          <w:szCs w:val="21"/>
          <w:lang w:val="en-US" w:eastAsia="zh-CN"/>
        </w:rPr>
        <w:t>.</w:t>
      </w:r>
    </w:p>
    <w:p w14:paraId="6F720AF9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24"/>
          <w:lang w:eastAsia="zh-CN"/>
        </w:rPr>
        <w:drawing>
          <wp:inline distT="0" distB="0" distL="114300" distR="114300">
            <wp:extent cx="4155440" cy="2879725"/>
            <wp:effectExtent l="0" t="0" r="16510" b="15875"/>
            <wp:docPr id="1" name="图片 1" descr="Figure S1_Raref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ure S1_Rarefaction"/>
                    <pic:cNvPicPr>
                      <a:picLocks noChangeAspect="1"/>
                    </pic:cNvPicPr>
                  </pic:nvPicPr>
                  <pic:blipFill>
                    <a:blip r:embed="rId6"/>
                    <a:srcRect l="2147" t="1381" r="2123"/>
                    <a:stretch>
                      <a:fillRect/>
                    </a:stretch>
                  </pic:blipFill>
                  <pic:spPr>
                    <a:xfrm>
                      <a:off x="0" y="0"/>
                      <a:ext cx="415544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315C4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default" w:ascii="Times New Roman" w:hAnsi="Times New Roman" w:eastAsia="宋体" w:cs="Times New Roman"/>
          <w:b w:val="0"/>
          <w:bCs w:val="0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eastAsia" w:eastAsia="宋体" w:cs="Times New Roman"/>
          <w:b/>
          <w:bCs/>
          <w:sz w:val="21"/>
          <w:szCs w:val="21"/>
          <w:shd w:val="clear"/>
          <w:lang w:val="en-US" w:eastAsia="zh-CN"/>
        </w:rPr>
        <w:t>Fig. S3</w:t>
      </w:r>
      <w:r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t xml:space="preserve"> Rarefaction curves of fungal communities during </w:t>
      </w:r>
      <w:r>
        <w:rPr>
          <w:rFonts w:hint="eastAsia" w:eastAsia="宋体" w:cs="Times New Roman"/>
          <w:b w:val="0"/>
          <w:bCs w:val="0"/>
          <w:i w:val="0"/>
          <w:iCs w:val="0"/>
          <w:sz w:val="21"/>
          <w:szCs w:val="21"/>
          <w:lang w:val="en-US" w:eastAsia="zh-CN"/>
        </w:rPr>
        <w:t>AESSF</w:t>
      </w:r>
      <w:r>
        <w:rPr>
          <w:rFonts w:hint="eastAsia" w:cs="Times New Roman"/>
          <w:color w:val="auto"/>
          <w:szCs w:val="21"/>
          <w:highlight w:val="none"/>
        </w:rPr>
        <w:t xml:space="preserve"> process</w:t>
      </w:r>
      <w:r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t>.</w:t>
      </w:r>
    </w:p>
    <w:p w14:paraId="4F45EEA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1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eastAsia="zh-CN"/>
        </w:rPr>
        <w:drawing>
          <wp:inline distT="0" distB="0" distL="114300" distR="114300">
            <wp:extent cx="5039995" cy="2433320"/>
            <wp:effectExtent l="0" t="0" r="8255" b="5080"/>
            <wp:docPr id="2" name="图片 2" descr="0bd9d10ef60dc6359d0743268b1a45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bd9d10ef60dc6359d0743268b1a45e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B6B8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default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eastAsia" w:eastAsia="宋体" w:cs="Times New Roman"/>
          <w:b/>
          <w:bCs/>
          <w:sz w:val="21"/>
          <w:szCs w:val="21"/>
          <w:shd w:val="clear"/>
          <w:lang w:val="en-US" w:eastAsia="zh-CN"/>
        </w:rPr>
        <w:t>Fig. S4</w:t>
      </w:r>
      <w:r>
        <w:rPr>
          <w:rFonts w:hint="eastAsia" w:eastAsia="宋体" w:cs="Times New Roman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t>Linear discriminant analysis effect size (LEfSe) revealing differential fungal taxa at different fermentation stages during AESSF</w:t>
      </w:r>
      <w:r>
        <w:rPr>
          <w:rFonts w:hint="eastAsia" w:cs="Times New Roman"/>
          <w:color w:val="auto"/>
          <w:szCs w:val="21"/>
          <w:highlight w:val="none"/>
        </w:rPr>
        <w:t xml:space="preserve"> process</w:t>
      </w:r>
      <w:r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t>. (a) Day 0, (b) Day 8, (c) Day 12, (d) Day 18, and (e) Day 30.</w:t>
      </w:r>
      <w:bookmarkStart w:id="1" w:name="_GoBack"/>
      <w:bookmarkEnd w:id="1"/>
    </w:p>
    <w:p w14:paraId="17421B8B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1"/>
          <w:szCs w:val="21"/>
          <w:lang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</w:p>
    <w:p w14:paraId="6CEAAC39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Times New Roman" w:hAnsi="Times New Roman" w:eastAsia="宋体" w:cs="Times New Roman"/>
          <w:b/>
          <w:bCs/>
          <w:sz w:val="21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eastAsia="zh-CN"/>
        </w:rPr>
        <w:drawing>
          <wp:inline distT="0" distB="0" distL="114300" distR="114300">
            <wp:extent cx="5039995" cy="3848735"/>
            <wp:effectExtent l="0" t="0" r="8255" b="18415"/>
            <wp:docPr id="3" name="图片 3" descr="e69f6f2c62e05ed1018c4ac50254ec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69f6f2c62e05ed1018c4ac50254ec65"/>
                    <pic:cNvPicPr>
                      <a:picLocks noChangeAspect="1"/>
                    </pic:cNvPicPr>
                  </pic:nvPicPr>
                  <pic:blipFill>
                    <a:blip r:embed="rId8"/>
                    <a:srcRect l="163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84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B8D97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sectPr>
          <w:pgSz w:w="11906" w:h="16838"/>
          <w:pgMar w:top="1440" w:right="1417" w:bottom="1440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lnNumType w:countBy="1" w:restart="continuous"/>
          <w:cols w:space="425" w:num="1"/>
          <w:docGrid w:type="lines" w:linePitch="312" w:charSpace="0"/>
        </w:sectPr>
      </w:pPr>
      <w:r>
        <w:rPr>
          <w:rFonts w:hint="eastAsia" w:eastAsia="宋体" w:cs="Times New Roman"/>
          <w:b/>
          <w:bCs/>
          <w:sz w:val="21"/>
          <w:szCs w:val="21"/>
          <w:shd w:val="clear"/>
          <w:lang w:val="en-US" w:eastAsia="zh-CN"/>
        </w:rPr>
        <w:t>Fig. S5</w:t>
      </w:r>
      <w:r>
        <w:rPr>
          <w:rFonts w:hint="eastAsia" w:eastAsia="宋体" w:cs="Times New Roman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t>Correlation analysis between the differential genera identified by LEfSe and environmental physicochemical parameters during AESSF</w:t>
      </w:r>
      <w:r>
        <w:rPr>
          <w:rFonts w:hint="eastAsia" w:cs="Times New Roman"/>
          <w:color w:val="auto"/>
          <w:szCs w:val="21"/>
          <w:highlight w:val="none"/>
        </w:rPr>
        <w:t xml:space="preserve"> process</w:t>
      </w:r>
      <w:r>
        <w:rPr>
          <w:rFonts w:hint="eastAsia" w:eastAsia="宋体" w:cs="Times New Roman"/>
          <w:color w:val="auto"/>
          <w:szCs w:val="21"/>
          <w:highlight w:val="none"/>
          <w:lang w:val="en-US" w:eastAsia="zh-CN"/>
        </w:rPr>
        <w:t>.</w:t>
      </w:r>
    </w:p>
    <w:p w14:paraId="0D081147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</w:pPr>
      <w:r>
        <w:rPr>
          <w:rFonts w:hint="eastAsia" w:eastAsia="宋体" w:cs="Times New Roman"/>
          <w:b/>
          <w:bCs/>
          <w:sz w:val="21"/>
          <w:szCs w:val="21"/>
          <w:lang w:val="en-US" w:eastAsia="zh-CN"/>
        </w:rPr>
        <w:t>Table S1</w:t>
      </w:r>
      <w:r>
        <w:rPr>
          <w:rFonts w:hint="eastAsia" w:eastAsia="宋体" w:cs="Times New Roman"/>
          <w:b w:val="0"/>
          <w:bCs w:val="0"/>
          <w:sz w:val="21"/>
          <w:szCs w:val="21"/>
          <w:lang w:val="en-US" w:eastAsia="zh-CN"/>
        </w:rPr>
        <w:t xml:space="preserve"> Sensory evaluation of COC during AESSF process.</w:t>
      </w:r>
    </w:p>
    <w:tbl>
      <w:tblPr>
        <w:tblStyle w:val="3"/>
        <w:tblW w:w="0" w:type="auto"/>
        <w:tblInd w:w="637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0"/>
        <w:gridCol w:w="1813"/>
        <w:gridCol w:w="2512"/>
        <w:gridCol w:w="1950"/>
        <w:gridCol w:w="2363"/>
        <w:gridCol w:w="2750"/>
      </w:tblGrid>
      <w:tr w14:paraId="3B20BDC8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tcBorders>
              <w:bottom w:val="single" w:color="000000" w:sz="8" w:space="0"/>
            </w:tcBorders>
            <w:vAlign w:val="center"/>
          </w:tcPr>
          <w:p w14:paraId="778F3D4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Treatment</w:t>
            </w:r>
          </w:p>
        </w:tc>
        <w:tc>
          <w:tcPr>
            <w:tcW w:w="1813" w:type="dxa"/>
            <w:tcBorders>
              <w:bottom w:val="single" w:color="000000" w:sz="8" w:space="0"/>
            </w:tcBorders>
            <w:vAlign w:val="center"/>
          </w:tcPr>
          <w:p w14:paraId="7899F61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Day</w:t>
            </w:r>
          </w:p>
        </w:tc>
        <w:tc>
          <w:tcPr>
            <w:tcW w:w="2512" w:type="dxa"/>
            <w:tcBorders>
              <w:bottom w:val="single" w:color="000000" w:sz="8" w:space="0"/>
            </w:tcBorders>
            <w:vAlign w:val="center"/>
          </w:tcPr>
          <w:p w14:paraId="6E8502B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Odor</w:t>
            </w:r>
          </w:p>
        </w:tc>
        <w:tc>
          <w:tcPr>
            <w:tcW w:w="1950" w:type="dxa"/>
            <w:tcBorders>
              <w:bottom w:val="single" w:color="000000" w:sz="8" w:space="0"/>
            </w:tcBorders>
            <w:vAlign w:val="center"/>
          </w:tcPr>
          <w:p w14:paraId="53A9B59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Color</w:t>
            </w:r>
          </w:p>
        </w:tc>
        <w:tc>
          <w:tcPr>
            <w:tcW w:w="2363" w:type="dxa"/>
            <w:tcBorders>
              <w:bottom w:val="single" w:color="000000" w:sz="8" w:space="0"/>
            </w:tcBorders>
            <w:vAlign w:val="center"/>
          </w:tcPr>
          <w:p w14:paraId="2D5E0B7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Texture</w:t>
            </w:r>
          </w:p>
        </w:tc>
        <w:tc>
          <w:tcPr>
            <w:tcW w:w="2750" w:type="dxa"/>
            <w:tcBorders>
              <w:bottom w:val="single" w:color="000000" w:sz="8" w:space="0"/>
            </w:tcBorders>
            <w:vAlign w:val="center"/>
          </w:tcPr>
          <w:p w14:paraId="7278DB7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Visible Fungal Growth</w:t>
            </w:r>
          </w:p>
        </w:tc>
      </w:tr>
      <w:tr w14:paraId="081020FC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restart"/>
            <w:tcBorders>
              <w:top w:val="single" w:color="000000" w:sz="8" w:space="0"/>
            </w:tcBorders>
            <w:vAlign w:val="center"/>
          </w:tcPr>
          <w:p w14:paraId="78C1098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CK</w:t>
            </w:r>
          </w:p>
        </w:tc>
        <w:tc>
          <w:tcPr>
            <w:tcW w:w="1813" w:type="dxa"/>
            <w:tcBorders>
              <w:top w:val="single" w:color="000000" w:sz="8" w:space="0"/>
            </w:tcBorders>
            <w:vAlign w:val="center"/>
          </w:tcPr>
          <w:p w14:paraId="28615144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2512" w:type="dxa"/>
            <w:tcBorders>
              <w:top w:val="single" w:color="000000" w:sz="8" w:space="0"/>
            </w:tcBorders>
            <w:vAlign w:val="center"/>
          </w:tcPr>
          <w:p w14:paraId="56BC109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Fragrant</w:t>
            </w:r>
          </w:p>
        </w:tc>
        <w:tc>
          <w:tcPr>
            <w:tcW w:w="1950" w:type="dxa"/>
            <w:tcBorders>
              <w:top w:val="single" w:color="000000" w:sz="8" w:space="0"/>
            </w:tcBorders>
            <w:vAlign w:val="center"/>
          </w:tcPr>
          <w:p w14:paraId="639EF4D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tcBorders>
              <w:top w:val="single" w:color="000000" w:sz="8" w:space="0"/>
            </w:tcBorders>
            <w:vAlign w:val="center"/>
          </w:tcPr>
          <w:p w14:paraId="17B5988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compact</w:t>
            </w:r>
          </w:p>
        </w:tc>
        <w:tc>
          <w:tcPr>
            <w:tcW w:w="2750" w:type="dxa"/>
            <w:tcBorders>
              <w:top w:val="single" w:color="000000" w:sz="8" w:space="0"/>
            </w:tcBorders>
            <w:vAlign w:val="center"/>
          </w:tcPr>
          <w:p w14:paraId="26877FB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4968E79D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74F94201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00E2749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512" w:type="dxa"/>
            <w:vAlign w:val="center"/>
          </w:tcPr>
          <w:p w14:paraId="2E56DA5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Fragrant</w:t>
            </w:r>
          </w:p>
        </w:tc>
        <w:tc>
          <w:tcPr>
            <w:tcW w:w="1950" w:type="dxa"/>
            <w:vAlign w:val="center"/>
          </w:tcPr>
          <w:p w14:paraId="71EFD42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0B1FDCC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6EC9946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79AFAE6F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63AED95A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3D378CE4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2512" w:type="dxa"/>
            <w:vAlign w:val="center"/>
          </w:tcPr>
          <w:p w14:paraId="1F6723D7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Wine-like aroma</w:t>
            </w:r>
          </w:p>
        </w:tc>
        <w:tc>
          <w:tcPr>
            <w:tcW w:w="1950" w:type="dxa"/>
            <w:vAlign w:val="center"/>
          </w:tcPr>
          <w:p w14:paraId="163084D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287F8C8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7ED7936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Sparse white mycelia</w:t>
            </w:r>
          </w:p>
        </w:tc>
      </w:tr>
      <w:tr w14:paraId="4D6A559A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10F90E3D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1ABAB23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2512" w:type="dxa"/>
            <w:vAlign w:val="center"/>
          </w:tcPr>
          <w:p w14:paraId="096DA0C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Slightly sour/musty</w:t>
            </w:r>
          </w:p>
        </w:tc>
        <w:tc>
          <w:tcPr>
            <w:tcW w:w="1950" w:type="dxa"/>
            <w:vAlign w:val="center"/>
          </w:tcPr>
          <w:p w14:paraId="072A010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7612458A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Hard</w:t>
            </w:r>
          </w:p>
        </w:tc>
        <w:tc>
          <w:tcPr>
            <w:tcW w:w="2750" w:type="dxa"/>
            <w:vAlign w:val="center"/>
          </w:tcPr>
          <w:p w14:paraId="3B08F3B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Significant mold colonization</w:t>
            </w:r>
          </w:p>
        </w:tc>
      </w:tr>
      <w:tr w14:paraId="6D7D5FC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180C8231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2C9BD6E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512" w:type="dxa"/>
            <w:vAlign w:val="center"/>
          </w:tcPr>
          <w:p w14:paraId="00C2582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Unpleasant/Musty</w:t>
            </w:r>
          </w:p>
        </w:tc>
        <w:tc>
          <w:tcPr>
            <w:tcW w:w="1950" w:type="dxa"/>
            <w:vAlign w:val="center"/>
          </w:tcPr>
          <w:p w14:paraId="697C05D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Light brown</w:t>
            </w:r>
          </w:p>
        </w:tc>
        <w:tc>
          <w:tcPr>
            <w:tcW w:w="2363" w:type="dxa"/>
            <w:vAlign w:val="center"/>
          </w:tcPr>
          <w:p w14:paraId="64D1ADD7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Hard</w:t>
            </w:r>
          </w:p>
        </w:tc>
        <w:tc>
          <w:tcPr>
            <w:tcW w:w="2750" w:type="dxa"/>
            <w:vAlign w:val="center"/>
          </w:tcPr>
          <w:p w14:paraId="4256CFD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Extensive mold coverage</w:t>
            </w:r>
          </w:p>
        </w:tc>
      </w:tr>
      <w:tr w14:paraId="498327F9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tcBorders>
              <w:bottom w:val="single" w:color="000000" w:sz="8" w:space="0"/>
            </w:tcBorders>
            <w:vAlign w:val="center"/>
          </w:tcPr>
          <w:p w14:paraId="1621BE42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tcBorders>
              <w:bottom w:val="single" w:color="000000" w:sz="8" w:space="0"/>
            </w:tcBorders>
            <w:vAlign w:val="center"/>
          </w:tcPr>
          <w:p w14:paraId="06A4436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2512" w:type="dxa"/>
            <w:tcBorders>
              <w:bottom w:val="single" w:color="000000" w:sz="8" w:space="0"/>
            </w:tcBorders>
            <w:vAlign w:val="center"/>
          </w:tcPr>
          <w:p w14:paraId="2BC7EAA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Strong unpleasant odor</w:t>
            </w:r>
          </w:p>
        </w:tc>
        <w:tc>
          <w:tcPr>
            <w:tcW w:w="1950" w:type="dxa"/>
            <w:tcBorders>
              <w:bottom w:val="single" w:color="000000" w:sz="8" w:space="0"/>
            </w:tcBorders>
            <w:vAlign w:val="center"/>
          </w:tcPr>
          <w:p w14:paraId="1493422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Light brown</w:t>
            </w:r>
          </w:p>
        </w:tc>
        <w:tc>
          <w:tcPr>
            <w:tcW w:w="2363" w:type="dxa"/>
            <w:tcBorders>
              <w:bottom w:val="single" w:color="000000" w:sz="8" w:space="0"/>
            </w:tcBorders>
            <w:vAlign w:val="center"/>
          </w:tcPr>
          <w:p w14:paraId="5D20B21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Hard</w:t>
            </w:r>
          </w:p>
        </w:tc>
        <w:tc>
          <w:tcPr>
            <w:tcW w:w="2750" w:type="dxa"/>
            <w:tcBorders>
              <w:bottom w:val="single" w:color="000000" w:sz="8" w:space="0"/>
            </w:tcBorders>
            <w:vAlign w:val="center"/>
          </w:tcPr>
          <w:p w14:paraId="12AE6D1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Fully covered with mold</w:t>
            </w:r>
          </w:p>
        </w:tc>
      </w:tr>
      <w:tr w14:paraId="001686CA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restart"/>
            <w:tcBorders>
              <w:top w:val="single" w:color="000000" w:sz="8" w:space="0"/>
            </w:tcBorders>
            <w:vAlign w:val="center"/>
          </w:tcPr>
          <w:p w14:paraId="05A65B8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Am1</w:t>
            </w:r>
          </w:p>
        </w:tc>
        <w:tc>
          <w:tcPr>
            <w:tcW w:w="1813" w:type="dxa"/>
            <w:tcBorders>
              <w:top w:val="single" w:color="000000" w:sz="8" w:space="0"/>
            </w:tcBorders>
            <w:vAlign w:val="center"/>
          </w:tcPr>
          <w:p w14:paraId="08C6DCD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2512" w:type="dxa"/>
            <w:tcBorders>
              <w:top w:val="single" w:color="000000" w:sz="8" w:space="0"/>
            </w:tcBorders>
            <w:vAlign w:val="center"/>
          </w:tcPr>
          <w:p w14:paraId="2A27D307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Fragrant</w:t>
            </w:r>
          </w:p>
        </w:tc>
        <w:tc>
          <w:tcPr>
            <w:tcW w:w="1950" w:type="dxa"/>
            <w:tcBorders>
              <w:top w:val="single" w:color="000000" w:sz="8" w:space="0"/>
            </w:tcBorders>
            <w:vAlign w:val="center"/>
          </w:tcPr>
          <w:p w14:paraId="2D54829A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tcBorders>
              <w:top w:val="single" w:color="000000" w:sz="8" w:space="0"/>
            </w:tcBorders>
            <w:vAlign w:val="center"/>
          </w:tcPr>
          <w:p w14:paraId="020B75A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compact</w:t>
            </w:r>
          </w:p>
        </w:tc>
        <w:tc>
          <w:tcPr>
            <w:tcW w:w="2750" w:type="dxa"/>
            <w:tcBorders>
              <w:top w:val="single" w:color="000000" w:sz="8" w:space="0"/>
            </w:tcBorders>
            <w:vAlign w:val="center"/>
          </w:tcPr>
          <w:p w14:paraId="39ED60E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595B2CF4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18BD3405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61C330F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512" w:type="dxa"/>
            <w:vAlign w:val="center"/>
          </w:tcPr>
          <w:p w14:paraId="472B231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Wine-like aroma</w:t>
            </w:r>
          </w:p>
        </w:tc>
        <w:tc>
          <w:tcPr>
            <w:tcW w:w="1950" w:type="dxa"/>
            <w:vAlign w:val="center"/>
          </w:tcPr>
          <w:p w14:paraId="08103B4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7F45F4E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6E3A80B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7B456911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1AAE934E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19BFF54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2512" w:type="dxa"/>
            <w:vAlign w:val="center"/>
          </w:tcPr>
          <w:p w14:paraId="0819DB2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Wine-like aroma</w:t>
            </w:r>
          </w:p>
        </w:tc>
        <w:tc>
          <w:tcPr>
            <w:tcW w:w="1950" w:type="dxa"/>
            <w:vAlign w:val="center"/>
          </w:tcPr>
          <w:p w14:paraId="27B2034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5DEDD96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2F126A3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Trace white mycelia</w:t>
            </w:r>
          </w:p>
        </w:tc>
      </w:tr>
      <w:tr w14:paraId="454022CE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40399BEF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104D33E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2512" w:type="dxa"/>
            <w:vAlign w:val="center"/>
          </w:tcPr>
          <w:p w14:paraId="5AEE2C5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Slightly unpleasant</w:t>
            </w:r>
          </w:p>
        </w:tc>
        <w:tc>
          <w:tcPr>
            <w:tcW w:w="1950" w:type="dxa"/>
            <w:vAlign w:val="center"/>
          </w:tcPr>
          <w:p w14:paraId="38C5ABF7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Light brown</w:t>
            </w:r>
          </w:p>
        </w:tc>
        <w:tc>
          <w:tcPr>
            <w:tcW w:w="2363" w:type="dxa"/>
            <w:vAlign w:val="center"/>
          </w:tcPr>
          <w:p w14:paraId="597F5C7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Hard</w:t>
            </w:r>
          </w:p>
        </w:tc>
        <w:tc>
          <w:tcPr>
            <w:tcW w:w="2750" w:type="dxa"/>
            <w:vAlign w:val="center"/>
          </w:tcPr>
          <w:p w14:paraId="16DD58E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Significant mold colonization</w:t>
            </w:r>
          </w:p>
        </w:tc>
      </w:tr>
      <w:tr w14:paraId="05DE56E3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74736454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3CD9144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512" w:type="dxa"/>
            <w:vAlign w:val="center"/>
          </w:tcPr>
          <w:p w14:paraId="6F8EC99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Unpleasant/Musty</w:t>
            </w:r>
          </w:p>
        </w:tc>
        <w:tc>
          <w:tcPr>
            <w:tcW w:w="1950" w:type="dxa"/>
            <w:vAlign w:val="center"/>
          </w:tcPr>
          <w:p w14:paraId="30BE1F2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Light brown</w:t>
            </w:r>
          </w:p>
        </w:tc>
        <w:tc>
          <w:tcPr>
            <w:tcW w:w="2363" w:type="dxa"/>
            <w:vAlign w:val="center"/>
          </w:tcPr>
          <w:p w14:paraId="6B7A2F7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Hard</w:t>
            </w:r>
          </w:p>
        </w:tc>
        <w:tc>
          <w:tcPr>
            <w:tcW w:w="2750" w:type="dxa"/>
            <w:vAlign w:val="center"/>
          </w:tcPr>
          <w:p w14:paraId="1A4CFED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Extensive mold coverage</w:t>
            </w:r>
          </w:p>
        </w:tc>
      </w:tr>
      <w:tr w14:paraId="78F2D3D3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tcBorders>
              <w:bottom w:val="single" w:color="000000" w:sz="8" w:space="0"/>
            </w:tcBorders>
            <w:vAlign w:val="center"/>
          </w:tcPr>
          <w:p w14:paraId="3E52ED70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tcBorders>
              <w:bottom w:val="single" w:color="000000" w:sz="8" w:space="0"/>
            </w:tcBorders>
            <w:vAlign w:val="center"/>
          </w:tcPr>
          <w:p w14:paraId="175B0268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2512" w:type="dxa"/>
            <w:tcBorders>
              <w:bottom w:val="single" w:color="000000" w:sz="8" w:space="0"/>
            </w:tcBorders>
            <w:vAlign w:val="center"/>
          </w:tcPr>
          <w:p w14:paraId="6AA25E8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Strong unpleasant odor</w:t>
            </w:r>
          </w:p>
        </w:tc>
        <w:tc>
          <w:tcPr>
            <w:tcW w:w="1950" w:type="dxa"/>
            <w:tcBorders>
              <w:bottom w:val="single" w:color="000000" w:sz="8" w:space="0"/>
            </w:tcBorders>
            <w:vAlign w:val="center"/>
          </w:tcPr>
          <w:p w14:paraId="1282DD2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Light brown</w:t>
            </w:r>
          </w:p>
        </w:tc>
        <w:tc>
          <w:tcPr>
            <w:tcW w:w="2363" w:type="dxa"/>
            <w:tcBorders>
              <w:bottom w:val="single" w:color="000000" w:sz="8" w:space="0"/>
            </w:tcBorders>
            <w:vAlign w:val="center"/>
          </w:tcPr>
          <w:p w14:paraId="50D20A7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Hard</w:t>
            </w:r>
          </w:p>
        </w:tc>
        <w:tc>
          <w:tcPr>
            <w:tcW w:w="2750" w:type="dxa"/>
            <w:tcBorders>
              <w:bottom w:val="single" w:color="000000" w:sz="8" w:space="0"/>
            </w:tcBorders>
            <w:vAlign w:val="center"/>
          </w:tcPr>
          <w:p w14:paraId="6DD725D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Fully covered with mold</w:t>
            </w:r>
          </w:p>
        </w:tc>
      </w:tr>
      <w:tr w14:paraId="7C4BBBD5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restart"/>
            <w:tcBorders>
              <w:top w:val="single" w:color="000000" w:sz="8" w:space="0"/>
            </w:tcBorders>
            <w:vAlign w:val="center"/>
          </w:tcPr>
          <w:p w14:paraId="00CEA018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Am3</w:t>
            </w:r>
          </w:p>
        </w:tc>
        <w:tc>
          <w:tcPr>
            <w:tcW w:w="1813" w:type="dxa"/>
            <w:tcBorders>
              <w:top w:val="single" w:color="000000" w:sz="8" w:space="0"/>
            </w:tcBorders>
            <w:vAlign w:val="center"/>
          </w:tcPr>
          <w:p w14:paraId="2FF5FEBA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2512" w:type="dxa"/>
            <w:tcBorders>
              <w:top w:val="single" w:color="000000" w:sz="8" w:space="0"/>
            </w:tcBorders>
            <w:vAlign w:val="center"/>
          </w:tcPr>
          <w:p w14:paraId="4A134ED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Fragrant</w:t>
            </w:r>
          </w:p>
        </w:tc>
        <w:tc>
          <w:tcPr>
            <w:tcW w:w="1950" w:type="dxa"/>
            <w:tcBorders>
              <w:top w:val="single" w:color="000000" w:sz="8" w:space="0"/>
            </w:tcBorders>
            <w:vAlign w:val="center"/>
          </w:tcPr>
          <w:p w14:paraId="526F499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tcBorders>
              <w:top w:val="single" w:color="000000" w:sz="8" w:space="0"/>
            </w:tcBorders>
            <w:vAlign w:val="center"/>
          </w:tcPr>
          <w:p w14:paraId="26ECEEE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compact</w:t>
            </w:r>
          </w:p>
        </w:tc>
        <w:tc>
          <w:tcPr>
            <w:tcW w:w="2750" w:type="dxa"/>
            <w:tcBorders>
              <w:top w:val="single" w:color="000000" w:sz="8" w:space="0"/>
            </w:tcBorders>
            <w:vAlign w:val="center"/>
          </w:tcPr>
          <w:p w14:paraId="33648D4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2734D7F0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3F3A58C5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4F41A398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512" w:type="dxa"/>
            <w:vAlign w:val="center"/>
          </w:tcPr>
          <w:p w14:paraId="5C1410B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Wine-like aroma</w:t>
            </w:r>
          </w:p>
        </w:tc>
        <w:tc>
          <w:tcPr>
            <w:tcW w:w="1950" w:type="dxa"/>
            <w:vAlign w:val="center"/>
          </w:tcPr>
          <w:p w14:paraId="6FA8CB7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78F8505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10F7BE9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59A51D0B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1E0558C6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1AB7FCE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2512" w:type="dxa"/>
            <w:vAlign w:val="center"/>
          </w:tcPr>
          <w:p w14:paraId="1AEC989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Wine-like aroma</w:t>
            </w:r>
          </w:p>
        </w:tc>
        <w:tc>
          <w:tcPr>
            <w:tcW w:w="1950" w:type="dxa"/>
            <w:vAlign w:val="center"/>
          </w:tcPr>
          <w:p w14:paraId="7AE4B68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68BD0D1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12A4B7F4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Minor visible mycelia</w:t>
            </w:r>
          </w:p>
        </w:tc>
      </w:tr>
      <w:tr w14:paraId="3C2ADD52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3D316134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60804DC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2512" w:type="dxa"/>
            <w:vAlign w:val="center"/>
          </w:tcPr>
          <w:p w14:paraId="3BCEBDF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Toasted aroma</w:t>
            </w:r>
          </w:p>
        </w:tc>
        <w:tc>
          <w:tcPr>
            <w:tcW w:w="1950" w:type="dxa"/>
            <w:vAlign w:val="center"/>
          </w:tcPr>
          <w:p w14:paraId="5081DCB8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Surface blackened</w:t>
            </w:r>
          </w:p>
        </w:tc>
        <w:tc>
          <w:tcPr>
            <w:tcW w:w="2363" w:type="dxa"/>
            <w:vAlign w:val="center"/>
          </w:tcPr>
          <w:p w14:paraId="48EA3958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</w:t>
            </w:r>
          </w:p>
        </w:tc>
        <w:tc>
          <w:tcPr>
            <w:tcW w:w="2750" w:type="dxa"/>
            <w:vAlign w:val="center"/>
          </w:tcPr>
          <w:p w14:paraId="3FDA946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Trace mycelia</w:t>
            </w:r>
          </w:p>
        </w:tc>
      </w:tr>
      <w:tr w14:paraId="10220AFE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4F971723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vAlign w:val="center"/>
          </w:tcPr>
          <w:p w14:paraId="2226E9D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512" w:type="dxa"/>
            <w:vAlign w:val="center"/>
          </w:tcPr>
          <w:p w14:paraId="3332B72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Toasted aroma</w:t>
            </w:r>
          </w:p>
        </w:tc>
        <w:tc>
          <w:tcPr>
            <w:tcW w:w="1950" w:type="dxa"/>
            <w:vAlign w:val="center"/>
          </w:tcPr>
          <w:p w14:paraId="295FC214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Surface blackened</w:t>
            </w:r>
          </w:p>
        </w:tc>
        <w:tc>
          <w:tcPr>
            <w:tcW w:w="2363" w:type="dxa"/>
            <w:vAlign w:val="center"/>
          </w:tcPr>
          <w:p w14:paraId="6204AFE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</w:t>
            </w:r>
          </w:p>
        </w:tc>
        <w:tc>
          <w:tcPr>
            <w:tcW w:w="2750" w:type="dxa"/>
            <w:vAlign w:val="center"/>
          </w:tcPr>
          <w:p w14:paraId="6A8524E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Minimal/Near absence</w:t>
            </w:r>
          </w:p>
        </w:tc>
      </w:tr>
      <w:tr w14:paraId="77EBA29C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tcBorders>
              <w:bottom w:val="single" w:color="000000" w:sz="8" w:space="0"/>
            </w:tcBorders>
            <w:vAlign w:val="center"/>
          </w:tcPr>
          <w:p w14:paraId="662AAAE1">
            <w:pPr>
              <w:shd w:val="clear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13" w:type="dxa"/>
            <w:tcBorders>
              <w:bottom w:val="single" w:color="000000" w:sz="8" w:space="0"/>
            </w:tcBorders>
            <w:vAlign w:val="center"/>
          </w:tcPr>
          <w:p w14:paraId="1B68E97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2512" w:type="dxa"/>
            <w:tcBorders>
              <w:bottom w:val="single" w:color="000000" w:sz="8" w:space="0"/>
            </w:tcBorders>
            <w:vAlign w:val="center"/>
          </w:tcPr>
          <w:p w14:paraId="4D99EBE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Pleasant toasted aroma</w:t>
            </w:r>
          </w:p>
        </w:tc>
        <w:tc>
          <w:tcPr>
            <w:tcW w:w="1950" w:type="dxa"/>
            <w:tcBorders>
              <w:bottom w:val="single" w:color="000000" w:sz="8" w:space="0"/>
            </w:tcBorders>
            <w:vAlign w:val="center"/>
          </w:tcPr>
          <w:p w14:paraId="79CC9C34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Surface blackened</w:t>
            </w:r>
          </w:p>
        </w:tc>
        <w:tc>
          <w:tcPr>
            <w:tcW w:w="2363" w:type="dxa"/>
            <w:tcBorders>
              <w:bottom w:val="single" w:color="000000" w:sz="8" w:space="0"/>
            </w:tcBorders>
            <w:vAlign w:val="center"/>
          </w:tcPr>
          <w:p w14:paraId="39B9120E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</w:t>
            </w:r>
          </w:p>
        </w:tc>
        <w:tc>
          <w:tcPr>
            <w:tcW w:w="2750" w:type="dxa"/>
            <w:tcBorders>
              <w:bottom w:val="single" w:color="000000" w:sz="8" w:space="0"/>
            </w:tcBorders>
            <w:vAlign w:val="center"/>
          </w:tcPr>
          <w:p w14:paraId="298EB08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 obvious mold</w:t>
            </w:r>
          </w:p>
        </w:tc>
      </w:tr>
      <w:tr w14:paraId="7AFC882B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restart"/>
            <w:tcBorders>
              <w:top w:val="single" w:color="000000" w:sz="8" w:space="0"/>
            </w:tcBorders>
            <w:vAlign w:val="center"/>
          </w:tcPr>
          <w:p w14:paraId="1E0EFF4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Am5</w:t>
            </w:r>
          </w:p>
        </w:tc>
        <w:tc>
          <w:tcPr>
            <w:tcW w:w="1813" w:type="dxa"/>
            <w:tcBorders>
              <w:top w:val="single" w:color="000000" w:sz="8" w:space="0"/>
            </w:tcBorders>
            <w:vAlign w:val="center"/>
          </w:tcPr>
          <w:p w14:paraId="1C0ED3D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2512" w:type="dxa"/>
            <w:tcBorders>
              <w:top w:val="single" w:color="000000" w:sz="8" w:space="0"/>
            </w:tcBorders>
            <w:vAlign w:val="center"/>
          </w:tcPr>
          <w:p w14:paraId="786F2867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Fragrant</w:t>
            </w:r>
          </w:p>
        </w:tc>
        <w:tc>
          <w:tcPr>
            <w:tcW w:w="1950" w:type="dxa"/>
            <w:tcBorders>
              <w:top w:val="single" w:color="000000" w:sz="8" w:space="0"/>
            </w:tcBorders>
            <w:vAlign w:val="center"/>
          </w:tcPr>
          <w:p w14:paraId="4ED1D42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tcBorders>
              <w:top w:val="single" w:color="000000" w:sz="8" w:space="0"/>
            </w:tcBorders>
            <w:vAlign w:val="center"/>
          </w:tcPr>
          <w:p w14:paraId="642B52A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compact</w:t>
            </w:r>
          </w:p>
        </w:tc>
        <w:tc>
          <w:tcPr>
            <w:tcW w:w="2750" w:type="dxa"/>
            <w:tcBorders>
              <w:top w:val="single" w:color="000000" w:sz="8" w:space="0"/>
            </w:tcBorders>
            <w:vAlign w:val="center"/>
          </w:tcPr>
          <w:p w14:paraId="4C7351F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27A99841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0E7FCDD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813" w:type="dxa"/>
            <w:vAlign w:val="center"/>
          </w:tcPr>
          <w:p w14:paraId="3E8B686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512" w:type="dxa"/>
            <w:vAlign w:val="center"/>
          </w:tcPr>
          <w:p w14:paraId="6D4BE9B8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Wine-like aroma</w:t>
            </w:r>
          </w:p>
        </w:tc>
        <w:tc>
          <w:tcPr>
            <w:tcW w:w="1950" w:type="dxa"/>
            <w:vAlign w:val="center"/>
          </w:tcPr>
          <w:p w14:paraId="7FCE15E7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0CBA195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29BD441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None</w:t>
            </w:r>
          </w:p>
        </w:tc>
      </w:tr>
      <w:tr w14:paraId="52E36941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3258A67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813" w:type="dxa"/>
            <w:vAlign w:val="center"/>
          </w:tcPr>
          <w:p w14:paraId="3C81BCA4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2512" w:type="dxa"/>
            <w:vAlign w:val="center"/>
          </w:tcPr>
          <w:p w14:paraId="0E60C11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Wine-like aroma</w:t>
            </w:r>
          </w:p>
        </w:tc>
        <w:tc>
          <w:tcPr>
            <w:tcW w:w="1950" w:type="dxa"/>
            <w:vAlign w:val="center"/>
          </w:tcPr>
          <w:p w14:paraId="3FC8EC2A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Dark brown</w:t>
            </w:r>
          </w:p>
        </w:tc>
        <w:tc>
          <w:tcPr>
            <w:tcW w:w="2363" w:type="dxa"/>
            <w:vAlign w:val="center"/>
          </w:tcPr>
          <w:p w14:paraId="55FBA095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 and loose</w:t>
            </w:r>
          </w:p>
        </w:tc>
        <w:tc>
          <w:tcPr>
            <w:tcW w:w="2750" w:type="dxa"/>
            <w:vAlign w:val="center"/>
          </w:tcPr>
          <w:p w14:paraId="6DE36E6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Minor visible mycelia</w:t>
            </w:r>
          </w:p>
        </w:tc>
      </w:tr>
      <w:tr w14:paraId="23A59579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7BC5DE2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813" w:type="dxa"/>
            <w:vAlign w:val="center"/>
          </w:tcPr>
          <w:p w14:paraId="117C26F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2512" w:type="dxa"/>
            <w:vAlign w:val="center"/>
          </w:tcPr>
          <w:p w14:paraId="7DC64CEB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Toasted aroma</w:t>
            </w:r>
          </w:p>
        </w:tc>
        <w:tc>
          <w:tcPr>
            <w:tcW w:w="1950" w:type="dxa"/>
            <w:vAlign w:val="center"/>
          </w:tcPr>
          <w:p w14:paraId="30752D2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Surface blackened</w:t>
            </w:r>
          </w:p>
        </w:tc>
        <w:tc>
          <w:tcPr>
            <w:tcW w:w="2363" w:type="dxa"/>
            <w:vAlign w:val="center"/>
          </w:tcPr>
          <w:p w14:paraId="7B9D2B89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</w:t>
            </w:r>
          </w:p>
        </w:tc>
        <w:tc>
          <w:tcPr>
            <w:tcW w:w="2750" w:type="dxa"/>
            <w:vAlign w:val="center"/>
          </w:tcPr>
          <w:p w14:paraId="42555EE4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Trace mycelia</w:t>
            </w:r>
          </w:p>
        </w:tc>
      </w:tr>
      <w:tr w14:paraId="2311DA41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41F3A9CA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813" w:type="dxa"/>
            <w:vAlign w:val="center"/>
          </w:tcPr>
          <w:p w14:paraId="12EF3D32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512" w:type="dxa"/>
            <w:vAlign w:val="center"/>
          </w:tcPr>
          <w:p w14:paraId="3F7062CC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Toasted aroma</w:t>
            </w:r>
          </w:p>
        </w:tc>
        <w:tc>
          <w:tcPr>
            <w:tcW w:w="1950" w:type="dxa"/>
            <w:vAlign w:val="center"/>
          </w:tcPr>
          <w:p w14:paraId="6B0B77E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Surface blackened</w:t>
            </w:r>
          </w:p>
        </w:tc>
        <w:tc>
          <w:tcPr>
            <w:tcW w:w="2363" w:type="dxa"/>
            <w:vAlign w:val="center"/>
          </w:tcPr>
          <w:p w14:paraId="39E51FF8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</w:t>
            </w:r>
          </w:p>
        </w:tc>
        <w:tc>
          <w:tcPr>
            <w:tcW w:w="2750" w:type="dxa"/>
            <w:vAlign w:val="center"/>
          </w:tcPr>
          <w:p w14:paraId="72F9DCA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Minimal/Near absence</w:t>
            </w:r>
          </w:p>
        </w:tc>
      </w:tr>
      <w:tr w14:paraId="09A30714"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vMerge w:val="continue"/>
            <w:vAlign w:val="center"/>
          </w:tcPr>
          <w:p w14:paraId="24F81351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813" w:type="dxa"/>
            <w:vAlign w:val="center"/>
          </w:tcPr>
          <w:p w14:paraId="0EF4F216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30</w:t>
            </w:r>
          </w:p>
        </w:tc>
        <w:tc>
          <w:tcPr>
            <w:tcW w:w="2512" w:type="dxa"/>
            <w:vAlign w:val="center"/>
          </w:tcPr>
          <w:p w14:paraId="3652497F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Pleasant toasted aroma</w:t>
            </w:r>
          </w:p>
        </w:tc>
        <w:tc>
          <w:tcPr>
            <w:tcW w:w="1950" w:type="dxa"/>
            <w:vAlign w:val="center"/>
          </w:tcPr>
          <w:p w14:paraId="08EB2030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Surface blackened</w:t>
            </w:r>
          </w:p>
        </w:tc>
        <w:tc>
          <w:tcPr>
            <w:tcW w:w="2363" w:type="dxa"/>
            <w:vAlign w:val="center"/>
          </w:tcPr>
          <w:p w14:paraId="7BD13F13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Soft</w:t>
            </w:r>
          </w:p>
        </w:tc>
        <w:tc>
          <w:tcPr>
            <w:tcW w:w="2750" w:type="dxa"/>
            <w:vAlign w:val="center"/>
          </w:tcPr>
          <w:p w14:paraId="277EF59D">
            <w:pPr>
              <w:keepNext w:val="0"/>
              <w:keepLines w:val="0"/>
              <w:widowControl/>
              <w:suppressLineNumbers w:val="0"/>
              <w:shd w:val="clear"/>
              <w:spacing w:line="315" w:lineRule="atLeast"/>
              <w:jc w:val="left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2B2D31"/>
                <w:spacing w:val="0"/>
                <w:kern w:val="0"/>
                <w:sz w:val="21"/>
                <w:szCs w:val="21"/>
                <w:lang w:val="en-US" w:eastAsia="zh-CN" w:bidi="ar"/>
              </w:rPr>
              <w:t>No obvious mold</w:t>
            </w:r>
          </w:p>
        </w:tc>
      </w:tr>
    </w:tbl>
    <w:p w14:paraId="0FDFD5C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default" w:eastAsia="宋体" w:cs="Times New Roman"/>
          <w:b w:val="0"/>
          <w:bCs w:val="0"/>
          <w:sz w:val="21"/>
          <w:szCs w:val="21"/>
          <w:lang w:val="en-US" w:eastAsia="zh-CN"/>
        </w:rPr>
      </w:pPr>
    </w:p>
    <w:sectPr>
      <w:pgSz w:w="16838" w:h="11906" w:orient="landscape"/>
      <w:pgMar w:top="1417" w:right="1440" w:bottom="1417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1" w:restart="continuous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7E64E6FF-4993-4BB1-B1D8-4BD7FAA2A5B5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271F28"/>
    <w:rsid w:val="045D1075"/>
    <w:rsid w:val="0999200E"/>
    <w:rsid w:val="0FE00240"/>
    <w:rsid w:val="17F87CDE"/>
    <w:rsid w:val="1D3F35B6"/>
    <w:rsid w:val="233A2855"/>
    <w:rsid w:val="275E6995"/>
    <w:rsid w:val="27761834"/>
    <w:rsid w:val="2903193C"/>
    <w:rsid w:val="30271F28"/>
    <w:rsid w:val="36C721FA"/>
    <w:rsid w:val="3F5E6BF1"/>
    <w:rsid w:val="438908A6"/>
    <w:rsid w:val="4A505D20"/>
    <w:rsid w:val="4ACA0363"/>
    <w:rsid w:val="4D3A24C7"/>
    <w:rsid w:val="4E117E8A"/>
    <w:rsid w:val="4FCD41D5"/>
    <w:rsid w:val="5385406C"/>
    <w:rsid w:val="550506BF"/>
    <w:rsid w:val="5B604BCC"/>
    <w:rsid w:val="5E432678"/>
    <w:rsid w:val="64F953C5"/>
    <w:rsid w:val="685D5D61"/>
    <w:rsid w:val="697D65C5"/>
    <w:rsid w:val="70EA4372"/>
    <w:rsid w:val="73D2077D"/>
    <w:rsid w:val="77CE4490"/>
    <w:rsid w:val="78876DD2"/>
    <w:rsid w:val="7B5D0004"/>
    <w:rsid w:val="7C8F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Times New Roman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  <w:style w:type="paragraph" w:customStyle="1" w:styleId="6">
    <w:name w:val="不缩进"/>
    <w:basedOn w:val="1"/>
    <w:qFormat/>
    <w:uiPriority w:val="0"/>
    <w:pPr>
      <w:ind w:firstLine="480"/>
    </w:pPr>
    <w:rPr>
      <w:rFonts w:eastAsia="等线" w:cs="Times New Roman"/>
      <w:bCs/>
    </w:rPr>
  </w:style>
  <w:style w:type="character" w:customStyle="1" w:styleId="7">
    <w:name w:val="font3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  <w:vertAlign w:val="superscript"/>
    </w:rPr>
  </w:style>
  <w:style w:type="paragraph" w:customStyle="1" w:styleId="8">
    <w:name w:val="tubiao"/>
    <w:basedOn w:val="1"/>
    <w:next w:val="6"/>
    <w:autoRedefine/>
    <w:qFormat/>
    <w:uiPriority w:val="0"/>
    <w:rPr>
      <w:rFonts w:cs="Calibri" w:eastAsiaTheme="minorEastAsia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116</Words>
  <Characters>650</Characters>
  <Lines>0</Lines>
  <Paragraphs>0</Paragraphs>
  <TotalTime>0</TotalTime>
  <ScaleCrop>false</ScaleCrop>
  <LinksUpToDate>false</LinksUpToDate>
  <CharactersWithSpaces>748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2026-02-03T12:07:00Z</dcterms:created>
  <dc:creator>李辉</dc:creator>
  <cp:lastModifiedBy>WPS_1601511432</cp:lastModifiedBy>
  <dcterms:modified xsi:type="dcterms:W3CDTF">2026-08-05T08:24:48Z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2ECF4F28B3B8420783165F229514286C_11</vt:lpwstr>
  </property>
  <property fmtid="{D5CDD505-2E9C-101B-9397-08002B2CF9AE}" pid="4" name="KSOTemplateDocerSaveRecord">
    <vt:lpwstr>eyJoZGlkIjoiM2VmNjg5MTQ3ZjQ0NGZhYTkyYmExNTQ1NmJiMjU1YjMiLCJ1c2VySWQiOiIxMTI2MjcwNzM5In0=</vt:lpwstr>
  </property>
</Properties>
</file>