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6AF76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1 </w:t>
      </w:r>
      <w:r>
        <w:rPr>
          <w:rFonts w:hint="eastAsia" w:ascii="Times New Roman" w:hAnsi="Times New Roman" w:cs="Times New Roman"/>
          <w:b/>
          <w:bCs/>
          <w:sz w:val="24"/>
          <w:szCs w:val="24"/>
        </w:rPr>
        <w:t>Materials and Methods</w:t>
      </w:r>
    </w:p>
    <w:p w14:paraId="5606334F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</w:rPr>
        <w:t>1</w:t>
      </w: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 xml:space="preserve">.1 </w:t>
      </w: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</w:rPr>
        <w:t>Materials</w:t>
      </w:r>
    </w:p>
    <w:p w14:paraId="11232036">
      <w:pPr>
        <w:spacing w:line="480" w:lineRule="auto"/>
        <w:ind w:firstLine="480" w:firstLineChars="20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 xml:space="preserve">All materials were purchased from Sinopharm Group Chemical reagent Co., Ltd. </w:t>
      </w:r>
      <w:r>
        <w:rPr>
          <w:rFonts w:hint="eastAsia" w:ascii="Times New Roman" w:hAnsi="Times New Roman" w:cs="Times New Roman"/>
          <w:color w:val="auto"/>
          <w:sz w:val="24"/>
          <w:szCs w:val="24"/>
        </w:rPr>
        <w:t>(Shanghai, China).</w:t>
      </w:r>
      <w:r>
        <w:rPr>
          <w:rFonts w:ascii="Times New Roman" w:hAnsi="Times New Roman" w:eastAsia="宋体" w:cs="Times New Roman"/>
          <w:color w:val="auto"/>
          <w:sz w:val="24"/>
        </w:rPr>
        <w:t xml:space="preserve"> Millipore water was used for all experiments.</w:t>
      </w:r>
    </w:p>
    <w:p w14:paraId="6291D094">
      <w:pPr>
        <w:spacing w:line="480" w:lineRule="auto"/>
        <w:rPr>
          <w:rFonts w:ascii="Times New Roman" w:hAnsi="Times New Roman" w:eastAsia="宋体" w:cs="Times New Roman"/>
          <w:b/>
          <w:bCs/>
          <w:i/>
          <w:iCs/>
          <w:color w:val="auto"/>
          <w:sz w:val="24"/>
          <w:szCs w:val="24"/>
        </w:rPr>
      </w:pPr>
      <w:bookmarkStart w:id="0" w:name="_Hlk219269412"/>
      <w:r>
        <w:rPr>
          <w:rFonts w:hint="eastAsia" w:ascii="Times New Roman" w:hAnsi="Times New Roman" w:eastAsia="宋体" w:cs="Times New Roman"/>
          <w:b/>
          <w:bCs/>
          <w:i/>
          <w:iCs/>
          <w:color w:val="auto"/>
          <w:sz w:val="24"/>
          <w:szCs w:val="24"/>
          <w:lang w:val="en-US" w:eastAsia="zh-CN"/>
        </w:rPr>
        <w:t>1.2</w:t>
      </w:r>
      <w:r>
        <w:rPr>
          <w:rFonts w:hint="eastAsia" w:ascii="Times New Roman" w:hAnsi="Times New Roman" w:eastAsia="宋体" w:cs="Times New Roman"/>
          <w:b/>
          <w:bCs/>
          <w:i/>
          <w:iCs/>
          <w:color w:val="auto"/>
          <w:sz w:val="24"/>
          <w:szCs w:val="24"/>
        </w:rPr>
        <w:t xml:space="preserve"> Determination of the carboxyl content in the sample</w:t>
      </w:r>
    </w:p>
    <w:p w14:paraId="68B4C668">
      <w:pPr>
        <w:spacing w:line="480" w:lineRule="auto"/>
        <w:ind w:firstLine="480" w:firstLineChars="200"/>
        <w:rPr>
          <w:rFonts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Following the method of Ruan et al. [1] and making some modifications, the carboxyl content in each SPI sample (1 mg</w:t>
      </w:r>
      <w:r>
        <w:rPr>
          <w:rFonts w:ascii="Times New Roman" w:hAnsi="Times New Roman" w:cs="Times New Roman"/>
          <w:color w:val="auto"/>
          <w:sz w:val="24"/>
          <w:szCs w:val="24"/>
        </w:rPr>
        <w:t>‧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mL</w:t>
      </w:r>
      <w:r>
        <w:rPr>
          <w:rFonts w:hint="eastAsia" w:ascii="微软雅黑" w:hAnsi="微软雅黑" w:eastAsia="微软雅黑" w:cs="微软雅黑"/>
          <w:color w:val="auto"/>
          <w:sz w:val="24"/>
          <w:szCs w:val="24"/>
          <w:vertAlign w:val="superscript"/>
        </w:rPr>
        <w:t>-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vertAlign w:val="superscript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) was determined by the conductivity titration method.</w:t>
      </w:r>
    </w:p>
    <w:bookmarkEnd w:id="0"/>
    <w:p w14:paraId="6688759C">
      <w:pPr>
        <w:spacing w:line="480" w:lineRule="auto"/>
        <w:rPr>
          <w:rFonts w:ascii="Times New Roman" w:hAnsi="Times New Roman" w:eastAsia="宋体" w:cs="Times New Roman"/>
          <w:b/>
          <w:bCs/>
          <w:i/>
          <w:iCs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/>
          <w:i/>
          <w:iCs/>
          <w:sz w:val="24"/>
          <w:szCs w:val="24"/>
          <w:lang w:val="en-US" w:eastAsia="zh-CN"/>
        </w:rPr>
        <w:t>1.</w:t>
      </w:r>
      <w:r>
        <w:rPr>
          <w:rFonts w:hint="eastAsia" w:ascii="Times New Roman" w:hAnsi="Times New Roman" w:eastAsia="宋体" w:cs="Times New Roman"/>
          <w:b/>
          <w:bCs/>
          <w:i/>
          <w:iCs/>
          <w:sz w:val="24"/>
          <w:szCs w:val="24"/>
        </w:rPr>
        <w:t xml:space="preserve">3 </w:t>
      </w: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</w:rPr>
        <w:t>Determination of samples by frozen scanning electron microscopy</w:t>
      </w:r>
    </w:p>
    <w:p w14:paraId="5FDAF89F">
      <w:pPr>
        <w:spacing w:line="48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The O/W emulsions of different treated proteins were prepared according to the method in </w:t>
      </w:r>
      <w:r>
        <w:rPr>
          <w:rFonts w:hint="eastAsia" w:ascii="Times New Roman" w:hAnsi="Times New Roman" w:eastAsia="宋体" w:cs="Times New Roman"/>
          <w:sz w:val="24"/>
          <w:szCs w:val="24"/>
        </w:rPr>
        <w:t>manuscript</w:t>
      </w:r>
      <w:r>
        <w:rPr>
          <w:rFonts w:ascii="Times New Roman" w:hAnsi="Times New Roman" w:eastAsia="宋体" w:cs="Times New Roman"/>
          <w:sz w:val="24"/>
          <w:szCs w:val="24"/>
        </w:rPr>
        <w:t xml:space="preserve"> 2.4.2.3, and the surface morphology of the samples was observed and images were taken using a cryo</w:t>
      </w:r>
      <w:r>
        <w:rPr>
          <w:rFonts w:hint="eastAsia" w:ascii="Times New Roman" w:hAnsi="Times New Roman" w:eastAsia="宋体" w:cs="Times New Roman"/>
          <w:sz w:val="24"/>
          <w:szCs w:val="24"/>
        </w:rPr>
        <w:t>-</w:t>
      </w:r>
      <w:r>
        <w:rPr>
          <w:rFonts w:ascii="Times New Roman" w:hAnsi="Times New Roman" w:eastAsia="宋体" w:cs="Times New Roman"/>
          <w:sz w:val="24"/>
          <w:szCs w:val="24"/>
        </w:rPr>
        <w:t>scanning electron microscope (Gemini 30, ZEISS, Germany).</w:t>
      </w:r>
    </w:p>
    <w:p w14:paraId="102FA2D3">
      <w:pPr>
        <w:rPr>
          <w:rFonts w:ascii="Times New Roman" w:hAnsi="Times New Roman" w:eastAsia="宋体" w:cs="Times New Roman"/>
          <w:b/>
          <w:bCs/>
          <w:color w:val="auto"/>
          <w:sz w:val="24"/>
          <w:szCs w:val="24"/>
        </w:rPr>
      </w:pPr>
      <w:bookmarkStart w:id="1" w:name="_Hlk219270316"/>
      <w:r>
        <w:rPr>
          <w:rFonts w:ascii="Times New Roman" w:hAnsi="Times New Roman" w:eastAsia="宋体" w:cs="Times New Roman"/>
          <w:b/>
          <w:bCs/>
          <w:color w:val="auto"/>
          <w:sz w:val="24"/>
          <w:szCs w:val="24"/>
        </w:rPr>
        <w:t>R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>eferences</w:t>
      </w:r>
    </w:p>
    <w:p w14:paraId="69AF0F92">
      <w:pPr>
        <w:spacing w:line="48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[1] Ruan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C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Q, Strømme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M, Mihranyan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 xml:space="preserve">A ,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et al.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 xml:space="preserve"> Favored surface-limited oxidation of cellulose with Oxone® in water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 xml:space="preserve"> RSC Advances, 2017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,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 xml:space="preserve"> 7(64)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 xml:space="preserve">: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40600</w:t>
      </w:r>
      <w:bookmarkStart w:id="2" w:name="_Hlk229131842"/>
      <w:r>
        <w:rPr>
          <w:rFonts w:ascii="Times New Roman" w:hAnsi="Times New Roman" w:cs="Times New Roman"/>
          <w:color w:val="auto"/>
          <w:sz w:val="24"/>
          <w:szCs w:val="24"/>
        </w:rPr>
        <w:t>–</w:t>
      </w:r>
      <w:bookmarkEnd w:id="2"/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 xml:space="preserve">40607. </w:t>
      </w:r>
      <w:bookmarkEnd w:id="1"/>
      <w:r>
        <w:rPr>
          <w:rFonts w:ascii="Times New Roman" w:hAnsi="Times New Roman" w:eastAsia="宋体" w:cs="Times New Roman"/>
          <w:sz w:val="24"/>
          <w:szCs w:val="24"/>
        </w:rPr>
        <w:br w:type="page"/>
      </w:r>
    </w:p>
    <w:p w14:paraId="187B7E37">
      <w:pPr>
        <w:spacing w:line="480" w:lineRule="auto"/>
        <w:jc w:val="both"/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val="en-US" w:eastAsia="zh-CN"/>
        </w:rPr>
      </w:pPr>
      <w:bookmarkStart w:id="3" w:name="_Hlk219266952"/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>Table S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 xml:space="preserve">Design and results of response surface </w:t>
      </w:r>
      <w:r>
        <w:rPr>
          <w:rFonts w:ascii="Times New Roman" w:hAnsi="Times New Roman" w:eastAsia="宋体" w:cs="Times New Roman"/>
          <w:color w:val="auto"/>
          <w:sz w:val="24"/>
          <w:szCs w:val="24"/>
        </w:rPr>
        <w:t>experiment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.</w:t>
      </w:r>
    </w:p>
    <w:tbl>
      <w:tblPr>
        <w:tblStyle w:val="15"/>
        <w:tblW w:w="5000" w:type="pct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557"/>
        <w:gridCol w:w="873"/>
        <w:gridCol w:w="435"/>
        <w:gridCol w:w="1019"/>
        <w:gridCol w:w="581"/>
        <w:gridCol w:w="1165"/>
        <w:gridCol w:w="1456"/>
        <w:gridCol w:w="1392"/>
      </w:tblGrid>
      <w:tr w14:paraId="696EEE5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612" w:type="pct"/>
            <w:vMerge w:val="restart"/>
            <w:tcBorders>
              <w:bottom w:val="single" w:color="auto" w:sz="4" w:space="0"/>
            </w:tcBorders>
            <w:vAlign w:val="center"/>
          </w:tcPr>
          <w:p w14:paraId="59672C9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Test number</w:t>
            </w:r>
          </w:p>
        </w:tc>
        <w:tc>
          <w:tcPr>
            <w:tcW w:w="1094" w:type="pct"/>
            <w:gridSpan w:val="3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627374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Factors and codes</w:t>
            </w:r>
          </w:p>
        </w:tc>
        <w:tc>
          <w:tcPr>
            <w:tcW w:w="1622" w:type="pct"/>
            <w:gridSpan w:val="3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97FCFF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Real factors and levels</w:t>
            </w:r>
          </w:p>
        </w:tc>
        <w:tc>
          <w:tcPr>
            <w:tcW w:w="854" w:type="pct"/>
            <w:vMerge w:val="restart"/>
            <w:tcBorders>
              <w:bottom w:val="single" w:color="auto" w:sz="4" w:space="0"/>
            </w:tcBorders>
            <w:vAlign w:val="center"/>
          </w:tcPr>
          <w:p w14:paraId="075A33A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DD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(%)</w:t>
            </w:r>
          </w:p>
        </w:tc>
        <w:tc>
          <w:tcPr>
            <w:tcW w:w="817" w:type="pct"/>
            <w:vMerge w:val="restart"/>
            <w:tcBorders>
              <w:bottom w:val="single" w:color="auto" w:sz="4" w:space="0"/>
            </w:tcBorders>
            <w:vAlign w:val="center"/>
          </w:tcPr>
          <w:p w14:paraId="2A7BC63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DH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(%)</w:t>
            </w:r>
          </w:p>
        </w:tc>
      </w:tr>
      <w:tr w14:paraId="30D929C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Merge w:val="continue"/>
            <w:tcBorders>
              <w:bottom w:val="single" w:color="auto" w:sz="4" w:space="0"/>
            </w:tcBorders>
            <w:vAlign w:val="center"/>
          </w:tcPr>
          <w:p w14:paraId="5FBA3D5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327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D04C9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  <w:t>A</w:t>
            </w:r>
          </w:p>
        </w:tc>
        <w:tc>
          <w:tcPr>
            <w:tcW w:w="51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16D46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  <w:t>B</w:t>
            </w:r>
          </w:p>
        </w:tc>
        <w:tc>
          <w:tcPr>
            <w:tcW w:w="25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DE8EC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  <w:t>C</w:t>
            </w:r>
          </w:p>
        </w:tc>
        <w:tc>
          <w:tcPr>
            <w:tcW w:w="5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18B76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T/℃</w:t>
            </w:r>
          </w:p>
        </w:tc>
        <w:tc>
          <w:tcPr>
            <w:tcW w:w="34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40874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pH</w:t>
            </w:r>
          </w:p>
        </w:tc>
        <w:tc>
          <w:tcPr>
            <w:tcW w:w="68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92CAD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E/S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(U/g)</w:t>
            </w:r>
          </w:p>
        </w:tc>
        <w:tc>
          <w:tcPr>
            <w:tcW w:w="854" w:type="pct"/>
            <w:vMerge w:val="continue"/>
            <w:tcBorders>
              <w:bottom w:val="single" w:color="auto" w:sz="4" w:space="0"/>
            </w:tcBorders>
            <w:vAlign w:val="center"/>
          </w:tcPr>
          <w:p w14:paraId="3E7D8E3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817" w:type="pct"/>
            <w:vMerge w:val="continue"/>
            <w:tcBorders>
              <w:bottom w:val="single" w:color="auto" w:sz="4" w:space="0"/>
            </w:tcBorders>
            <w:vAlign w:val="center"/>
          </w:tcPr>
          <w:p w14:paraId="71C5159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4AC220E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tcBorders>
              <w:top w:val="single" w:color="auto" w:sz="4" w:space="0"/>
            </w:tcBorders>
            <w:vAlign w:val="center"/>
          </w:tcPr>
          <w:p w14:paraId="16238F15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6D34D46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1EC60B2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2EA5A70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tcBorders>
              <w:top w:val="single" w:color="auto" w:sz="4" w:space="0"/>
            </w:tcBorders>
            <w:vAlign w:val="center"/>
          </w:tcPr>
          <w:p w14:paraId="2404F68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341" w:type="pct"/>
            <w:tcBorders>
              <w:top w:val="single" w:color="auto" w:sz="4" w:space="0"/>
            </w:tcBorders>
            <w:vAlign w:val="center"/>
          </w:tcPr>
          <w:p w14:paraId="6D71999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683" w:type="pct"/>
            <w:tcBorders>
              <w:top w:val="single" w:color="auto" w:sz="4" w:space="0"/>
            </w:tcBorders>
            <w:vAlign w:val="center"/>
          </w:tcPr>
          <w:p w14:paraId="3A1E10D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tcBorders>
              <w:top w:val="single" w:color="auto" w:sz="4" w:space="0"/>
            </w:tcBorders>
            <w:vAlign w:val="center"/>
          </w:tcPr>
          <w:p w14:paraId="2E780F8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45.07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2.59</w:t>
            </w:r>
          </w:p>
        </w:tc>
        <w:tc>
          <w:tcPr>
            <w:tcW w:w="817" w:type="pct"/>
            <w:tcBorders>
              <w:top w:val="single" w:color="auto" w:sz="4" w:space="0"/>
            </w:tcBorders>
            <w:vAlign w:val="center"/>
          </w:tcPr>
          <w:p w14:paraId="4EF93DB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1.58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0.57</w:t>
            </w:r>
          </w:p>
        </w:tc>
      </w:tr>
      <w:tr w14:paraId="42B2CA0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1474FBF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66F2CF2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0C00F8C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1C54072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vAlign w:val="center"/>
          </w:tcPr>
          <w:p w14:paraId="5EA3A42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60</w:t>
            </w:r>
          </w:p>
        </w:tc>
        <w:tc>
          <w:tcPr>
            <w:tcW w:w="341" w:type="pct"/>
            <w:vAlign w:val="center"/>
          </w:tcPr>
          <w:p w14:paraId="46DE755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683" w:type="pct"/>
            <w:vAlign w:val="center"/>
          </w:tcPr>
          <w:p w14:paraId="5F4780E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vAlign w:val="center"/>
          </w:tcPr>
          <w:p w14:paraId="552863D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45.40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2.13</w:t>
            </w:r>
          </w:p>
        </w:tc>
        <w:tc>
          <w:tcPr>
            <w:tcW w:w="817" w:type="pct"/>
            <w:vAlign w:val="center"/>
          </w:tcPr>
          <w:p w14:paraId="098B5E7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1.00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0.07</w:t>
            </w:r>
          </w:p>
        </w:tc>
      </w:tr>
      <w:tr w14:paraId="0D7AA35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5FFD322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0F78EFB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2D8FE24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03E9294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vAlign w:val="center"/>
          </w:tcPr>
          <w:p w14:paraId="22E1F81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341" w:type="pct"/>
            <w:vAlign w:val="center"/>
          </w:tcPr>
          <w:p w14:paraId="51F8508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683" w:type="pct"/>
            <w:vAlign w:val="center"/>
          </w:tcPr>
          <w:p w14:paraId="3E35CBF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vAlign w:val="center"/>
          </w:tcPr>
          <w:p w14:paraId="30DDBD4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46.38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1.34</w:t>
            </w:r>
          </w:p>
        </w:tc>
        <w:tc>
          <w:tcPr>
            <w:tcW w:w="817" w:type="pct"/>
            <w:vAlign w:val="center"/>
          </w:tcPr>
          <w:p w14:paraId="45B3601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1.84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0.29</w:t>
            </w:r>
          </w:p>
        </w:tc>
      </w:tr>
      <w:tr w14:paraId="49C3819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34D8BE35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7A05D84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4D474AF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4314265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vAlign w:val="center"/>
          </w:tcPr>
          <w:p w14:paraId="7710E44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60</w:t>
            </w:r>
          </w:p>
        </w:tc>
        <w:tc>
          <w:tcPr>
            <w:tcW w:w="341" w:type="pct"/>
            <w:vAlign w:val="center"/>
          </w:tcPr>
          <w:p w14:paraId="5E12427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683" w:type="pct"/>
            <w:vAlign w:val="center"/>
          </w:tcPr>
          <w:p w14:paraId="7D8DDFB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46CC910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42.77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1.69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30E484B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1.72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0.18</w:t>
            </w:r>
          </w:p>
        </w:tc>
      </w:tr>
      <w:tr w14:paraId="2AC4C41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6C508C3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692144C5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3C582B6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1D85251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98" w:type="pct"/>
            <w:vAlign w:val="center"/>
          </w:tcPr>
          <w:p w14:paraId="17EBEE8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341" w:type="pct"/>
            <w:vAlign w:val="center"/>
          </w:tcPr>
          <w:p w14:paraId="512B1D8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7E1834A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01A9EE5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43.31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1.02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6F299EF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1.16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0.10</w:t>
            </w:r>
          </w:p>
        </w:tc>
      </w:tr>
      <w:tr w14:paraId="5F2CDE8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59A2D77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5730731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78BB9C5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506A43F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98" w:type="pct"/>
            <w:vAlign w:val="center"/>
          </w:tcPr>
          <w:p w14:paraId="17BD828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60</w:t>
            </w:r>
          </w:p>
        </w:tc>
        <w:tc>
          <w:tcPr>
            <w:tcW w:w="341" w:type="pct"/>
            <w:vAlign w:val="center"/>
          </w:tcPr>
          <w:p w14:paraId="5C45C9F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7C62D14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7603F0A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42.91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2.04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1035132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0.94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0.08</w:t>
            </w:r>
          </w:p>
        </w:tc>
      </w:tr>
      <w:tr w14:paraId="1C7D985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57623B6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6E8D03F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32DE84C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1D99BDC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98" w:type="pct"/>
            <w:vAlign w:val="center"/>
          </w:tcPr>
          <w:p w14:paraId="2E119D0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50</w:t>
            </w:r>
          </w:p>
        </w:tc>
        <w:tc>
          <w:tcPr>
            <w:tcW w:w="341" w:type="pct"/>
            <w:vAlign w:val="center"/>
          </w:tcPr>
          <w:p w14:paraId="74C228C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57A33135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2AA3B31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46.38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1.02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651973D5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1.13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0.14</w:t>
            </w:r>
          </w:p>
        </w:tc>
      </w:tr>
      <w:tr w14:paraId="4FF95FC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194ABD1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6343FF2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429F798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B069A3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98" w:type="pct"/>
            <w:vAlign w:val="center"/>
          </w:tcPr>
          <w:p w14:paraId="47563BB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60</w:t>
            </w:r>
          </w:p>
        </w:tc>
        <w:tc>
          <w:tcPr>
            <w:tcW w:w="341" w:type="pct"/>
            <w:vAlign w:val="center"/>
          </w:tcPr>
          <w:p w14:paraId="523CD2B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026D638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39909EE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43.42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0.21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7C2C710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0.72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0.06</w:t>
            </w:r>
          </w:p>
        </w:tc>
      </w:tr>
      <w:tr w14:paraId="63E8D4D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2CDD2D4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3C1F465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16DAB5B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5F79670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98" w:type="pct"/>
            <w:vAlign w:val="center"/>
          </w:tcPr>
          <w:p w14:paraId="4F731B1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0DE3122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683" w:type="pct"/>
            <w:vAlign w:val="center"/>
          </w:tcPr>
          <w:p w14:paraId="5B3B4E7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854" w:type="pct"/>
            <w:vAlign w:val="center"/>
          </w:tcPr>
          <w:p w14:paraId="0D3EC45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45.66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0.90</w:t>
            </w:r>
          </w:p>
        </w:tc>
        <w:tc>
          <w:tcPr>
            <w:tcW w:w="817" w:type="pct"/>
            <w:vAlign w:val="center"/>
          </w:tcPr>
          <w:p w14:paraId="3BFFEB0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1.08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0.17</w:t>
            </w:r>
          </w:p>
        </w:tc>
      </w:tr>
      <w:tr w14:paraId="3C54FED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763B3A9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59447D7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338D1AD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474A7155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598" w:type="pct"/>
            <w:vAlign w:val="center"/>
          </w:tcPr>
          <w:p w14:paraId="0DEAA69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7E04D69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683" w:type="pct"/>
            <w:vAlign w:val="center"/>
          </w:tcPr>
          <w:p w14:paraId="1AA9A83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79A615F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44.69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2.61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73A5D7C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1.60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0.15</w:t>
            </w:r>
          </w:p>
        </w:tc>
      </w:tr>
      <w:tr w14:paraId="58183B2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23C11B1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4239999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36C664A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-1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4109EA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98" w:type="pct"/>
            <w:vAlign w:val="center"/>
          </w:tcPr>
          <w:p w14:paraId="3CA459A5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080FE01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683" w:type="pct"/>
            <w:vAlign w:val="center"/>
          </w:tcPr>
          <w:p w14:paraId="6414A15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067DFE9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46.26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4.44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2A9CAFF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1.06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0.14</w:t>
            </w:r>
          </w:p>
        </w:tc>
      </w:tr>
      <w:tr w14:paraId="04737D8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34A3050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6D0431D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54F9A2B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07E4C9A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598" w:type="pct"/>
            <w:vAlign w:val="center"/>
          </w:tcPr>
          <w:p w14:paraId="6F19172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309B482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683" w:type="pct"/>
            <w:vAlign w:val="center"/>
          </w:tcPr>
          <w:p w14:paraId="502BF78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30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41C3DD7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46.54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0.98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12132B5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1.39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0.15</w:t>
            </w:r>
          </w:p>
        </w:tc>
      </w:tr>
      <w:tr w14:paraId="743F152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5DA38FB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66CD39F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6A36AF4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4EEFD14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vAlign w:val="center"/>
          </w:tcPr>
          <w:p w14:paraId="613C3C0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5ED7AAF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12C6981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67C502A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47.11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1.01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0C03437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0.92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0.04</w:t>
            </w:r>
          </w:p>
        </w:tc>
      </w:tr>
      <w:tr w14:paraId="1727497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331C31F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5BB6C49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0DA10DE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76A02FF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vAlign w:val="center"/>
          </w:tcPr>
          <w:p w14:paraId="7A5CDBA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5763E6CB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2E99D21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5E1D75C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47.42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4.46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2B3B25D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0.87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0.04</w:t>
            </w:r>
          </w:p>
        </w:tc>
      </w:tr>
      <w:tr w14:paraId="27FC0A6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593A92C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371DC4B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0C118ECF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18A0504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vAlign w:val="center"/>
          </w:tcPr>
          <w:p w14:paraId="593371C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25A1BB6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489F813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2A2DCFB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46.92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1.08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3A855433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0.93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0.07</w:t>
            </w:r>
          </w:p>
        </w:tc>
      </w:tr>
      <w:tr w14:paraId="709A713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vAlign w:val="center"/>
          </w:tcPr>
          <w:p w14:paraId="0B2733FC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7A0210F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3C523D22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shd w:val="clear" w:color="auto" w:fill="FFFFFF"/>
            <w:vAlign w:val="center"/>
          </w:tcPr>
          <w:p w14:paraId="3A001400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vAlign w:val="center"/>
          </w:tcPr>
          <w:p w14:paraId="300C04E4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vAlign w:val="center"/>
          </w:tcPr>
          <w:p w14:paraId="58245DD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vAlign w:val="center"/>
          </w:tcPr>
          <w:p w14:paraId="0630F81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shd w:val="clear" w:color="auto" w:fill="FFFFFF"/>
            <w:vAlign w:val="center"/>
          </w:tcPr>
          <w:p w14:paraId="1FAA754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46.88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0.66</w:t>
            </w:r>
          </w:p>
        </w:tc>
        <w:tc>
          <w:tcPr>
            <w:tcW w:w="817" w:type="pct"/>
            <w:shd w:val="clear" w:color="auto" w:fill="FFFFFF"/>
            <w:vAlign w:val="center"/>
          </w:tcPr>
          <w:p w14:paraId="69620659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0.89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0.16</w:t>
            </w:r>
          </w:p>
        </w:tc>
      </w:tr>
      <w:tr w14:paraId="2179AB5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2" w:type="pct"/>
            <w:tcBorders>
              <w:bottom w:val="single" w:color="auto" w:sz="12" w:space="0"/>
            </w:tcBorders>
            <w:vAlign w:val="center"/>
          </w:tcPr>
          <w:p w14:paraId="6FF5AECE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327" w:type="pct"/>
            <w:tcBorders>
              <w:bottom w:val="single" w:color="auto" w:sz="12" w:space="0"/>
            </w:tcBorders>
            <w:shd w:val="clear" w:color="auto" w:fill="FFFFFF"/>
            <w:vAlign w:val="center"/>
          </w:tcPr>
          <w:p w14:paraId="3F4009A6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12" w:type="pct"/>
            <w:tcBorders>
              <w:bottom w:val="single" w:color="auto" w:sz="12" w:space="0"/>
            </w:tcBorders>
            <w:shd w:val="clear" w:color="auto" w:fill="FFFFFF"/>
            <w:vAlign w:val="center"/>
          </w:tcPr>
          <w:p w14:paraId="16BF060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255" w:type="pct"/>
            <w:tcBorders>
              <w:bottom w:val="single" w:color="auto" w:sz="12" w:space="0"/>
            </w:tcBorders>
            <w:shd w:val="clear" w:color="auto" w:fill="FFFFFF"/>
            <w:vAlign w:val="center"/>
          </w:tcPr>
          <w:p w14:paraId="39577437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598" w:type="pct"/>
            <w:tcBorders>
              <w:bottom w:val="single" w:color="auto" w:sz="12" w:space="0"/>
            </w:tcBorders>
            <w:vAlign w:val="center"/>
          </w:tcPr>
          <w:p w14:paraId="6B123FDD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55</w:t>
            </w:r>
          </w:p>
        </w:tc>
        <w:tc>
          <w:tcPr>
            <w:tcW w:w="341" w:type="pct"/>
            <w:tcBorders>
              <w:bottom w:val="single" w:color="auto" w:sz="12" w:space="0"/>
            </w:tcBorders>
            <w:vAlign w:val="center"/>
          </w:tcPr>
          <w:p w14:paraId="3628F1F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83" w:type="pct"/>
            <w:tcBorders>
              <w:bottom w:val="single" w:color="auto" w:sz="12" w:space="0"/>
            </w:tcBorders>
            <w:vAlign w:val="center"/>
          </w:tcPr>
          <w:p w14:paraId="5BD7E4DA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14:ligatures w14:val="none"/>
              </w:rPr>
              <w:t>21.5</w:t>
            </w:r>
          </w:p>
        </w:tc>
        <w:tc>
          <w:tcPr>
            <w:tcW w:w="854" w:type="pct"/>
            <w:tcBorders>
              <w:bottom w:val="single" w:color="auto" w:sz="12" w:space="0"/>
            </w:tcBorders>
            <w:shd w:val="clear" w:color="auto" w:fill="FFFFFF"/>
            <w:vAlign w:val="center"/>
          </w:tcPr>
          <w:p w14:paraId="047361A8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47.28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1.29</w:t>
            </w:r>
          </w:p>
        </w:tc>
        <w:tc>
          <w:tcPr>
            <w:tcW w:w="817" w:type="pct"/>
            <w:tcBorders>
              <w:bottom w:val="single" w:color="auto" w:sz="12" w:space="0"/>
            </w:tcBorders>
            <w:shd w:val="clear" w:color="auto" w:fill="FFFFFF"/>
            <w:vAlign w:val="center"/>
          </w:tcPr>
          <w:p w14:paraId="59761111">
            <w:pPr>
              <w:spacing w:line="48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0.91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  <w14:ligatures w14:val="none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14:ligatures w14:val="none"/>
              </w:rPr>
              <w:t>0.03</w:t>
            </w:r>
          </w:p>
        </w:tc>
      </w:tr>
      <w:bookmarkEnd w:id="3"/>
    </w:tbl>
    <w:p w14:paraId="53B00818">
      <w:pPr>
        <w:spacing w:line="48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br w:type="page"/>
      </w:r>
    </w:p>
    <w:p w14:paraId="16CBEE52">
      <w:pPr>
        <w:spacing w:line="480" w:lineRule="auto"/>
        <w:jc w:val="left"/>
        <w:rPr>
          <w:rFonts w:hint="eastAsia" w:ascii="Times New Roman" w:hAnsi="Times New Roman" w:eastAsia="宋体" w:cs="Times New Roman"/>
          <w:b/>
          <w:bCs/>
          <w:color w:val="C00000"/>
          <w:sz w:val="24"/>
          <w:szCs w:val="24"/>
          <w:lang w:val="en-US" w:eastAsia="zh-CN"/>
        </w:rPr>
      </w:pPr>
      <w:bookmarkStart w:id="4" w:name="_Hlk219267721"/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>Table S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Analysis of variance for the degree of deamidation model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.</w:t>
      </w:r>
    </w:p>
    <w:tbl>
      <w:tblPr>
        <w:tblStyle w:val="15"/>
        <w:tblW w:w="8712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1"/>
        <w:gridCol w:w="1380"/>
        <w:gridCol w:w="1172"/>
        <w:gridCol w:w="1380"/>
        <w:gridCol w:w="1275"/>
        <w:gridCol w:w="1804"/>
      </w:tblGrid>
      <w:tr w14:paraId="1088E7E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4960C9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bookmarkStart w:id="5" w:name="_Hlk193872951"/>
            <w:bookmarkStart w:id="6" w:name="_Hlk193398232"/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Sources of error</w:t>
            </w:r>
          </w:p>
        </w:tc>
        <w:tc>
          <w:tcPr>
            <w:tcW w:w="1380" w:type="dxa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B6D5BE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Sum of squares</w:t>
            </w:r>
          </w:p>
        </w:tc>
        <w:tc>
          <w:tcPr>
            <w:tcW w:w="1172" w:type="dxa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D6AF04C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Degree of freedom</w:t>
            </w:r>
          </w:p>
        </w:tc>
        <w:tc>
          <w:tcPr>
            <w:tcW w:w="1380" w:type="dxa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A9195D7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Mean square</w:t>
            </w:r>
          </w:p>
        </w:tc>
        <w:tc>
          <w:tcPr>
            <w:tcW w:w="1275" w:type="dxa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E2E00E5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  <w:t>F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 xml:space="preserve"> value</w:t>
            </w:r>
          </w:p>
        </w:tc>
        <w:tc>
          <w:tcPr>
            <w:tcW w:w="1804" w:type="dxa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5E515F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  <w:t>P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 xml:space="preserve"> value</w:t>
            </w:r>
          </w:p>
        </w:tc>
      </w:tr>
      <w:bookmarkEnd w:id="5"/>
      <w:tr w14:paraId="45EA2EA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F3602E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Model</w:t>
            </w:r>
          </w:p>
        </w:tc>
        <w:tc>
          <w:tcPr>
            <w:tcW w:w="1380" w:type="dxa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61949C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40.26</w:t>
            </w:r>
          </w:p>
        </w:tc>
        <w:tc>
          <w:tcPr>
            <w:tcW w:w="1172" w:type="dxa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330419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380" w:type="dxa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D521A9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4.47</w:t>
            </w:r>
          </w:p>
        </w:tc>
        <w:tc>
          <w:tcPr>
            <w:tcW w:w="1275" w:type="dxa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1D23A8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73.98</w:t>
            </w:r>
          </w:p>
        </w:tc>
        <w:tc>
          <w:tcPr>
            <w:tcW w:w="1804" w:type="dxa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91BADD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5A12351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40BE8E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A-T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7F2968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5.51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0864E4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B75D65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5.51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2AC3AD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91.14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45B352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3B24D1E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78AA43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B-pH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CCBBAE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0.5050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ECE550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CA2072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0.5050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EFA244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8.35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D4FD82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0.0233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</w:t>
            </w:r>
          </w:p>
        </w:tc>
      </w:tr>
      <w:tr w14:paraId="4419DE1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E961E9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C-E/S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01FF76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4.55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563B40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CFEBA3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4.55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33C023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75.16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02CDCA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7A703E6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F6B018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AB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725C58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3.88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F18663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61674C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3.88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68B72A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64.18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EBA418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2D2665F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F17643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AC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F6C679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1.64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CD0303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9D6150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1.64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4F19B2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27.09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3DA6A2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0.0012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</w:t>
            </w:r>
          </w:p>
        </w:tc>
      </w:tr>
      <w:tr w14:paraId="2E691D7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522260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BC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A1A5D1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0.3906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073420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0B909B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0.3906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5B799E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6.46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F97677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0.0386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</w:t>
            </w:r>
          </w:p>
        </w:tc>
      </w:tr>
      <w:tr w14:paraId="345F244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19B506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A²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E67EC1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16.84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3D8E71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325B0F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16.84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804127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278.44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F44FB0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16126BE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100288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B²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E20011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0.1987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CD58ED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7D69C2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0.1987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F30BB4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3.29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B8CDD4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0.1128</w:t>
            </w:r>
          </w:p>
        </w:tc>
      </w:tr>
      <w:tr w14:paraId="34DA533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BC3294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C²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91476B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5.26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11C35F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24ED72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5.26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5A133F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86.91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45325B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3ABCB3E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6B7435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Residual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F9E483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0.4233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644BB3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5CE51D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0.0605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727904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3D703E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2AFAFD2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44E13E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Lack of fit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25EA29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0.2100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38F751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18C845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0.0700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6BD0CC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1.31</w:t>
            </w: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D9F7FE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0.3864</w:t>
            </w:r>
          </w:p>
        </w:tc>
      </w:tr>
      <w:tr w14:paraId="353A640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9CE0C5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Pure error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0BC63A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0.2133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6472BC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367106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0.0533</w:t>
            </w: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3EC8E6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5205A7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4BFB989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1701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C1C95F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Total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FB1353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40.69</w:t>
            </w:r>
          </w:p>
        </w:tc>
        <w:tc>
          <w:tcPr>
            <w:tcW w:w="1172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C54343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380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563C74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FE1739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804" w:type="dxa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71D596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</w:tr>
      <w:bookmarkEnd w:id="6"/>
    </w:tbl>
    <w:p w14:paraId="6B869CF6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Note: In the table, * indicates that the factor has a significant effect on the model (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</w:rPr>
        <w:t>P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&lt; 0.05); ** indicates that the factor has a highly significant effect on the model (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</w:rPr>
        <w:t>P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&lt; 0.01); *** indicates that the factor has an extremely significant effect on the model (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</w:rPr>
        <w:t>P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&lt; 0.001).</w:t>
      </w:r>
      <w:bookmarkEnd w:id="4"/>
      <w:r>
        <w:rPr>
          <w:rFonts w:ascii="Times New Roman" w:hAnsi="Times New Roman" w:eastAsia="宋体" w:cs="Times New Roman"/>
          <w:sz w:val="24"/>
          <w:szCs w:val="24"/>
        </w:rPr>
        <w:br w:type="page"/>
      </w:r>
    </w:p>
    <w:p w14:paraId="6EBD3082">
      <w:pPr>
        <w:spacing w:line="480" w:lineRule="auto"/>
        <w:jc w:val="both"/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val="en-US" w:eastAsia="zh-CN"/>
        </w:rPr>
      </w:pPr>
      <w:bookmarkStart w:id="7" w:name="_Hlk219267807"/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>Table S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  <w:lang w:val="en-US" w:eastAsia="zh-CN"/>
        </w:rPr>
        <w:t>3</w:t>
      </w:r>
      <w:bookmarkStart w:id="9" w:name="_GoBack"/>
      <w:bookmarkEnd w:id="9"/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Analysis of variance for the degree of hydrolysis model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.</w:t>
      </w:r>
    </w:p>
    <w:tbl>
      <w:tblPr>
        <w:tblStyle w:val="15"/>
        <w:tblW w:w="5000" w:type="pct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91"/>
        <w:gridCol w:w="1233"/>
        <w:gridCol w:w="1233"/>
        <w:gridCol w:w="1153"/>
        <w:gridCol w:w="1313"/>
        <w:gridCol w:w="1891"/>
      </w:tblGrid>
      <w:tr w14:paraId="2867B05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993" w:type="pct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6ED208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Sources of error</w:t>
            </w:r>
          </w:p>
        </w:tc>
        <w:tc>
          <w:tcPr>
            <w:tcW w:w="724" w:type="pct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206134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Sum of squares</w:t>
            </w:r>
          </w:p>
        </w:tc>
        <w:tc>
          <w:tcPr>
            <w:tcW w:w="724" w:type="pct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E1EF0D3">
            <w:pPr>
              <w:spacing w:line="360" w:lineRule="auto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Degree of freedom</w:t>
            </w:r>
          </w:p>
        </w:tc>
        <w:tc>
          <w:tcPr>
            <w:tcW w:w="677" w:type="pct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4099A8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Mean square</w:t>
            </w:r>
          </w:p>
        </w:tc>
        <w:tc>
          <w:tcPr>
            <w:tcW w:w="771" w:type="pct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F7B1380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  <w:t>F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 xml:space="preserve"> value</w:t>
            </w:r>
          </w:p>
        </w:tc>
        <w:tc>
          <w:tcPr>
            <w:tcW w:w="1110" w:type="pct"/>
            <w:tcBorders>
              <w:top w:val="single" w:color="auto" w:sz="12" w:space="0"/>
              <w:bottom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FA7EE2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i/>
                <w:iCs/>
                <w:sz w:val="24"/>
                <w:szCs w:val="24"/>
                <w14:ligatures w14:val="none"/>
              </w:rPr>
              <w:t>P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 xml:space="preserve"> value</w:t>
            </w:r>
          </w:p>
        </w:tc>
      </w:tr>
      <w:tr w14:paraId="529D0F7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CE514E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Model</w:t>
            </w:r>
          </w:p>
        </w:tc>
        <w:tc>
          <w:tcPr>
            <w:tcW w:w="724" w:type="pct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B60DD0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1.81</w:t>
            </w:r>
          </w:p>
        </w:tc>
        <w:tc>
          <w:tcPr>
            <w:tcW w:w="724" w:type="pct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E0D3FD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677" w:type="pct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D563E1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0.2010</w:t>
            </w:r>
          </w:p>
        </w:tc>
        <w:tc>
          <w:tcPr>
            <w:tcW w:w="771" w:type="pct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099F53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276.10</w:t>
            </w:r>
          </w:p>
        </w:tc>
        <w:tc>
          <w:tcPr>
            <w:tcW w:w="1110" w:type="pct"/>
            <w:tcBorders>
              <w:top w:val="single" w:color="auto" w:sz="4" w:space="0"/>
            </w:tcBorders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D61238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2693C4F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E673A1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A-T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92D94B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0.2211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4AE5DF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05866E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0.2211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A70D4B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303.79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59DECD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2C44B17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DF79E1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B-pH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F79470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0.4186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AA5B8F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2B6DAF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0.4186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BFBF94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575.13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C96B25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26A9DDC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259C1E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C-E/S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86FBAC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0.0288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15DC05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4A94F4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0.0288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E52558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39.57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7A882A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0.0004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682E25D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DADADE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AB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AF4460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0.0529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82EC08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49DA49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0.0529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EBFCD4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72.68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F33256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221C327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D6DE7F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AC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C69DB0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0.0090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404A0F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0A0F70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0.0090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A30CD2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12.40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D3C6C8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0.0097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</w:t>
            </w:r>
          </w:p>
        </w:tc>
      </w:tr>
      <w:tr w14:paraId="7B5C4F2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EC8B44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BC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4B8F8B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0.0090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72A2DB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827B56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0.0090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666B23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12.40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CCFCF9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0.0097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</w:t>
            </w:r>
          </w:p>
        </w:tc>
      </w:tr>
      <w:tr w14:paraId="3BBBAEA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F55E0C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A²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C9D79D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0.1188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05788B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923BD8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0.1188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B29B11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163.27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97C970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5205083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A2924D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B²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777784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0.9026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D4E987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B3B97B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0.9026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838582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1240.09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49B39C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&lt; 0.0001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4BD1F5B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261946A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C²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2B752C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0.0301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DEE556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B505A5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0.0301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4A5AAD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41.31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297FD01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0.0004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***</w:t>
            </w:r>
          </w:p>
        </w:tc>
      </w:tr>
      <w:tr w14:paraId="3485890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0CC4C1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Residual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890DE2F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0.0051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8A88F4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58CBD2D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0.0007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3425E4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426EE0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533FA59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1E5FA1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Lack of fit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EB89242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0.0028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9CFCD8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40BFBC5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0.0009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AC6A4F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1.59</w:t>
            </w: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01B33688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0.3235</w:t>
            </w:r>
          </w:p>
        </w:tc>
      </w:tr>
      <w:tr w14:paraId="546FAEB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4BC190A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Pure error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BD7BAAC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0.0023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E214E6B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ECA5B53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0.0006</w:t>
            </w: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41E741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6F596B20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</w:tr>
      <w:tr w14:paraId="55175CD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993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5B8ED209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14:ligatures w14:val="none"/>
              </w:rPr>
              <w:t>Total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11C9384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1.81</w:t>
            </w:r>
          </w:p>
        </w:tc>
        <w:tc>
          <w:tcPr>
            <w:tcW w:w="724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053E62E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677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7DB2212A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771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35AF39C6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110" w:type="pct"/>
            <w:tcMar>
              <w:top w:w="52" w:type="dxa"/>
              <w:left w:w="104" w:type="dxa"/>
              <w:bottom w:w="52" w:type="dxa"/>
              <w:right w:w="104" w:type="dxa"/>
            </w:tcMar>
            <w:vAlign w:val="center"/>
          </w:tcPr>
          <w:p w14:paraId="1E4841F7">
            <w:pPr>
              <w:spacing w:line="480" w:lineRule="auto"/>
              <w:jc w:val="center"/>
              <w:rPr>
                <w:rFonts w:ascii="Times New Roman" w:hAnsi="Times New Roman" w:eastAsia="宋体" w:cs="Times New Roman"/>
                <w:sz w:val="24"/>
                <w:szCs w:val="24"/>
                <w14:ligatures w14:val="none"/>
              </w:rPr>
            </w:pPr>
          </w:p>
        </w:tc>
      </w:tr>
    </w:tbl>
    <w:p w14:paraId="6B3730C8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Note: In the table, * indicates that the factor has a significant effect on the model (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</w:rPr>
        <w:t>P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&lt; 0.05); ** indicates that the factor has a highly significant effect on the model (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</w:rPr>
        <w:t>P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&lt; 0.01); *** indicates that the factor has an extremely significant effect on the model (</w:t>
      </w:r>
      <w:r>
        <w:rPr>
          <w:rFonts w:hint="eastAsia" w:ascii="Times New Roman" w:hAnsi="Times New Roman" w:eastAsia="宋体" w:cs="Times New Roman"/>
          <w:i/>
          <w:iCs/>
          <w:sz w:val="24"/>
          <w:szCs w:val="24"/>
        </w:rPr>
        <w:t>P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&lt; 0.001).</w:t>
      </w:r>
      <w:bookmarkEnd w:id="7"/>
      <w:r>
        <w:rPr>
          <w:rFonts w:ascii="Times New Roman" w:hAnsi="Times New Roman" w:eastAsia="宋体" w:cs="Times New Roman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br w:type="page"/>
      </w:r>
    </w:p>
    <w:p w14:paraId="52B6FD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>
            <wp:extent cx="4650105" cy="3548380"/>
            <wp:effectExtent l="0" t="0" r="17145" b="13970"/>
            <wp:docPr id="6715813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581390" name="图片 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105" cy="354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C6340">
      <w:pPr>
        <w:spacing w:line="360" w:lineRule="auto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>Fig. S1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 Degrees of deamidation and hydrolysis of SPI at different processing times.</w:t>
      </w:r>
    </w:p>
    <w:p w14:paraId="7619E3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F979F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B80C5D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5274310" cy="4025265"/>
            <wp:effectExtent l="0" t="0" r="2540" b="0"/>
            <wp:docPr id="4152895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289585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75377">
      <w:pPr>
        <w:spacing w:line="360" w:lineRule="auto"/>
        <w:jc w:val="center"/>
        <w:rPr>
          <w:rFonts w:ascii="Times New Roman" w:hAnsi="Times New Roman" w:eastAsia="宋体" w:cs="Times New Roman"/>
          <w:color w:val="auto"/>
          <w:sz w:val="24"/>
          <w:szCs w:val="24"/>
        </w:rPr>
      </w:pPr>
      <w:bookmarkStart w:id="8" w:name="_Hlk219269999"/>
      <w:r>
        <w:rPr>
          <w:rFonts w:hint="eastAsia" w:ascii="Times New Roman" w:hAnsi="Times New Roman" w:eastAsia="宋体" w:cs="Times New Roman"/>
          <w:b/>
          <w:bCs/>
          <w:color w:val="auto"/>
          <w:sz w:val="24"/>
          <w:szCs w:val="24"/>
        </w:rPr>
        <w:t xml:space="preserve">Fig. S2 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The carboxyl content of different SPI samples.</w:t>
      </w:r>
    </w:p>
    <w:bookmarkEnd w:id="8"/>
    <w:p w14:paraId="00EBC73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28925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914171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drawing>
          <wp:inline distT="0" distB="0" distL="0" distR="0">
            <wp:extent cx="5274310" cy="2319655"/>
            <wp:effectExtent l="0" t="0" r="2540" b="4445"/>
            <wp:docPr id="48567434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67434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FDDD6">
      <w:pPr>
        <w:spacing w:line="360" w:lineRule="auto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</w:rPr>
        <w:t xml:space="preserve">Fig. S3 </w:t>
      </w:r>
      <w:r>
        <w:rPr>
          <w:rFonts w:hint="eastAsia" w:ascii="Times New Roman" w:hAnsi="Times New Roman" w:eastAsia="宋体" w:cs="Times New Roman"/>
          <w:sz w:val="24"/>
          <w:szCs w:val="24"/>
        </w:rPr>
        <w:t>Cryo-SEM images of different samples.</w:t>
      </w:r>
    </w:p>
    <w:p w14:paraId="7F63F190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e0MLKwNDUxt7CwNDZU0lEKTi0uzszPAykwqwUAZgiakSwAAAA="/>
  </w:docVars>
  <w:rsids>
    <w:rsidRoot w:val="00452BA8"/>
    <w:rsid w:val="00011567"/>
    <w:rsid w:val="00023B14"/>
    <w:rsid w:val="00055B38"/>
    <w:rsid w:val="000753B0"/>
    <w:rsid w:val="00084BC4"/>
    <w:rsid w:val="000B3E37"/>
    <w:rsid w:val="000C1884"/>
    <w:rsid w:val="000F7541"/>
    <w:rsid w:val="0011031C"/>
    <w:rsid w:val="00125F94"/>
    <w:rsid w:val="00131A2B"/>
    <w:rsid w:val="00160721"/>
    <w:rsid w:val="001E292B"/>
    <w:rsid w:val="001F048F"/>
    <w:rsid w:val="00202403"/>
    <w:rsid w:val="002135A7"/>
    <w:rsid w:val="0023704E"/>
    <w:rsid w:val="002619DB"/>
    <w:rsid w:val="00270ADA"/>
    <w:rsid w:val="00296700"/>
    <w:rsid w:val="00307059"/>
    <w:rsid w:val="00312161"/>
    <w:rsid w:val="00332FC5"/>
    <w:rsid w:val="00347981"/>
    <w:rsid w:val="00352A9E"/>
    <w:rsid w:val="00396BD6"/>
    <w:rsid w:val="00397D0F"/>
    <w:rsid w:val="003B0031"/>
    <w:rsid w:val="003C6EF8"/>
    <w:rsid w:val="00416210"/>
    <w:rsid w:val="00452BA8"/>
    <w:rsid w:val="004C6D21"/>
    <w:rsid w:val="004D0B8D"/>
    <w:rsid w:val="00560429"/>
    <w:rsid w:val="005A2C36"/>
    <w:rsid w:val="005B7B9A"/>
    <w:rsid w:val="005C5A0D"/>
    <w:rsid w:val="00615131"/>
    <w:rsid w:val="006C20D3"/>
    <w:rsid w:val="006C3129"/>
    <w:rsid w:val="00700E0D"/>
    <w:rsid w:val="00724262"/>
    <w:rsid w:val="007315DF"/>
    <w:rsid w:val="007C3045"/>
    <w:rsid w:val="007E70A0"/>
    <w:rsid w:val="00805D4F"/>
    <w:rsid w:val="00817F56"/>
    <w:rsid w:val="00845BF4"/>
    <w:rsid w:val="00861F8A"/>
    <w:rsid w:val="008A1D67"/>
    <w:rsid w:val="008E1C5C"/>
    <w:rsid w:val="00935D4D"/>
    <w:rsid w:val="00960274"/>
    <w:rsid w:val="009A37C3"/>
    <w:rsid w:val="009D0011"/>
    <w:rsid w:val="009E3354"/>
    <w:rsid w:val="00A13338"/>
    <w:rsid w:val="00A21918"/>
    <w:rsid w:val="00A244D5"/>
    <w:rsid w:val="00A41400"/>
    <w:rsid w:val="00A424F5"/>
    <w:rsid w:val="00A92AFE"/>
    <w:rsid w:val="00AA3546"/>
    <w:rsid w:val="00AB0E4E"/>
    <w:rsid w:val="00B00A4A"/>
    <w:rsid w:val="00B16342"/>
    <w:rsid w:val="00B27715"/>
    <w:rsid w:val="00B55474"/>
    <w:rsid w:val="00B975D7"/>
    <w:rsid w:val="00BD5605"/>
    <w:rsid w:val="00C52DC1"/>
    <w:rsid w:val="00C85A29"/>
    <w:rsid w:val="00CB438D"/>
    <w:rsid w:val="00CD1D01"/>
    <w:rsid w:val="00D11AD1"/>
    <w:rsid w:val="00D478EB"/>
    <w:rsid w:val="00D835D2"/>
    <w:rsid w:val="00DF5609"/>
    <w:rsid w:val="00E02718"/>
    <w:rsid w:val="00E9517A"/>
    <w:rsid w:val="00ED49FA"/>
    <w:rsid w:val="00F368BD"/>
    <w:rsid w:val="00F41D5D"/>
    <w:rsid w:val="00FA5B4E"/>
    <w:rsid w:val="00FB5F11"/>
    <w:rsid w:val="0D6B035F"/>
    <w:rsid w:val="18AA6B24"/>
    <w:rsid w:val="314E571E"/>
    <w:rsid w:val="360008E6"/>
    <w:rsid w:val="48A630C4"/>
    <w:rsid w:val="4C286E40"/>
    <w:rsid w:val="53B06B2A"/>
    <w:rsid w:val="55D24986"/>
    <w:rsid w:val="5E8E6FD6"/>
    <w:rsid w:val="5EFC6E1D"/>
    <w:rsid w:val="6D8B6DD7"/>
    <w:rsid w:val="6DD10C8D"/>
    <w:rsid w:val="6F4059E0"/>
    <w:rsid w:val="7E4623B0"/>
    <w:rsid w:val="7F243BF7"/>
    <w:rsid w:val="7FA1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7">
    <w:name w:val="Hyperlink"/>
    <w:basedOn w:val="16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table" w:customStyle="1" w:styleId="18">
    <w:name w:val="样式1"/>
    <w:basedOn w:val="15"/>
    <w:qFormat/>
    <w:uiPriority w:val="99"/>
    <w:tblPr>
      <w:tblBorders>
        <w:top w:val="single" w:color="auto" w:sz="12" w:space="0"/>
        <w:bottom w:val="single" w:color="auto" w:sz="12" w:space="0"/>
      </w:tblBorders>
    </w:tblPr>
    <w:tblStylePr w:type="firstRow">
      <w:tcPr>
        <w:tcBorders>
          <w:bottom w:val="single" w:color="auto" w:sz="4" w:space="0"/>
        </w:tcBorders>
      </w:tcPr>
    </w:tblStylePr>
  </w:style>
  <w:style w:type="character" w:customStyle="1" w:styleId="19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6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6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8">
    <w:name w:val="页脚 字符"/>
    <w:basedOn w:val="16"/>
    <w:link w:val="11"/>
    <w:qFormat/>
    <w:uiPriority w:val="99"/>
    <w:rPr>
      <w:sz w:val="18"/>
      <w:szCs w:val="18"/>
    </w:rPr>
  </w:style>
  <w:style w:type="character" w:customStyle="1" w:styleId="39">
    <w:name w:val="Unresolved Mention"/>
    <w:basedOn w:val="16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8bccee89-2f61-41e4-913e-caadde4effff</errorID>
      <errorWord>reagent</errorWord>
      <group>L1_English</group>
      <groupName>英文问题</groupName>
      <ability>L2_Case</ability>
      <abilityName>大小写问题</abilityName>
      <candidateList>
        <item>Reagent</item>
      </candidateList>
      <explain>疑似单词大小写错误，建议将reagent修改为Reagent</explain>
      <paraID>11232036</paraID>
      <start>59</start>
      <end>66</end>
      <status>unmodified</status>
      <modifiedWord/>
      <trackRevisions>false</trackRevisions>
    </reviewItem>
    <reviewItem>
      <errorID>b6688d93-204c-4725-a9d2-3dd541131efc</errorID>
      <errorWord>frozen </errorWord>
      <group>L1_AI</group>
      <groupName>深度校对</groupName>
      <ability>L2_AI_Word</ability>
      <abilityName>字词纠错</abilityName>
      <candidateList>
        <item>freeze-</item>
      </candidateList>
      <explain/>
      <paraID>6688759C</paraID>
      <start>32</start>
      <end>39</end>
      <status>unmodified</status>
      <modifiedWord/>
      <trackRevisions>false</trackRevisions>
    </reviewItem>
    <reviewItem>
      <errorID>53a517d1-652b-4865-a352-7fc6ac568c59</errorID>
      <errorWord>observed</errorWord>
      <group>L1_Punc</group>
      <groupName>标点问题</groupName>
      <ability>L2_Punc_EN</ability>
      <abilityName>标点符号检查</abilityName>
      <candidateList>
        <item>observed,</item>
      </candidateList>
      <explain>此处疑似有标点符号缺失，建议将observed修改为observed,</explain>
      <paraID>5FDAF89F</paraID>
      <start>155</start>
      <end>163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1356de7-45b1-4d09-b611-fb9072f7f9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737</Words>
  <Characters>3005</Characters>
  <Lines>68</Lines>
  <Paragraphs>17</Paragraphs>
  <TotalTime>14</TotalTime>
  <ScaleCrop>false</ScaleCrop>
  <LinksUpToDate>false</LinksUpToDate>
  <CharactersWithSpaces>3397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2026-05-05T09:27:00Z</dcterms:created>
  <dc:creator>陈尚文</dc:creator>
  <cp:lastModifiedBy>WPS_1601511432</cp:lastModifiedBy>
  <dcterms:modified xsi:type="dcterms:W3CDTF">2026-06-09T01:19:49Z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eyJoZGlkIjoiM2VmNjg5MTQ3ZjQ0NGZhYTkyYmExNTQ1NmJiMjU1YjMiLCJ1c2VySWQiOiIxMTI2MjcwNzM5In0=</vt:lpwstr>
  </property>
  <property fmtid="{D5CDD505-2E9C-101B-9397-08002B2CF9AE}" pid="3" name="KSOProductBuildVer">
    <vt:lpwstr>2052-12.1.0.23542</vt:lpwstr>
  </property>
  <property fmtid="{D5CDD505-2E9C-101B-9397-08002B2CF9AE}" pid="4" name="ICV">
    <vt:lpwstr>93E73CC2D9464CA9A5D3FBAE11B58578_12</vt:lpwstr>
  </property>
</Properties>
</file>